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7677A" w14:textId="77777777" w:rsidR="00EC2EF9" w:rsidRDefault="00EC2EF9" w:rsidP="00F67A13">
      <w:pPr>
        <w:pStyle w:val="Nadpis1"/>
        <w:numPr>
          <w:ilvl w:val="0"/>
          <w:numId w:val="0"/>
        </w:numPr>
        <w:ind w:left="432" w:hanging="432"/>
      </w:pPr>
      <w:bookmarkStart w:id="0" w:name="_Hlk20979367"/>
      <w:bookmarkStart w:id="1" w:name="_Toc46303720"/>
      <w:r>
        <w:t>Manažerské shrnutí</w:t>
      </w:r>
    </w:p>
    <w:bookmarkEnd w:id="0"/>
    <w:bookmarkEnd w:id="1"/>
    <w:p w14:paraId="50E5EC5F" w14:textId="77777777" w:rsidR="00D22365" w:rsidRDefault="00D22365" w:rsidP="00D22365">
      <w:r>
        <w:t>Evaluace prokázala, že na operativní úrovni jsou procesy implementace nastaveny adekvátně. Byly identifikovány odchylky implementace procesů TP od jejich podoby předepsané metodickým prostředím a byly formulovány dílčí doporučení. Bylo konstatováno, že TP spíše odpovídá potřebám ŘO OP PIK. Odchylky spočívají v tom, že konkrétní aktivity nejsou metodickým prostředím detailně definovány a implementace je založena spíše na neformální praxi.</w:t>
      </w:r>
    </w:p>
    <w:p w14:paraId="1FA9D127" w14:textId="77777777" w:rsidR="00D22365" w:rsidRDefault="00D22365" w:rsidP="00D22365">
      <w:r>
        <w:t>Dále se evaluace zaměřila na to, zda při plnění procesů a úkolů ŘO není metodickým prostředím vyžadováno plnění aktivit, které generují administrativní zátěž. V tomto smyslu byly identifikovány aktivity, které nejsou dle pracovníků ŘO nezbytné:</w:t>
      </w:r>
    </w:p>
    <w:p w14:paraId="50C99A70" w14:textId="77777777" w:rsidR="00D22365" w:rsidRDefault="00D22365" w:rsidP="00D22365">
      <w:pPr>
        <w:pStyle w:val="Odstavecseseznamem"/>
        <w:numPr>
          <w:ilvl w:val="0"/>
          <w:numId w:val="17"/>
        </w:numPr>
        <w:spacing w:after="160" w:line="259" w:lineRule="auto"/>
        <w:jc w:val="left"/>
      </w:pPr>
      <w:r>
        <w:t>Zpráva o plnění evaluačního plánu je značně duplicitní s informací o realizovaných evaluačních aktivitách pro potřeby Výroční/Závěrečné zprávy.</w:t>
      </w:r>
    </w:p>
    <w:p w14:paraId="61368949" w14:textId="77777777" w:rsidR="00D22365" w:rsidRDefault="00D22365" w:rsidP="00D22365">
      <w:pPr>
        <w:pStyle w:val="Odstavecseseznamem"/>
        <w:numPr>
          <w:ilvl w:val="0"/>
          <w:numId w:val="17"/>
        </w:numPr>
        <w:spacing w:after="160" w:line="259" w:lineRule="auto"/>
        <w:jc w:val="left"/>
      </w:pPr>
      <w:r>
        <w:t>Aktivity v rámci kontroly proplácení faktur při implementaci IP</w:t>
      </w:r>
    </w:p>
    <w:p w14:paraId="043DA41E" w14:textId="77777777" w:rsidR="00D22365" w:rsidRDefault="00D22365" w:rsidP="00D22365">
      <w:pPr>
        <w:pStyle w:val="Odstavecseseznamem"/>
        <w:numPr>
          <w:ilvl w:val="0"/>
          <w:numId w:val="17"/>
        </w:numPr>
        <w:spacing w:after="160" w:line="259" w:lineRule="auto"/>
        <w:jc w:val="left"/>
      </w:pPr>
      <w:r>
        <w:t>Neefektivity spočívající v nedostatečném využití možností automatizace některých aktivit.</w:t>
      </w:r>
    </w:p>
    <w:p w14:paraId="4BCDCA45" w14:textId="77777777" w:rsidR="00D22365" w:rsidRDefault="00D22365" w:rsidP="00D22365"/>
    <w:p w14:paraId="30D59BD3" w14:textId="77777777" w:rsidR="00D22365" w:rsidRDefault="00D22365" w:rsidP="00D22365">
      <w:r>
        <w:t>V druhém kroku proběhla analýza existence míst, pro jejichž řešení metodické prostředí neposkytuje dostatečnou oporu. Identifikovány byly tyto deficity:</w:t>
      </w:r>
    </w:p>
    <w:p w14:paraId="0DC7B091" w14:textId="77777777" w:rsidR="00D22365" w:rsidRDefault="00D22365" w:rsidP="00D22365">
      <w:pPr>
        <w:pStyle w:val="Odstavecseseznamem"/>
        <w:numPr>
          <w:ilvl w:val="0"/>
          <w:numId w:val="17"/>
        </w:numPr>
        <w:spacing w:after="160" w:line="259" w:lineRule="auto"/>
        <w:jc w:val="left"/>
      </w:pPr>
      <w:r>
        <w:t>Chybějící proces monitoringu, jak byla evaluační doporučení zavedena do praxe, který způsobuje spíše formalitu doporučení</w:t>
      </w:r>
    </w:p>
    <w:p w14:paraId="40CD6605" w14:textId="77777777" w:rsidR="00D22365" w:rsidRDefault="00D22365" w:rsidP="00D22365">
      <w:pPr>
        <w:pStyle w:val="Odstavecseseznamem"/>
        <w:numPr>
          <w:ilvl w:val="0"/>
          <w:numId w:val="17"/>
        </w:numPr>
        <w:spacing w:after="160" w:line="259" w:lineRule="auto"/>
        <w:jc w:val="left"/>
      </w:pPr>
      <w:r>
        <w:t>Absenci manuálů pro implementaci části procesů TP OP PIK.</w:t>
      </w:r>
    </w:p>
    <w:p w14:paraId="22CFA243" w14:textId="77777777" w:rsidR="00D22365" w:rsidRDefault="00D22365" w:rsidP="00D22365"/>
    <w:p w14:paraId="1290B305" w14:textId="77777777" w:rsidR="00D22365" w:rsidRDefault="00D22365" w:rsidP="00D22365">
      <w:r>
        <w:t>V návaznosti na zjištění byla formulována doporučení na zrušení/doplnění aktivit.</w:t>
      </w:r>
    </w:p>
    <w:p w14:paraId="54306FA7" w14:textId="77777777" w:rsidR="00D22365" w:rsidRDefault="00D22365" w:rsidP="00D22365">
      <w:pPr>
        <w:widowControl w:val="0"/>
        <w:suppressAutoHyphens/>
        <w:spacing w:before="60" w:after="60"/>
      </w:pPr>
      <w:r>
        <w:t>Finanční alokace je hodnocena spíše jako nevhodně nastavená, neboť vychází</w:t>
      </w:r>
      <w:r w:rsidRPr="6718AD7E">
        <w:rPr>
          <w:rFonts w:ascii="Calibri" w:hAnsi="Calibri" w:cs="Calibri"/>
        </w:rPr>
        <w:t xml:space="preserve"> z předchozího programového období (PO) a částečně byla zohledněna externí analýza absorpční kapacity. Nebyly ale zpracovány analýzy potřeb rozpočtu TP a nebylo zohledněno, že v předchozím PO došlo k výraznému nedočerpání TP. Podobný trend tak lze očekávat i u TP OP PIK. Dále, procesy vyhodnocování čerpání TP sice jsou nastaveny dostatečně, ale odhady výdajů neodpovídají skutečnosti. Tento rozpor je pozorován u výdajů na externí služby, a to z důvodu</w:t>
      </w:r>
      <w:r w:rsidRPr="6718AD7E">
        <w:t xml:space="preserve"> změn ve způsobu administrace a řízení OP, zpoždění způsobených realizací VŘ a operativní charakter TP. Nesoulad mezi plánovanými a skutečnými výdaji není dostatečně zohledňován při plánování výdajů do roku 2023. </w:t>
      </w:r>
    </w:p>
    <w:p w14:paraId="61383348" w14:textId="77777777" w:rsidR="00D22365" w:rsidRDefault="00D22365" w:rsidP="00D22365">
      <w:pPr>
        <w:widowControl w:val="0"/>
        <w:suppressAutoHyphens/>
        <w:spacing w:before="60" w:after="60"/>
        <w:rPr>
          <w:rFonts w:cstheme="minorHAnsi"/>
        </w:rPr>
      </w:pPr>
      <w:r>
        <w:rPr>
          <w:rFonts w:cstheme="minorHAnsi"/>
        </w:rPr>
        <w:t>V návaznosti na uvedená zjištění a závěry byla formulována doporučení:</w:t>
      </w:r>
    </w:p>
    <w:p w14:paraId="44143449" w14:textId="77777777" w:rsidR="00D22365" w:rsidRPr="00057003" w:rsidRDefault="00D22365" w:rsidP="00D22365">
      <w:pPr>
        <w:pStyle w:val="Odstavecseseznamem"/>
        <w:widowControl w:val="0"/>
        <w:numPr>
          <w:ilvl w:val="0"/>
          <w:numId w:val="17"/>
        </w:numPr>
        <w:suppressAutoHyphens/>
        <w:spacing w:before="60" w:after="60" w:line="259" w:lineRule="auto"/>
        <w:jc w:val="left"/>
        <w:rPr>
          <w:rFonts w:cstheme="minorHAnsi"/>
        </w:rPr>
      </w:pPr>
      <w:r w:rsidRPr="00057003">
        <w:rPr>
          <w:rFonts w:cstheme="minorHAnsi"/>
        </w:rPr>
        <w:t xml:space="preserve">Zpracovat predikci čerpání TP do roku 2023 založenou na plánovaných výdajích a zahájit proces realokace </w:t>
      </w:r>
      <w:r>
        <w:rPr>
          <w:rFonts w:cstheme="minorHAnsi"/>
        </w:rPr>
        <w:t xml:space="preserve">nedočerpaných </w:t>
      </w:r>
      <w:r w:rsidRPr="00057003">
        <w:rPr>
          <w:rFonts w:cstheme="minorHAnsi"/>
        </w:rPr>
        <w:t>prostředků.</w:t>
      </w:r>
    </w:p>
    <w:p w14:paraId="5626BA45" w14:textId="77777777" w:rsidR="00D22365" w:rsidRDefault="00D22365" w:rsidP="00D22365">
      <w:pPr>
        <w:pStyle w:val="Odstavecseseznamem"/>
        <w:widowControl w:val="0"/>
        <w:numPr>
          <w:ilvl w:val="0"/>
          <w:numId w:val="17"/>
        </w:numPr>
        <w:suppressAutoHyphens/>
        <w:spacing w:before="60" w:after="60" w:line="259" w:lineRule="auto"/>
        <w:jc w:val="left"/>
        <w:rPr>
          <w:rFonts w:cstheme="minorHAnsi"/>
        </w:rPr>
      </w:pPr>
      <w:r>
        <w:rPr>
          <w:rFonts w:cstheme="minorHAnsi"/>
        </w:rPr>
        <w:t>Pro budoucí PO z</w:t>
      </w:r>
      <w:r w:rsidRPr="00B51812">
        <w:rPr>
          <w:rFonts w:cstheme="minorHAnsi"/>
        </w:rPr>
        <w:t xml:space="preserve">pracovat analýzu finančního čerpání TP z aktuálního i předchozího </w:t>
      </w:r>
      <w:r>
        <w:rPr>
          <w:rFonts w:cstheme="minorHAnsi"/>
        </w:rPr>
        <w:t>PO</w:t>
      </w:r>
      <w:r w:rsidRPr="00B51812">
        <w:rPr>
          <w:rFonts w:cstheme="minorHAnsi"/>
        </w:rPr>
        <w:t xml:space="preserve"> na úrovni výdajových položek a přesněji plánovat alokaci TP pro OP v </w:t>
      </w:r>
      <w:r>
        <w:rPr>
          <w:rFonts w:cstheme="minorHAnsi"/>
        </w:rPr>
        <w:t>PO</w:t>
      </w:r>
      <w:r w:rsidRPr="00B51812">
        <w:rPr>
          <w:rFonts w:cstheme="minorHAnsi"/>
        </w:rPr>
        <w:t xml:space="preserve"> 2021+.</w:t>
      </w:r>
    </w:p>
    <w:p w14:paraId="26C4DC88" w14:textId="77777777" w:rsidR="00D22365" w:rsidRDefault="00D22365" w:rsidP="00D22365">
      <w:pPr>
        <w:widowControl w:val="0"/>
        <w:suppressAutoHyphens/>
        <w:spacing w:before="60" w:after="60"/>
        <w:rPr>
          <w:rFonts w:cstheme="minorHAnsi"/>
        </w:rPr>
      </w:pPr>
    </w:p>
    <w:p w14:paraId="694D23B9" w14:textId="77777777" w:rsidR="00D22365" w:rsidRDefault="00D22365" w:rsidP="00D22365">
      <w:pPr>
        <w:widowControl w:val="0"/>
        <w:suppressAutoHyphens/>
        <w:spacing w:before="60" w:after="60"/>
        <w:rPr>
          <w:rFonts w:cstheme="minorHAnsi"/>
        </w:rPr>
      </w:pPr>
      <w:bookmarkStart w:id="2" w:name="_Hlk47975056"/>
      <w:r>
        <w:rPr>
          <w:rFonts w:cstheme="minorHAnsi"/>
        </w:rPr>
        <w:t xml:space="preserve">Pro TP OP PIK byly formulovány specifické cíle a očekávané výsledky a pro stanovené cíle byly formulovány měřitelné indikátory na úrovni výsledků a dopadů. Indikátory ale nejsou dostatečným nástrojem pro analýzu pokroku v dosahování cílů – zaměřují se na část cílů nebo „měří“ efekty, které </w:t>
      </w:r>
      <w:r>
        <w:rPr>
          <w:rFonts w:cstheme="minorHAnsi"/>
        </w:rPr>
        <w:lastRenderedPageBreak/>
        <w:t xml:space="preserve">lze považovat za nezbytnou podmínku pro plnění cílů TP. Přínosy TP jsou tak vyhodnocovány pouze na úrovni plnění stanovených ukazatelů a finančního čerpání a ŘO nedisponuje informací o plnění specifických cílů TP. Pro sledování plnění cílů TP přitom obecně není dostatečný pouze monitoring prostřednictvím indikátorů. Komplexní informaci o plnění cílů TP lze získat spíše prostřednictvím specificky zacílených studií. Nebylo zaznamenáno, že by docházelo k systematické reflexi dosavadní implementace, je spíše neformální. </w:t>
      </w:r>
    </w:p>
    <w:bookmarkEnd w:id="2"/>
    <w:p w14:paraId="4F6053A3" w14:textId="77777777" w:rsidR="00D22365" w:rsidRDefault="00D22365" w:rsidP="00D22365">
      <w:pPr>
        <w:widowControl w:val="0"/>
        <w:suppressAutoHyphens/>
        <w:spacing w:before="60" w:after="60"/>
        <w:rPr>
          <w:rFonts w:cstheme="minorHAnsi"/>
        </w:rPr>
      </w:pPr>
      <w:r>
        <w:rPr>
          <w:rFonts w:cstheme="minorHAnsi"/>
        </w:rPr>
        <w:t>V návaznosti na tyto pozorované deficity při strategickém řízení TP proto byla formulována tato doporučení:</w:t>
      </w:r>
    </w:p>
    <w:p w14:paraId="3D756F7A" w14:textId="77777777" w:rsidR="00D22365" w:rsidRPr="00BB0CC9" w:rsidRDefault="00D22365" w:rsidP="00D22365">
      <w:pPr>
        <w:pStyle w:val="Odstavecseseznamem"/>
        <w:widowControl w:val="0"/>
        <w:numPr>
          <w:ilvl w:val="0"/>
          <w:numId w:val="17"/>
        </w:numPr>
        <w:suppressAutoHyphens/>
        <w:spacing w:before="60" w:after="60"/>
        <w:jc w:val="left"/>
        <w:rPr>
          <w:rFonts w:cstheme="minorHAnsi"/>
        </w:rPr>
      </w:pPr>
      <w:r>
        <w:rPr>
          <w:rFonts w:cstheme="minorHAnsi"/>
        </w:rPr>
        <w:t>U</w:t>
      </w:r>
      <w:r w:rsidRPr="00BB0CC9">
        <w:rPr>
          <w:rFonts w:cstheme="minorHAnsi"/>
        </w:rPr>
        <w:t xml:space="preserve"> plánovaných evaluací zvýšit důraz na vyhodnocení efektivnosti TP</w:t>
      </w:r>
      <w:r>
        <w:rPr>
          <w:rFonts w:cstheme="minorHAnsi"/>
        </w:rPr>
        <w:t xml:space="preserve"> </w:t>
      </w:r>
      <w:r w:rsidRPr="00BB0CC9">
        <w:rPr>
          <w:rFonts w:cstheme="minorHAnsi"/>
        </w:rPr>
        <w:t xml:space="preserve"> vč. analýz</w:t>
      </w:r>
      <w:r>
        <w:rPr>
          <w:rFonts w:cstheme="minorHAnsi"/>
        </w:rPr>
        <w:t>y</w:t>
      </w:r>
      <w:r w:rsidRPr="00BB0CC9">
        <w:rPr>
          <w:rFonts w:cstheme="minorHAnsi"/>
        </w:rPr>
        <w:t xml:space="preserve"> důvodů odchylek od plánu implementace TP a jejich dopadů na efektivnost</w:t>
      </w:r>
      <w:r>
        <w:rPr>
          <w:rFonts w:cstheme="minorHAnsi"/>
        </w:rPr>
        <w:t xml:space="preserve"> – </w:t>
      </w:r>
      <w:r w:rsidRPr="00BB0CC9">
        <w:rPr>
          <w:rFonts w:cstheme="minorHAnsi"/>
        </w:rPr>
        <w:t>s využitím dat o trvání klíčových procesů, výsledcích realizovaných externích kontrol a sběru primárních dat od žadatelů/příjemců i zaměstnanců ŘO</w:t>
      </w:r>
      <w:r>
        <w:rPr>
          <w:rFonts w:cstheme="minorHAnsi"/>
        </w:rPr>
        <w:t xml:space="preserve"> nebo</w:t>
      </w:r>
      <w:r w:rsidRPr="00BB0CC9">
        <w:rPr>
          <w:rFonts w:cstheme="minorHAnsi"/>
        </w:rPr>
        <w:t xml:space="preserve"> zpracování</w:t>
      </w:r>
      <w:r>
        <w:rPr>
          <w:rFonts w:cstheme="minorHAnsi"/>
        </w:rPr>
        <w:t xml:space="preserve"> </w:t>
      </w:r>
      <w:r w:rsidRPr="00BB0CC9">
        <w:rPr>
          <w:rFonts w:cstheme="minorHAnsi"/>
        </w:rPr>
        <w:t>tematické evaluace zaměřené na efektivnost a dopady TP.</w:t>
      </w:r>
    </w:p>
    <w:p w14:paraId="5D427E4D" w14:textId="77777777" w:rsidR="00D22365" w:rsidRPr="00057003" w:rsidRDefault="00D22365" w:rsidP="00D22365">
      <w:pPr>
        <w:pStyle w:val="Odstavecseseznamem"/>
        <w:widowControl w:val="0"/>
        <w:numPr>
          <w:ilvl w:val="0"/>
          <w:numId w:val="17"/>
        </w:numPr>
        <w:suppressAutoHyphens/>
        <w:spacing w:before="60" w:after="60" w:line="259" w:lineRule="auto"/>
        <w:jc w:val="left"/>
        <w:rPr>
          <w:rFonts w:cstheme="minorHAnsi"/>
        </w:rPr>
      </w:pPr>
      <w:r>
        <w:rPr>
          <w:rFonts w:cstheme="minorHAnsi"/>
        </w:rPr>
        <w:t>Při plánování TP pro budoucí OP p</w:t>
      </w:r>
      <w:r w:rsidRPr="00057003">
        <w:rPr>
          <w:rFonts w:cstheme="minorHAnsi"/>
        </w:rPr>
        <w:t>osílit procesy strategického plánování a průběžného vyhodnocování TP ve vztahu k cílům prostřednictvím ad-hoc zpracovaného plánu hodnocení TP budoucího OP a sběrem dat.</w:t>
      </w:r>
    </w:p>
    <w:p w14:paraId="5AF427CA" w14:textId="77777777" w:rsidR="00D22365" w:rsidRDefault="00D22365" w:rsidP="00D22365"/>
    <w:p w14:paraId="63A745B9" w14:textId="77777777" w:rsidR="00D22365" w:rsidRDefault="00D22365" w:rsidP="00D22365">
      <w:r>
        <w:t xml:space="preserve">Zjištění o deficitech ve finančním plánování se projevily také při hodnocení implementace IP. Limity výdajů byly stanoveny na základě odhadů a předešlé zkušenosti s čerpáním TP OP PIK s nedostatečnou vazbou na ex ante kalkulaci nákladů. Limity výdajů tedy byly značně nadhodnocené a v první vlně IP TP (v období 2016-2018) docházelo k nedočerpávání nákladů. Průměrně bylo vyčerpáno cca 34 % limitů výdajů. Částečně je nedočerpání způsobeno změnami ve způsobu implementace TP a průtahy při realizaci VŘ. Obtížné je potom analyzovat transparentnost výběru IP. Žádosti o podporu jsou velmi stručné, neobsahují informace nutné k posouzení projektu apod. Zároveň bylo potvrzeno, že dílčí plnění odpovídají nastaveným cílům a administrace projektů tak je efektivní. </w:t>
      </w:r>
    </w:p>
    <w:p w14:paraId="232AC624" w14:textId="77777777" w:rsidR="00D22365" w:rsidRDefault="00D22365" w:rsidP="00D22365">
      <w:r>
        <w:t>Je doporučeno zvýšit míru detailu, se kterou jsou zpracovávány IP tak, aby bylo možné aplikovat hodnotící kritéria a ověřovat IP ve vztahu k cílům TP.</w:t>
      </w:r>
    </w:p>
    <w:p w14:paraId="3B001730" w14:textId="77777777" w:rsidR="00D22365" w:rsidRDefault="00D22365" w:rsidP="00D22365">
      <w:pPr>
        <w:widowControl w:val="0"/>
        <w:suppressAutoHyphens/>
      </w:pPr>
      <w:r>
        <w:t>V části zaměřené na procesy výběrů dodavatelů bylo i</w:t>
      </w:r>
      <w:r w:rsidRPr="00574DBF">
        <w:rPr>
          <w:rFonts w:ascii="Calibri" w:hAnsi="Calibri" w:cs="Calibri"/>
        </w:rPr>
        <w:t>dentifikováno několik problémových oblastí, a</w:t>
      </w:r>
      <w:r>
        <w:rPr>
          <w:rFonts w:ascii="Calibri" w:hAnsi="Calibri" w:cs="Calibri"/>
        </w:rPr>
        <w:t> </w:t>
      </w:r>
      <w:r w:rsidRPr="00574DBF">
        <w:rPr>
          <w:rFonts w:ascii="Calibri" w:hAnsi="Calibri" w:cs="Calibri"/>
        </w:rPr>
        <w:t>to příprava zadávací dokumentace a administrace samotného VŘ</w:t>
      </w:r>
      <w:r w:rsidRPr="00574DBF">
        <w:t xml:space="preserve">. Z hlediska </w:t>
      </w:r>
      <w:r>
        <w:t>IP</w:t>
      </w:r>
      <w:r w:rsidRPr="00574DBF">
        <w:t xml:space="preserve"> je složité a zdlouhavé hledání konsenzu nad zadávací dokumentací, do kterého jsou zapojena oddělení 61320 a 10220, </w:t>
      </w:r>
      <w:r>
        <w:t xml:space="preserve">např. </w:t>
      </w:r>
      <w:r w:rsidRPr="00574DBF">
        <w:t>předávání podkladů mezi jednotlivými odděleními.</w:t>
      </w:r>
      <w:r>
        <w:t xml:space="preserve"> </w:t>
      </w:r>
      <w:r w:rsidRPr="00574DBF">
        <w:t>Pozitivně jsou hodnoceny výstupy vzešlé z VŘ. Hlavním faktorem</w:t>
      </w:r>
      <w:r>
        <w:t xml:space="preserve"> ovlivňujícím</w:t>
      </w:r>
      <w:r w:rsidRPr="00574DBF">
        <w:t xml:space="preserve"> kvalitu výstupů, </w:t>
      </w:r>
      <w:r>
        <w:t xml:space="preserve">je </w:t>
      </w:r>
      <w:r w:rsidRPr="00574DBF">
        <w:t>jednoznačnost zadání a komunikace zadavatele s dodavatelem při plnění zakázky.</w:t>
      </w:r>
      <w:r w:rsidRPr="00C43AB8">
        <w:t xml:space="preserve"> </w:t>
      </w:r>
      <w:r w:rsidRPr="00574DBF">
        <w:t xml:space="preserve">Školení </w:t>
      </w:r>
      <w:r>
        <w:t>pro</w:t>
      </w:r>
      <w:r w:rsidRPr="00574DBF">
        <w:t xml:space="preserve"> VZ jsou pořádána v dostatečné frekvenci a</w:t>
      </w:r>
      <w:r>
        <w:t> </w:t>
      </w:r>
      <w:r w:rsidRPr="00574DBF">
        <w:t xml:space="preserve">jejich kvalita je </w:t>
      </w:r>
      <w:r>
        <w:t xml:space="preserve">dobře </w:t>
      </w:r>
      <w:r w:rsidRPr="00574DBF">
        <w:t>hodnocena.</w:t>
      </w:r>
      <w:r>
        <w:t xml:space="preserve"> </w:t>
      </w:r>
    </w:p>
    <w:p w14:paraId="0D866A8D" w14:textId="77777777" w:rsidR="00D22365" w:rsidRDefault="00D22365" w:rsidP="00D22365">
      <w:pPr>
        <w:widowControl w:val="0"/>
        <w:suppressAutoHyphens/>
      </w:pPr>
      <w:r>
        <w:t>Doporučení reagují na procesní místa, která generují komplikace při realizaci VŘ a způsobují dlouhou dobu trvání.</w:t>
      </w:r>
    </w:p>
    <w:p w14:paraId="78B25C17" w14:textId="77777777" w:rsidR="00D22365" w:rsidRDefault="00D22365" w:rsidP="00D22365">
      <w:pPr>
        <w:widowControl w:val="0"/>
        <w:suppressAutoHyphens/>
      </w:pPr>
      <w:r w:rsidRPr="00761283">
        <w:t xml:space="preserve">Analýza administrativní kapacity ŘO a ZS OP PIK konstatovala, že je spíše optimální. </w:t>
      </w:r>
      <w:r w:rsidRPr="00761283">
        <w:rPr>
          <w:rFonts w:ascii="Calibri" w:hAnsi="Calibri" w:cs="Calibri"/>
        </w:rPr>
        <w:t xml:space="preserve">Dle pracovníků vyplývá, že úkony spojené s hlavními implementačními procesy OP PIK vyplňují cca 72 % </w:t>
      </w:r>
      <w:proofErr w:type="spellStart"/>
      <w:r w:rsidRPr="00761283">
        <w:rPr>
          <w:rFonts w:ascii="Calibri" w:hAnsi="Calibri" w:cs="Calibri"/>
        </w:rPr>
        <w:t>časofondu</w:t>
      </w:r>
      <w:proofErr w:type="spellEnd"/>
      <w:r w:rsidRPr="00761283">
        <w:rPr>
          <w:rFonts w:ascii="Calibri" w:hAnsi="Calibri" w:cs="Calibri"/>
        </w:rPr>
        <w:t>, zbytek připadá na řídící a pomocné procesy.</w:t>
      </w:r>
      <w:r>
        <w:rPr>
          <w:rFonts w:ascii="Calibri" w:hAnsi="Calibri" w:cs="Calibri"/>
        </w:rPr>
        <w:t xml:space="preserve"> Zároveň dochází k mírnému zrychlování procesů souvisejících s administrací projektových žádostí a žádostí o proplacení. Toto zjištění ovšem nevylučuje, že n</w:t>
      </w:r>
      <w:r>
        <w:t>a úrovni odborů/oddělení může docházet k disproporcím v administrativní kapacitě. Zdlouhavými</w:t>
      </w:r>
      <w:r w:rsidRPr="0079436D">
        <w:t xml:space="preserve"> a častými úkony jsou ověření statutu malého a středního podniku (MSP), kontrola žádosti o podporu a </w:t>
      </w:r>
      <w:r w:rsidRPr="0079436D">
        <w:lastRenderedPageBreak/>
        <w:t>kontrola žádosti o platbu (</w:t>
      </w:r>
      <w:proofErr w:type="spellStart"/>
      <w:r w:rsidRPr="0079436D">
        <w:t>ŽoP</w:t>
      </w:r>
      <w:proofErr w:type="spellEnd"/>
      <w:r w:rsidRPr="0079436D">
        <w:t>).</w:t>
      </w:r>
      <w:r>
        <w:t xml:space="preserve"> Časově náročné je také ověřování statusu MSP, pro které není k dispozici jednotný nástroj, který by kontrolu usnadnil</w:t>
      </w:r>
      <w:r w:rsidRPr="00A72C75">
        <w:t>.</w:t>
      </w:r>
      <w:r>
        <w:t xml:space="preserve"> V oblasti kontroly statutu MSP by proto bylo přínosné posílení ZS s využitím prostředků na externí služby</w:t>
      </w:r>
      <w:r>
        <w:rPr>
          <w:rStyle w:val="Znakapoznpodarou"/>
        </w:rPr>
        <w:footnoteReference w:id="1"/>
      </w:r>
      <w:r>
        <w:t>.</w:t>
      </w:r>
    </w:p>
    <w:p w14:paraId="6D83D963" w14:textId="2A8C84C7" w:rsidR="00D22365" w:rsidRDefault="00D22365" w:rsidP="00D22365">
      <w:pPr>
        <w:widowControl w:val="0"/>
        <w:suppressAutoHyphens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Dále byly analyzovány také trendy v oblasti fluktuace zaměstnanců. Negativní vývoj je patrný v API, kde i přes realizovaná opatření nedochází k jejímu snižování, ale naopak k jejímu růstu (26,96 % v r. 2019). Příčinou je, že přijímáni jsou mladí lidé s většími sklony ke změně zaměstnání, ale i finanční ohodnocení a v případě sekcí zajišťujících administraci žádostí o dotaci a kontrolu projektů také </w:t>
      </w:r>
      <w:r>
        <w:t xml:space="preserve">monotónní činnost. </w:t>
      </w:r>
      <w:r>
        <w:rPr>
          <w:rFonts w:ascii="Calibri" w:hAnsi="Calibri" w:cs="Calibri"/>
        </w:rPr>
        <w:t>Trend fluktuace na MPO je pozitivní, od roku 2018 dochází k výraznému poklesu, a to i bez realizace opatření primárně cílených na její snižování</w:t>
      </w:r>
      <w:r w:rsidR="00226C19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Snižování fluktuace tak nastalo pravděpodobně z důvodu personálních změn na vedoucích pozicích, které mohly fluktuaci ovlivnit sekundárně, neboť pro pracovníky s některých odborů je hlavním motivem pro odchod ze zaměstnání právě nespokojenost s vedením.</w:t>
      </w:r>
      <w:r w:rsidRPr="1AD53C9F">
        <w:rPr>
          <w:lang w:eastAsia="cs-CZ"/>
        </w:rPr>
        <w:t xml:space="preserve"> V ostatních odděleních bylo hlavním důvodem pro potenciální odchod z MPO finanční ohodnocení</w:t>
      </w:r>
    </w:p>
    <w:p w14:paraId="76378EB1" w14:textId="77777777" w:rsidR="00D22365" w:rsidRPr="00C3293F" w:rsidRDefault="00D22365" w:rsidP="00D22365">
      <w:pPr>
        <w:widowControl w:val="0"/>
        <w:suppressAutoHyphens/>
        <w:rPr>
          <w:rFonts w:ascii="Calibri" w:hAnsi="Calibri" w:cs="Calibri"/>
        </w:rPr>
      </w:pPr>
      <w:r w:rsidRPr="00761283">
        <w:rPr>
          <w:rFonts w:ascii="Calibri" w:hAnsi="Calibri" w:cs="Calibri"/>
        </w:rPr>
        <w:t>Evaluace administrativní kapacity potvrdila, že systém vzdělávání zaměstnanců je dostatečně adekvátní. Z pohledu odpovědných pracovníků ŘO odpovídá většinou průběh procesů spojených se vzděláváním zaměstnanců procesnímu diagramu vytvořenému dle OM. Zaměstnanci MPO a API jsou s nabídkou dalšího vzdělávání spokojení, celkem 63 % respondentů je rozhodně či spíše spokojeno (mírně vyšší je spokojenost u zaměstnanců MPO). Školení jsou kladně hodnocena z pohledu kvality vzdělávání a lektorů.</w:t>
      </w:r>
    </w:p>
    <w:p w14:paraId="4C6A1383" w14:textId="77777777" w:rsidR="00D22365" w:rsidRDefault="00D22365" w:rsidP="00D22365">
      <w:pPr>
        <w:widowControl w:val="0"/>
        <w:suppressAutoHyphens/>
        <w:rPr>
          <w:rFonts w:ascii="Calibri" w:hAnsi="Calibri" w:cs="Calibri"/>
        </w:rPr>
      </w:pPr>
      <w:r w:rsidRPr="00C3293F">
        <w:rPr>
          <w:rFonts w:ascii="Calibri" w:hAnsi="Calibri" w:cs="Calibri"/>
        </w:rPr>
        <w:t>Nespokojenost s</w:t>
      </w:r>
      <w:r>
        <w:rPr>
          <w:rFonts w:ascii="Calibri" w:hAnsi="Calibri" w:cs="Calibri"/>
        </w:rPr>
        <w:t>e</w:t>
      </w:r>
      <w:r w:rsidRPr="00C3293F">
        <w:rPr>
          <w:rFonts w:ascii="Calibri" w:hAnsi="Calibri" w:cs="Calibri"/>
        </w:rPr>
        <w:t xml:space="preserve"> vzdělávání</w:t>
      </w:r>
      <w:r>
        <w:rPr>
          <w:rFonts w:ascii="Calibri" w:hAnsi="Calibri" w:cs="Calibri"/>
        </w:rPr>
        <w:t>m</w:t>
      </w:r>
      <w:r w:rsidRPr="00C3293F">
        <w:rPr>
          <w:rFonts w:ascii="Calibri" w:hAnsi="Calibri" w:cs="Calibri"/>
        </w:rPr>
        <w:t xml:space="preserve"> pramení z obecného zaměření školení </w:t>
      </w:r>
      <w:r>
        <w:t>interního vzdělávání poskytovaného MMR</w:t>
      </w:r>
      <w:r w:rsidRPr="00C3293F">
        <w:rPr>
          <w:rFonts w:ascii="Calibri" w:hAnsi="Calibri" w:cs="Calibri"/>
        </w:rPr>
        <w:t xml:space="preserve"> bez konkrétních odborných okruhů, které by měly přímý dopad na zlepšování v každodenních pracovních činnostech</w:t>
      </w:r>
      <w:r>
        <w:rPr>
          <w:rFonts w:ascii="Calibri" w:hAnsi="Calibri" w:cs="Calibri"/>
        </w:rPr>
        <w:t xml:space="preserve">. Je tedy doporučeno prosadit zvýšení flexibility kurzů konaných na MMR </w:t>
      </w:r>
      <w:r w:rsidRPr="008C34D2">
        <w:t xml:space="preserve">– především </w:t>
      </w:r>
      <w:r>
        <w:t>orientace na</w:t>
      </w:r>
      <w:r w:rsidRPr="008C34D2">
        <w:t xml:space="preserve"> konkrétní, úzce zaměřen</w:t>
      </w:r>
      <w:r>
        <w:t>á</w:t>
      </w:r>
      <w:r w:rsidRPr="008C34D2">
        <w:t xml:space="preserve"> školení, </w:t>
      </w:r>
      <w:r>
        <w:t xml:space="preserve">která </w:t>
      </w:r>
      <w:r w:rsidRPr="008C34D2">
        <w:t>přímo souvisejí s pracovní náplní zaměstnanců</w:t>
      </w:r>
      <w:r>
        <w:t xml:space="preserve"> a také posílit možnosti externího vzdělávání</w:t>
      </w:r>
      <w:r>
        <w:rPr>
          <w:rFonts w:ascii="Calibri" w:hAnsi="Calibri" w:cs="Calibri"/>
        </w:rPr>
        <w:t>.</w:t>
      </w:r>
    </w:p>
    <w:p w14:paraId="1C7B6222" w14:textId="77777777" w:rsidR="00D22365" w:rsidRDefault="00D22365" w:rsidP="00D22365">
      <w:pPr>
        <w:widowControl w:val="0"/>
        <w:suppressAutoHyphens/>
        <w:spacing w:before="60" w:after="60"/>
        <w:rPr>
          <w:rFonts w:cstheme="minorHAnsi"/>
        </w:rPr>
      </w:pPr>
      <w:r>
        <w:rPr>
          <w:rFonts w:ascii="Calibri" w:hAnsi="Calibri" w:cs="Calibri"/>
        </w:rPr>
        <w:t>I přesto že n</w:t>
      </w:r>
      <w:r>
        <w:rPr>
          <w:rFonts w:cstheme="minorHAnsi"/>
        </w:rPr>
        <w:t>a začátku implementace OP PIK sice byl zpracován Komunikační plán OP PIK, který vymezil cíle, nástroje i způsob monitoringu a hodnocení publicitních opatření, je implementace doporučení Komunikačního plánu na nízké úrovni. Opatření jsou založena na zjišťovaných potřebách gestorů programů, zkušeností s implementací OP a ad-hoc pokynech řídících pracovníků. Nastavování zaměření a obsahu opatření prostřednictvím uvedených vstupů a jeho procesní zajištění je považováno za dostatečné, neboť umožňuje přizpůsobovat opatření potřebám a fázi implementaci OP. Deficitem je neimplementovaná marketingová kampaň.</w:t>
      </w:r>
    </w:p>
    <w:p w14:paraId="44706826" w14:textId="77777777" w:rsidR="00D22365" w:rsidRDefault="00D22365" w:rsidP="00D22365">
      <w:pPr>
        <w:widowControl w:val="0"/>
        <w:suppressAutoHyphens/>
        <w:rPr>
          <w:rFonts w:cstheme="minorHAnsi"/>
        </w:rPr>
      </w:pPr>
      <w:r>
        <w:rPr>
          <w:rFonts w:cstheme="minorHAnsi"/>
        </w:rPr>
        <w:t xml:space="preserve">OP nemá zaveden žádný systém vyhodnocování efektivnosti publicitních opatření </w:t>
      </w:r>
      <w:r>
        <w:t>nad r</w:t>
      </w:r>
      <w:r w:rsidRPr="00725496">
        <w:t xml:space="preserve">ámec obecného monitoringu médií, </w:t>
      </w:r>
      <w:r>
        <w:t xml:space="preserve">monitoringu čtenosti nebo </w:t>
      </w:r>
      <w:r w:rsidRPr="00725496">
        <w:t>zpětné vazby od účastníků seminářů a případně ad-hoc informací od realizátorů komunikačních kampaní</w:t>
      </w:r>
      <w:r>
        <w:rPr>
          <w:rFonts w:cstheme="minorHAnsi"/>
        </w:rPr>
        <w:t>. Průběžný monitoring tedy sice zachycuje statistická data o využití nástrojů, neposkytuje ale pracovníkům ŘO informaci o efektivnosti nástrojů ve vztahu k cílům komunikace i cílovým skupinám.</w:t>
      </w:r>
    </w:p>
    <w:p w14:paraId="6564B960" w14:textId="7E30BB0B" w:rsidR="000F3A1D" w:rsidRDefault="00D22365" w:rsidP="00D22365">
      <w:pPr>
        <w:widowControl w:val="0"/>
        <w:suppressAutoHyphens/>
      </w:pPr>
      <w:r>
        <w:rPr>
          <w:rFonts w:cstheme="minorHAnsi"/>
        </w:rPr>
        <w:t>Byla formulována doporučení k posílení procesů sběru zpětné vazby ve vztahu k publicitním opatřením a vyhodnocování jejich efektivity a v budoucím PO zavést systematizovaný sběr dat.</w:t>
      </w:r>
      <w:r>
        <w:t xml:space="preserve"> </w:t>
      </w:r>
    </w:p>
    <w:p w14:paraId="309BA8FF" w14:textId="368E739E" w:rsidR="005029E1" w:rsidRPr="005029E1" w:rsidRDefault="005029E1" w:rsidP="005029E1">
      <w:pPr>
        <w:pStyle w:val="Nadpis1"/>
        <w:numPr>
          <w:ilvl w:val="0"/>
          <w:numId w:val="0"/>
        </w:numPr>
        <w:ind w:left="432" w:hanging="432"/>
        <w:rPr>
          <w:lang w:val="en-GB"/>
        </w:rPr>
      </w:pPr>
      <w:r w:rsidRPr="005029E1">
        <w:rPr>
          <w:lang w:val="en-GB"/>
        </w:rPr>
        <w:lastRenderedPageBreak/>
        <w:t>Executive summary</w:t>
      </w:r>
    </w:p>
    <w:p w14:paraId="39AA66F0" w14:textId="0660539A" w:rsidR="000501DB" w:rsidRPr="000501DB" w:rsidRDefault="000501DB" w:rsidP="000501DB">
      <w:pPr>
        <w:rPr>
          <w:lang w:val="en-GB"/>
        </w:rPr>
      </w:pPr>
      <w:r w:rsidRPr="000501DB">
        <w:rPr>
          <w:lang w:val="en-GB"/>
        </w:rPr>
        <w:t xml:space="preserve">The evaluation </w:t>
      </w:r>
      <w:r>
        <w:rPr>
          <w:lang w:val="en-GB"/>
        </w:rPr>
        <w:t>has proven</w:t>
      </w:r>
      <w:r w:rsidRPr="000501DB">
        <w:rPr>
          <w:lang w:val="en-GB"/>
        </w:rPr>
        <w:t xml:space="preserve"> that at the operational level, the implementation processes are set up adequately. Deviations of the implementation of </w:t>
      </w:r>
      <w:r>
        <w:rPr>
          <w:lang w:val="en-GB"/>
        </w:rPr>
        <w:t>Technical Assistance (TA)</w:t>
      </w:r>
      <w:r w:rsidRPr="000501DB">
        <w:rPr>
          <w:lang w:val="en-GB"/>
        </w:rPr>
        <w:t xml:space="preserve"> processes from their form prescribed by the methodological environment were identified and partial recommendations were formulated. It was </w:t>
      </w:r>
      <w:r>
        <w:rPr>
          <w:lang w:val="en-GB"/>
        </w:rPr>
        <w:t>recognized</w:t>
      </w:r>
      <w:r w:rsidRPr="000501DB">
        <w:rPr>
          <w:lang w:val="en-GB"/>
        </w:rPr>
        <w:t xml:space="preserve"> that the T</w:t>
      </w:r>
      <w:r>
        <w:rPr>
          <w:lang w:val="en-GB"/>
        </w:rPr>
        <w:t>A</w:t>
      </w:r>
      <w:r w:rsidRPr="000501DB">
        <w:rPr>
          <w:lang w:val="en-GB"/>
        </w:rPr>
        <w:t xml:space="preserve"> rather corresponds to the needs of the MA of the OP E</w:t>
      </w:r>
      <w:r>
        <w:rPr>
          <w:lang w:val="en-GB"/>
        </w:rPr>
        <w:t>ntrepreneurship and Innovations for Competitiveness (EIC)</w:t>
      </w:r>
      <w:r w:rsidRPr="000501DB">
        <w:rPr>
          <w:lang w:val="en-GB"/>
        </w:rPr>
        <w:t xml:space="preserve">. </w:t>
      </w:r>
      <w:r w:rsidR="00E7257D">
        <w:rPr>
          <w:lang w:val="en-GB"/>
        </w:rPr>
        <w:t>I</w:t>
      </w:r>
      <w:r>
        <w:rPr>
          <w:lang w:val="en-GB"/>
        </w:rPr>
        <w:t>dentified</w:t>
      </w:r>
      <w:r w:rsidRPr="000501DB">
        <w:rPr>
          <w:lang w:val="en-GB"/>
        </w:rPr>
        <w:t xml:space="preserve"> deviations </w:t>
      </w:r>
      <w:r>
        <w:rPr>
          <w:lang w:val="en-GB"/>
        </w:rPr>
        <w:t xml:space="preserve">stem from </w:t>
      </w:r>
      <w:r w:rsidRPr="000501DB">
        <w:rPr>
          <w:lang w:val="en-GB"/>
        </w:rPr>
        <w:t xml:space="preserve">fact that specific activities are not defined in detail </w:t>
      </w:r>
      <w:r>
        <w:rPr>
          <w:lang w:val="en-GB"/>
        </w:rPr>
        <w:t>within</w:t>
      </w:r>
      <w:r w:rsidRPr="000501DB">
        <w:rPr>
          <w:lang w:val="en-GB"/>
        </w:rPr>
        <w:t xml:space="preserve"> the methodological environment and </w:t>
      </w:r>
      <w:r>
        <w:rPr>
          <w:lang w:val="en-GB"/>
        </w:rPr>
        <w:t>their</w:t>
      </w:r>
      <w:r w:rsidRPr="000501DB">
        <w:rPr>
          <w:lang w:val="en-GB"/>
        </w:rPr>
        <w:t xml:space="preserve"> implementation is </w:t>
      </w:r>
      <w:r>
        <w:rPr>
          <w:lang w:val="en-GB"/>
        </w:rPr>
        <w:t xml:space="preserve">therefore </w:t>
      </w:r>
      <w:r w:rsidRPr="000501DB">
        <w:rPr>
          <w:lang w:val="en-GB"/>
        </w:rPr>
        <w:t xml:space="preserve">based </w:t>
      </w:r>
      <w:r>
        <w:rPr>
          <w:lang w:val="en-GB"/>
        </w:rPr>
        <w:t>rather</w:t>
      </w:r>
      <w:r w:rsidRPr="000501DB">
        <w:rPr>
          <w:lang w:val="en-GB"/>
        </w:rPr>
        <w:t xml:space="preserve"> on informal practice.</w:t>
      </w:r>
    </w:p>
    <w:p w14:paraId="5F2A3888" w14:textId="613C665B" w:rsidR="000501DB" w:rsidRDefault="000501DB" w:rsidP="000501DB">
      <w:pPr>
        <w:rPr>
          <w:lang w:val="en-GB"/>
        </w:rPr>
      </w:pPr>
      <w:r>
        <w:rPr>
          <w:lang w:val="en-GB"/>
        </w:rPr>
        <w:t>Next</w:t>
      </w:r>
      <w:r w:rsidRPr="000501DB">
        <w:rPr>
          <w:lang w:val="en-GB"/>
        </w:rPr>
        <w:t>, the evaluation focused</w:t>
      </w:r>
      <w:r>
        <w:rPr>
          <w:lang w:val="en-GB"/>
        </w:rPr>
        <w:t xml:space="preserve"> on the extent to which the methodological</w:t>
      </w:r>
      <w:r w:rsidR="00E7257D">
        <w:rPr>
          <w:lang w:val="en-GB"/>
        </w:rPr>
        <w:t xml:space="preserve"> environment</w:t>
      </w:r>
      <w:r>
        <w:rPr>
          <w:lang w:val="en-GB"/>
        </w:rPr>
        <w:t xml:space="preserve"> prescribes fulfilment of activities related to MA tasks and processes that </w:t>
      </w:r>
      <w:r w:rsidRPr="000501DB">
        <w:rPr>
          <w:lang w:val="en-GB"/>
        </w:rPr>
        <w:t xml:space="preserve">generate an </w:t>
      </w:r>
      <w:r>
        <w:rPr>
          <w:lang w:val="en-GB"/>
        </w:rPr>
        <w:t xml:space="preserve">unnecessary </w:t>
      </w:r>
      <w:r w:rsidRPr="000501DB">
        <w:rPr>
          <w:lang w:val="en-GB"/>
        </w:rPr>
        <w:t xml:space="preserve">administrative burden. In this </w:t>
      </w:r>
      <w:r>
        <w:rPr>
          <w:lang w:val="en-GB"/>
        </w:rPr>
        <w:t>respect</w:t>
      </w:r>
      <w:r w:rsidRPr="000501DB">
        <w:rPr>
          <w:lang w:val="en-GB"/>
        </w:rPr>
        <w:t xml:space="preserve">, </w:t>
      </w:r>
      <w:r>
        <w:rPr>
          <w:lang w:val="en-GB"/>
        </w:rPr>
        <w:t xml:space="preserve">the following </w:t>
      </w:r>
      <w:r w:rsidRPr="000501DB">
        <w:rPr>
          <w:lang w:val="en-GB"/>
        </w:rPr>
        <w:t xml:space="preserve">activities were identified that are not </w:t>
      </w:r>
      <w:r>
        <w:rPr>
          <w:lang w:val="en-GB"/>
        </w:rPr>
        <w:t>regarded as essential</w:t>
      </w:r>
      <w:r w:rsidRPr="000501DB">
        <w:rPr>
          <w:lang w:val="en-GB"/>
        </w:rPr>
        <w:t xml:space="preserve"> according to the MA staff:</w:t>
      </w:r>
    </w:p>
    <w:p w14:paraId="3BB1674B" w14:textId="1958ABDB" w:rsidR="000501DB" w:rsidRPr="000501DB" w:rsidRDefault="000501DB" w:rsidP="000501DB">
      <w:pPr>
        <w:pStyle w:val="Odstavecseseznamem"/>
        <w:numPr>
          <w:ilvl w:val="0"/>
          <w:numId w:val="17"/>
        </w:numPr>
        <w:spacing w:after="160" w:line="259" w:lineRule="auto"/>
        <w:jc w:val="left"/>
        <w:rPr>
          <w:lang w:val="en-GB"/>
        </w:rPr>
      </w:pPr>
      <w:r>
        <w:rPr>
          <w:lang w:val="en-GB"/>
        </w:rPr>
        <w:t>R</w:t>
      </w:r>
      <w:r w:rsidRPr="000501DB">
        <w:rPr>
          <w:lang w:val="en-GB"/>
        </w:rPr>
        <w:t xml:space="preserve">eport on the implementation of the evaluation plan is significantly duplicated with information on the implemented evaluation activities </w:t>
      </w:r>
      <w:r w:rsidR="002D1A4D">
        <w:rPr>
          <w:lang w:val="en-GB"/>
        </w:rPr>
        <w:t xml:space="preserve">provided within </w:t>
      </w:r>
      <w:r w:rsidRPr="000501DB">
        <w:rPr>
          <w:lang w:val="en-GB"/>
        </w:rPr>
        <w:t>the Annual / Final Report.</w:t>
      </w:r>
    </w:p>
    <w:p w14:paraId="1FD46AB6" w14:textId="1788C164" w:rsidR="000501DB" w:rsidRPr="000501DB" w:rsidRDefault="000501DB" w:rsidP="000501DB">
      <w:pPr>
        <w:pStyle w:val="Odstavecseseznamem"/>
        <w:numPr>
          <w:ilvl w:val="0"/>
          <w:numId w:val="17"/>
        </w:numPr>
        <w:spacing w:after="160" w:line="259" w:lineRule="auto"/>
        <w:jc w:val="left"/>
        <w:rPr>
          <w:lang w:val="en-GB"/>
        </w:rPr>
      </w:pPr>
      <w:r w:rsidRPr="000501DB">
        <w:rPr>
          <w:lang w:val="en-GB"/>
        </w:rPr>
        <w:t>Activities</w:t>
      </w:r>
      <w:r w:rsidR="002D1A4D">
        <w:rPr>
          <w:lang w:val="en-GB"/>
        </w:rPr>
        <w:t xml:space="preserve"> related to</w:t>
      </w:r>
      <w:r w:rsidRPr="000501DB">
        <w:rPr>
          <w:lang w:val="en-GB"/>
        </w:rPr>
        <w:t xml:space="preserve"> the control of invoice payment </w:t>
      </w:r>
      <w:r w:rsidR="002D1A4D">
        <w:rPr>
          <w:lang w:val="en-GB"/>
        </w:rPr>
        <w:t>in the scope of</w:t>
      </w:r>
      <w:r w:rsidRPr="000501DB">
        <w:rPr>
          <w:lang w:val="en-GB"/>
        </w:rPr>
        <w:t xml:space="preserve"> implementation</w:t>
      </w:r>
      <w:r w:rsidR="002D1A4D">
        <w:rPr>
          <w:lang w:val="en-GB"/>
        </w:rPr>
        <w:t xml:space="preserve"> of Internal Projects (IP)</w:t>
      </w:r>
      <w:r w:rsidR="00E7257D">
        <w:rPr>
          <w:lang w:val="en-GB"/>
        </w:rPr>
        <w:t>.</w:t>
      </w:r>
    </w:p>
    <w:p w14:paraId="3FA17A74" w14:textId="38620FDA" w:rsidR="000501DB" w:rsidRDefault="000501DB" w:rsidP="000501DB">
      <w:pPr>
        <w:pStyle w:val="Odstavecseseznamem"/>
        <w:numPr>
          <w:ilvl w:val="0"/>
          <w:numId w:val="17"/>
        </w:numPr>
        <w:spacing w:after="160" w:line="259" w:lineRule="auto"/>
        <w:jc w:val="left"/>
        <w:rPr>
          <w:lang w:val="en-GB"/>
        </w:rPr>
      </w:pPr>
      <w:r w:rsidRPr="000501DB">
        <w:rPr>
          <w:lang w:val="en-GB"/>
        </w:rPr>
        <w:t xml:space="preserve">Inefficiencies </w:t>
      </w:r>
      <w:r w:rsidR="002D1A4D">
        <w:rPr>
          <w:lang w:val="en-GB"/>
        </w:rPr>
        <w:t>stemming from</w:t>
      </w:r>
      <w:r w:rsidRPr="000501DB">
        <w:rPr>
          <w:lang w:val="en-GB"/>
        </w:rPr>
        <w:t xml:space="preserve"> insufficient </w:t>
      </w:r>
      <w:r w:rsidR="002D1A4D">
        <w:rPr>
          <w:lang w:val="en-GB"/>
        </w:rPr>
        <w:t>application</w:t>
      </w:r>
      <w:r w:rsidRPr="000501DB">
        <w:rPr>
          <w:lang w:val="en-GB"/>
        </w:rPr>
        <w:t xml:space="preserve"> </w:t>
      </w:r>
      <w:r w:rsidR="00E7257D">
        <w:rPr>
          <w:lang w:val="en-GB"/>
        </w:rPr>
        <w:t xml:space="preserve">of </w:t>
      </w:r>
      <w:r w:rsidRPr="000501DB">
        <w:rPr>
          <w:lang w:val="en-GB"/>
        </w:rPr>
        <w:t xml:space="preserve">automation </w:t>
      </w:r>
      <w:r w:rsidR="002D1A4D">
        <w:rPr>
          <w:lang w:val="en-GB"/>
        </w:rPr>
        <w:t>potentials in specific</w:t>
      </w:r>
      <w:r w:rsidRPr="000501DB">
        <w:rPr>
          <w:lang w:val="en-GB"/>
        </w:rPr>
        <w:t xml:space="preserve"> activities.</w:t>
      </w:r>
    </w:p>
    <w:p w14:paraId="0B459718" w14:textId="3CD0517E" w:rsidR="002D1A4D" w:rsidRPr="002D1A4D" w:rsidRDefault="002D1A4D" w:rsidP="002D1A4D">
      <w:pPr>
        <w:rPr>
          <w:lang w:val="en-GB"/>
        </w:rPr>
      </w:pPr>
      <w:r w:rsidRPr="002D1A4D">
        <w:rPr>
          <w:lang w:val="en-GB"/>
        </w:rPr>
        <w:t xml:space="preserve">In the second step, an analysis </w:t>
      </w:r>
      <w:r>
        <w:rPr>
          <w:lang w:val="en-GB"/>
        </w:rPr>
        <w:t>focused on identification of gaps</w:t>
      </w:r>
      <w:r w:rsidRPr="002D1A4D">
        <w:rPr>
          <w:lang w:val="en-GB"/>
        </w:rPr>
        <w:t xml:space="preserve"> </w:t>
      </w:r>
      <w:r>
        <w:rPr>
          <w:lang w:val="en-GB"/>
        </w:rPr>
        <w:t xml:space="preserve">that are not sufficiently supported by the methodological environment </w:t>
      </w:r>
      <w:r w:rsidRPr="002D1A4D">
        <w:rPr>
          <w:lang w:val="en-GB"/>
        </w:rPr>
        <w:t>was carried out. The following deficits were identified:</w:t>
      </w:r>
    </w:p>
    <w:p w14:paraId="07C22C71" w14:textId="2506F8EF" w:rsidR="002D1A4D" w:rsidRPr="002D1A4D" w:rsidRDefault="002D1A4D" w:rsidP="002D1A4D">
      <w:pPr>
        <w:pStyle w:val="Odstavecseseznamem"/>
        <w:numPr>
          <w:ilvl w:val="0"/>
          <w:numId w:val="17"/>
        </w:numPr>
        <w:spacing w:after="160" w:line="259" w:lineRule="auto"/>
        <w:jc w:val="left"/>
        <w:rPr>
          <w:lang w:val="en-GB"/>
        </w:rPr>
      </w:pPr>
      <w:r>
        <w:rPr>
          <w:lang w:val="en-GB"/>
        </w:rPr>
        <w:t>Missing</w:t>
      </w:r>
      <w:r w:rsidRPr="002D1A4D">
        <w:rPr>
          <w:lang w:val="en-GB"/>
        </w:rPr>
        <w:t xml:space="preserve"> process of </w:t>
      </w:r>
      <w:r>
        <w:rPr>
          <w:lang w:val="en-GB"/>
        </w:rPr>
        <w:t xml:space="preserve">a follow-up </w:t>
      </w:r>
      <w:r w:rsidRPr="002D1A4D">
        <w:rPr>
          <w:lang w:val="en-GB"/>
        </w:rPr>
        <w:t xml:space="preserve">monitoring </w:t>
      </w:r>
      <w:r>
        <w:rPr>
          <w:lang w:val="en-GB"/>
        </w:rPr>
        <w:t>of actual implementation of</w:t>
      </w:r>
      <w:r w:rsidRPr="002D1A4D">
        <w:rPr>
          <w:lang w:val="en-GB"/>
        </w:rPr>
        <w:t xml:space="preserve"> evaluation recommendations into practice, which causes</w:t>
      </w:r>
      <w:r>
        <w:rPr>
          <w:lang w:val="en-GB"/>
        </w:rPr>
        <w:t xml:space="preserve"> the</w:t>
      </w:r>
      <w:r w:rsidRPr="002D1A4D">
        <w:rPr>
          <w:lang w:val="en-GB"/>
        </w:rPr>
        <w:t xml:space="preserve"> recommendations</w:t>
      </w:r>
      <w:r>
        <w:rPr>
          <w:lang w:val="en-GB"/>
        </w:rPr>
        <w:t xml:space="preserve"> being rather formal</w:t>
      </w:r>
      <w:r w:rsidR="00E7257D">
        <w:rPr>
          <w:lang w:val="en-GB"/>
        </w:rPr>
        <w:t>.</w:t>
      </w:r>
    </w:p>
    <w:p w14:paraId="01C3728F" w14:textId="033EEF02" w:rsidR="002D1A4D" w:rsidRPr="005029E1" w:rsidRDefault="002D1A4D" w:rsidP="002D1A4D">
      <w:pPr>
        <w:pStyle w:val="Odstavecseseznamem"/>
        <w:numPr>
          <w:ilvl w:val="0"/>
          <w:numId w:val="17"/>
        </w:numPr>
        <w:spacing w:after="160" w:line="259" w:lineRule="auto"/>
        <w:jc w:val="left"/>
        <w:rPr>
          <w:lang w:val="en-GB"/>
        </w:rPr>
      </w:pPr>
      <w:r w:rsidRPr="002D1A4D">
        <w:rPr>
          <w:lang w:val="en-GB"/>
        </w:rPr>
        <w:t xml:space="preserve">Absence of manuals for the implementation </w:t>
      </w:r>
      <w:r>
        <w:rPr>
          <w:lang w:val="en-GB"/>
        </w:rPr>
        <w:t>of some</w:t>
      </w:r>
      <w:r w:rsidRPr="002D1A4D">
        <w:rPr>
          <w:lang w:val="en-GB"/>
        </w:rPr>
        <w:t xml:space="preserve"> of the </w:t>
      </w:r>
      <w:r>
        <w:rPr>
          <w:lang w:val="en-GB"/>
        </w:rPr>
        <w:t>TA</w:t>
      </w:r>
      <w:r w:rsidRPr="002D1A4D">
        <w:rPr>
          <w:lang w:val="en-GB"/>
        </w:rPr>
        <w:t xml:space="preserve"> processes</w:t>
      </w:r>
      <w:r>
        <w:rPr>
          <w:lang w:val="en-GB"/>
        </w:rPr>
        <w:t xml:space="preserve"> in OP EIC</w:t>
      </w:r>
      <w:r w:rsidRPr="002D1A4D">
        <w:rPr>
          <w:lang w:val="en-GB"/>
        </w:rPr>
        <w:t>.</w:t>
      </w:r>
    </w:p>
    <w:p w14:paraId="6852B0F3" w14:textId="10628268" w:rsidR="005029E1" w:rsidRPr="005029E1" w:rsidRDefault="002D1A4D" w:rsidP="005029E1">
      <w:pPr>
        <w:rPr>
          <w:lang w:val="en-GB"/>
        </w:rPr>
      </w:pPr>
      <w:r w:rsidRPr="002D1A4D">
        <w:rPr>
          <w:lang w:val="en-GB"/>
        </w:rPr>
        <w:t>Following the findings, recommendations</w:t>
      </w:r>
      <w:r>
        <w:rPr>
          <w:lang w:val="en-GB"/>
        </w:rPr>
        <w:t xml:space="preserve"> aiming at</w:t>
      </w:r>
      <w:r w:rsidRPr="002D1A4D">
        <w:rPr>
          <w:lang w:val="en-GB"/>
        </w:rPr>
        <w:t xml:space="preserve"> the cancellation </w:t>
      </w:r>
      <w:r>
        <w:rPr>
          <w:lang w:val="en-GB"/>
        </w:rPr>
        <w:t>or</w:t>
      </w:r>
      <w:r w:rsidRPr="002D1A4D">
        <w:rPr>
          <w:lang w:val="en-GB"/>
        </w:rPr>
        <w:t xml:space="preserve"> addition of </w:t>
      </w:r>
      <w:r>
        <w:rPr>
          <w:lang w:val="en-GB"/>
        </w:rPr>
        <w:t xml:space="preserve">specific </w:t>
      </w:r>
      <w:r w:rsidRPr="002D1A4D">
        <w:rPr>
          <w:lang w:val="en-GB"/>
        </w:rPr>
        <w:t>activities</w:t>
      </w:r>
      <w:r>
        <w:rPr>
          <w:lang w:val="en-GB"/>
        </w:rPr>
        <w:t xml:space="preserve"> were formulated.</w:t>
      </w:r>
    </w:p>
    <w:p w14:paraId="3F1A6EE7" w14:textId="37D3520E" w:rsidR="002D1A4D" w:rsidRDefault="002D1A4D" w:rsidP="005029E1">
      <w:pPr>
        <w:widowControl w:val="0"/>
        <w:suppressAutoHyphens/>
        <w:spacing w:before="60" w:after="60"/>
        <w:rPr>
          <w:lang w:val="en-GB"/>
        </w:rPr>
      </w:pPr>
    </w:p>
    <w:p w14:paraId="40FFB4C2" w14:textId="162AD131" w:rsidR="00961B20" w:rsidRDefault="00961B20" w:rsidP="005029E1">
      <w:pPr>
        <w:widowControl w:val="0"/>
        <w:suppressAutoHyphens/>
        <w:spacing w:before="60" w:after="60"/>
        <w:rPr>
          <w:lang w:val="en-GB"/>
        </w:rPr>
      </w:pPr>
      <w:r w:rsidRPr="00961B20">
        <w:rPr>
          <w:lang w:val="en-GB"/>
        </w:rPr>
        <w:t xml:space="preserve">The financial allocation is assessed as </w:t>
      </w:r>
      <w:r>
        <w:rPr>
          <w:lang w:val="en-GB"/>
        </w:rPr>
        <w:t xml:space="preserve">rather </w:t>
      </w:r>
      <w:r w:rsidRPr="00961B20">
        <w:rPr>
          <w:lang w:val="en-GB"/>
        </w:rPr>
        <w:t xml:space="preserve">inappropriately set, as it </w:t>
      </w:r>
      <w:r>
        <w:rPr>
          <w:lang w:val="en-GB"/>
        </w:rPr>
        <w:t xml:space="preserve">was only </w:t>
      </w:r>
      <w:r w:rsidRPr="00961B20">
        <w:rPr>
          <w:lang w:val="en-GB"/>
        </w:rPr>
        <w:t>based on the previous programming period and partly took into account</w:t>
      </w:r>
      <w:r>
        <w:rPr>
          <w:lang w:val="en-GB"/>
        </w:rPr>
        <w:t xml:space="preserve"> an</w:t>
      </w:r>
      <w:r w:rsidRPr="00961B20">
        <w:rPr>
          <w:lang w:val="en-GB"/>
        </w:rPr>
        <w:t xml:space="preserve"> external analysis of absorption capacity. However,</w:t>
      </w:r>
      <w:r w:rsidR="00E7257D">
        <w:rPr>
          <w:lang w:val="en-GB"/>
        </w:rPr>
        <w:t xml:space="preserve"> specific</w:t>
      </w:r>
      <w:r w:rsidRPr="00961B20">
        <w:rPr>
          <w:lang w:val="en-GB"/>
        </w:rPr>
        <w:t xml:space="preserve"> analy</w:t>
      </w:r>
      <w:r>
        <w:rPr>
          <w:lang w:val="en-GB"/>
        </w:rPr>
        <w:t>s</w:t>
      </w:r>
      <w:r w:rsidRPr="00961B20">
        <w:rPr>
          <w:lang w:val="en-GB"/>
        </w:rPr>
        <w:t xml:space="preserve">es of the needs of the TA budget were not </w:t>
      </w:r>
      <w:r>
        <w:rPr>
          <w:lang w:val="en-GB"/>
        </w:rPr>
        <w:t>carried out</w:t>
      </w:r>
      <w:r w:rsidRPr="00961B20">
        <w:rPr>
          <w:lang w:val="en-GB"/>
        </w:rPr>
        <w:t xml:space="preserve"> and </w:t>
      </w:r>
      <w:r>
        <w:rPr>
          <w:lang w:val="en-GB"/>
        </w:rPr>
        <w:t>neither</w:t>
      </w:r>
      <w:r w:rsidRPr="00961B20">
        <w:rPr>
          <w:lang w:val="en-GB"/>
        </w:rPr>
        <w:t xml:space="preserve"> was taken into account that </w:t>
      </w:r>
      <w:r>
        <w:rPr>
          <w:lang w:val="en-GB"/>
        </w:rPr>
        <w:t>a significant portion allocated to TA budget was ultimately not used in the previous programming period</w:t>
      </w:r>
      <w:r w:rsidRPr="00961B20">
        <w:rPr>
          <w:lang w:val="en-GB"/>
        </w:rPr>
        <w:t xml:space="preserve">. </w:t>
      </w:r>
      <w:r w:rsidR="00E7257D">
        <w:rPr>
          <w:lang w:val="en-GB"/>
        </w:rPr>
        <w:t>S</w:t>
      </w:r>
      <w:r w:rsidRPr="00961B20">
        <w:rPr>
          <w:lang w:val="en-GB"/>
        </w:rPr>
        <w:t xml:space="preserve">imilar trend </w:t>
      </w:r>
      <w:r>
        <w:rPr>
          <w:lang w:val="en-GB"/>
        </w:rPr>
        <w:t>needs to</w:t>
      </w:r>
      <w:r w:rsidRPr="00961B20">
        <w:rPr>
          <w:lang w:val="en-GB"/>
        </w:rPr>
        <w:t xml:space="preserve"> be expected in the T</w:t>
      </w:r>
      <w:r>
        <w:rPr>
          <w:lang w:val="en-GB"/>
        </w:rPr>
        <w:t>A</w:t>
      </w:r>
      <w:r w:rsidRPr="00961B20">
        <w:rPr>
          <w:lang w:val="en-GB"/>
        </w:rPr>
        <w:t xml:space="preserve"> </w:t>
      </w:r>
      <w:r>
        <w:rPr>
          <w:lang w:val="en-GB"/>
        </w:rPr>
        <w:t xml:space="preserve">of </w:t>
      </w:r>
      <w:r w:rsidRPr="00961B20">
        <w:rPr>
          <w:lang w:val="en-GB"/>
        </w:rPr>
        <w:t xml:space="preserve">OP EIC. Furthermore, </w:t>
      </w:r>
      <w:r>
        <w:rPr>
          <w:lang w:val="en-GB"/>
        </w:rPr>
        <w:t xml:space="preserve">although </w:t>
      </w:r>
      <w:r w:rsidRPr="00961B20">
        <w:rPr>
          <w:lang w:val="en-GB"/>
        </w:rPr>
        <w:t xml:space="preserve">the processes for evaluating the use of TP are set up </w:t>
      </w:r>
      <w:r>
        <w:rPr>
          <w:lang w:val="en-GB"/>
        </w:rPr>
        <w:t>appropriately</w:t>
      </w:r>
      <w:r w:rsidRPr="00961B20">
        <w:rPr>
          <w:lang w:val="en-GB"/>
        </w:rPr>
        <w:t xml:space="preserve">, the expenditure estimates do not correspond to reality. This discrepancy is observed </w:t>
      </w:r>
      <w:r>
        <w:rPr>
          <w:lang w:val="en-GB"/>
        </w:rPr>
        <w:t xml:space="preserve">especially </w:t>
      </w:r>
      <w:r w:rsidR="00E7257D">
        <w:rPr>
          <w:lang w:val="en-GB"/>
        </w:rPr>
        <w:t>when it comes to</w:t>
      </w:r>
      <w:r w:rsidRPr="00961B20">
        <w:rPr>
          <w:lang w:val="en-GB"/>
        </w:rPr>
        <w:t xml:space="preserve"> expenditures </w:t>
      </w:r>
      <w:r>
        <w:rPr>
          <w:lang w:val="en-GB"/>
        </w:rPr>
        <w:t xml:space="preserve">allocated </w:t>
      </w:r>
      <w:r w:rsidRPr="00961B20">
        <w:rPr>
          <w:lang w:val="en-GB"/>
        </w:rPr>
        <w:t>on external services</w:t>
      </w:r>
      <w:r>
        <w:rPr>
          <w:lang w:val="en-GB"/>
        </w:rPr>
        <w:t xml:space="preserve"> and is caused primarily by </w:t>
      </w:r>
      <w:r w:rsidRPr="00961B20">
        <w:rPr>
          <w:lang w:val="en-GB"/>
        </w:rPr>
        <w:t>changes in the method of administration and management of the OP, delays caused</w:t>
      </w:r>
      <w:r>
        <w:rPr>
          <w:lang w:val="en-GB"/>
        </w:rPr>
        <w:t xml:space="preserve"> by lengthy public procurement procedures </w:t>
      </w:r>
      <w:r w:rsidRPr="00961B20">
        <w:rPr>
          <w:lang w:val="en-GB"/>
        </w:rPr>
        <w:t>and the operational nature of the TA</w:t>
      </w:r>
      <w:r>
        <w:rPr>
          <w:lang w:val="en-GB"/>
        </w:rPr>
        <w:t xml:space="preserve"> in general</w:t>
      </w:r>
      <w:r w:rsidRPr="00961B20">
        <w:rPr>
          <w:lang w:val="en-GB"/>
        </w:rPr>
        <w:t>. The discrepancy between planned and actual expenditure is not sufficiently taken into account when planning expenditure</w:t>
      </w:r>
      <w:r w:rsidR="00E7257D">
        <w:rPr>
          <w:lang w:val="en-GB"/>
        </w:rPr>
        <w:t>s</w:t>
      </w:r>
      <w:r w:rsidRPr="00961B20">
        <w:rPr>
          <w:lang w:val="en-GB"/>
        </w:rPr>
        <w:t xml:space="preserve"> until 2023.</w:t>
      </w:r>
    </w:p>
    <w:p w14:paraId="70A3C51A" w14:textId="10878CDB" w:rsidR="00961B20" w:rsidRPr="00961B20" w:rsidRDefault="00961B20" w:rsidP="00961B20">
      <w:pPr>
        <w:widowControl w:val="0"/>
        <w:suppressAutoHyphens/>
        <w:spacing w:before="60" w:after="60"/>
        <w:rPr>
          <w:lang w:val="en-GB"/>
        </w:rPr>
      </w:pPr>
      <w:r>
        <w:rPr>
          <w:lang w:val="en-GB"/>
        </w:rPr>
        <w:t>Addressing these</w:t>
      </w:r>
      <w:r w:rsidRPr="00961B20">
        <w:rPr>
          <w:lang w:val="en-GB"/>
        </w:rPr>
        <w:t xml:space="preserve"> findings and conclusions, </w:t>
      </w:r>
      <w:r>
        <w:rPr>
          <w:lang w:val="en-GB"/>
        </w:rPr>
        <w:t xml:space="preserve">the following </w:t>
      </w:r>
      <w:r w:rsidRPr="00961B20">
        <w:rPr>
          <w:lang w:val="en-GB"/>
        </w:rPr>
        <w:t>recommendations were formulated:</w:t>
      </w:r>
    </w:p>
    <w:p w14:paraId="55CD66E9" w14:textId="47A6F49F" w:rsidR="00961B20" w:rsidRPr="00961B20" w:rsidRDefault="00961B20" w:rsidP="00961B20">
      <w:pPr>
        <w:pStyle w:val="Odstavecseseznamem"/>
        <w:widowControl w:val="0"/>
        <w:numPr>
          <w:ilvl w:val="0"/>
          <w:numId w:val="17"/>
        </w:numPr>
        <w:suppressAutoHyphens/>
        <w:spacing w:before="60" w:after="60"/>
        <w:rPr>
          <w:lang w:val="en-GB"/>
        </w:rPr>
      </w:pPr>
      <w:r w:rsidRPr="00961B20">
        <w:rPr>
          <w:lang w:val="en-GB"/>
        </w:rPr>
        <w:t xml:space="preserve">Prepare a forecast for drawing </w:t>
      </w:r>
      <w:r w:rsidR="002B0CF7">
        <w:rPr>
          <w:lang w:val="en-GB"/>
        </w:rPr>
        <w:t>funds allocated to TA</w:t>
      </w:r>
      <w:r w:rsidRPr="00961B20">
        <w:rPr>
          <w:lang w:val="en-GB"/>
        </w:rPr>
        <w:t xml:space="preserve"> until 2023 based on planned expenditures </w:t>
      </w:r>
      <w:r w:rsidRPr="00961B20">
        <w:rPr>
          <w:lang w:val="en-GB"/>
        </w:rPr>
        <w:lastRenderedPageBreak/>
        <w:t>and start the process of reallocation of unspent funds.</w:t>
      </w:r>
    </w:p>
    <w:p w14:paraId="2FEECAE0" w14:textId="7F54E3A8" w:rsidR="00961B20" w:rsidRPr="00961B20" w:rsidRDefault="00961B20" w:rsidP="00961B20">
      <w:pPr>
        <w:pStyle w:val="Odstavecseseznamem"/>
        <w:widowControl w:val="0"/>
        <w:numPr>
          <w:ilvl w:val="0"/>
          <w:numId w:val="17"/>
        </w:numPr>
        <w:suppressAutoHyphens/>
        <w:spacing w:before="60" w:after="60"/>
        <w:rPr>
          <w:lang w:val="en-GB"/>
        </w:rPr>
      </w:pPr>
      <w:r w:rsidRPr="00961B20">
        <w:rPr>
          <w:lang w:val="en-GB"/>
        </w:rPr>
        <w:t xml:space="preserve">For the future </w:t>
      </w:r>
      <w:r w:rsidR="002B0CF7">
        <w:rPr>
          <w:lang w:val="en-GB"/>
        </w:rPr>
        <w:t>programming period</w:t>
      </w:r>
      <w:r w:rsidRPr="00961B20">
        <w:rPr>
          <w:lang w:val="en-GB"/>
        </w:rPr>
        <w:t xml:space="preserve">, prepare an analysis of financial </w:t>
      </w:r>
      <w:r w:rsidR="002B0CF7">
        <w:rPr>
          <w:lang w:val="en-GB"/>
        </w:rPr>
        <w:t>drawdown</w:t>
      </w:r>
      <w:r w:rsidRPr="00961B20">
        <w:rPr>
          <w:lang w:val="en-GB"/>
        </w:rPr>
        <w:t xml:space="preserve"> of TA </w:t>
      </w:r>
      <w:r w:rsidR="002B0CF7">
        <w:rPr>
          <w:lang w:val="en-GB"/>
        </w:rPr>
        <w:t>funds in</w:t>
      </w:r>
      <w:r w:rsidRPr="00961B20">
        <w:rPr>
          <w:lang w:val="en-GB"/>
        </w:rPr>
        <w:t xml:space="preserve"> the current and previous </w:t>
      </w:r>
      <w:r w:rsidR="002B0CF7">
        <w:rPr>
          <w:lang w:val="en-GB"/>
        </w:rPr>
        <w:t>periods</w:t>
      </w:r>
      <w:r w:rsidRPr="00961B20">
        <w:rPr>
          <w:lang w:val="en-GB"/>
        </w:rPr>
        <w:t xml:space="preserve"> at the level of </w:t>
      </w:r>
      <w:r w:rsidR="002B0CF7">
        <w:rPr>
          <w:lang w:val="en-GB"/>
        </w:rPr>
        <w:t xml:space="preserve">individual </w:t>
      </w:r>
      <w:r w:rsidRPr="00961B20">
        <w:rPr>
          <w:lang w:val="en-GB"/>
        </w:rPr>
        <w:t>expenditure</w:t>
      </w:r>
      <w:r w:rsidR="002B0CF7">
        <w:rPr>
          <w:lang w:val="en-GB"/>
        </w:rPr>
        <w:t>s</w:t>
      </w:r>
      <w:r w:rsidRPr="00961B20">
        <w:rPr>
          <w:lang w:val="en-GB"/>
        </w:rPr>
        <w:t xml:space="preserve"> and </w:t>
      </w:r>
      <w:r w:rsidR="002B0CF7">
        <w:rPr>
          <w:lang w:val="en-GB"/>
        </w:rPr>
        <w:t xml:space="preserve">plan </w:t>
      </w:r>
      <w:r w:rsidRPr="00961B20">
        <w:rPr>
          <w:lang w:val="en-GB"/>
        </w:rPr>
        <w:t xml:space="preserve">more precisely the allocation of TA for </w:t>
      </w:r>
      <w:r w:rsidR="002B0CF7">
        <w:rPr>
          <w:lang w:val="en-GB"/>
        </w:rPr>
        <w:t xml:space="preserve">future </w:t>
      </w:r>
      <w:r w:rsidRPr="00961B20">
        <w:rPr>
          <w:lang w:val="en-GB"/>
        </w:rPr>
        <w:t xml:space="preserve">OP </w:t>
      </w:r>
      <w:r w:rsidR="002B0CF7">
        <w:rPr>
          <w:lang w:val="en-GB"/>
        </w:rPr>
        <w:t>for</w:t>
      </w:r>
      <w:r w:rsidRPr="00961B20">
        <w:rPr>
          <w:lang w:val="en-GB"/>
        </w:rPr>
        <w:t xml:space="preserve"> </w:t>
      </w:r>
      <w:r w:rsidR="002B0CF7">
        <w:rPr>
          <w:lang w:val="en-GB"/>
        </w:rPr>
        <w:t>the</w:t>
      </w:r>
      <w:r w:rsidRPr="00961B20">
        <w:rPr>
          <w:lang w:val="en-GB"/>
        </w:rPr>
        <w:t xml:space="preserve"> 2021+</w:t>
      </w:r>
      <w:r w:rsidR="002B0CF7">
        <w:rPr>
          <w:lang w:val="en-GB"/>
        </w:rPr>
        <w:t xml:space="preserve"> period</w:t>
      </w:r>
      <w:r w:rsidRPr="00961B20">
        <w:rPr>
          <w:lang w:val="en-GB"/>
        </w:rPr>
        <w:t>.</w:t>
      </w:r>
    </w:p>
    <w:p w14:paraId="2E8DC7B9" w14:textId="2F6A06C3" w:rsidR="005029E1" w:rsidRDefault="005029E1" w:rsidP="005029E1">
      <w:pPr>
        <w:widowControl w:val="0"/>
        <w:suppressAutoHyphens/>
        <w:spacing w:before="60" w:after="60"/>
        <w:rPr>
          <w:rFonts w:cstheme="minorHAnsi"/>
          <w:lang w:val="en-GB"/>
        </w:rPr>
      </w:pPr>
    </w:p>
    <w:p w14:paraId="1192415B" w14:textId="06F514B7" w:rsidR="002B0CF7" w:rsidRDefault="002B0CF7" w:rsidP="005029E1">
      <w:pPr>
        <w:widowControl w:val="0"/>
        <w:suppressAutoHyphens/>
        <w:spacing w:before="60" w:after="60"/>
        <w:rPr>
          <w:rFonts w:cstheme="minorHAnsi"/>
          <w:lang w:val="en-GB"/>
        </w:rPr>
      </w:pPr>
      <w:r w:rsidRPr="002B0CF7">
        <w:rPr>
          <w:rFonts w:cstheme="minorHAnsi"/>
          <w:lang w:val="en-GB"/>
        </w:rPr>
        <w:t>Specific objectives and expected results were formulated for the T</w:t>
      </w:r>
      <w:r>
        <w:rPr>
          <w:rFonts w:cstheme="minorHAnsi"/>
          <w:lang w:val="en-GB"/>
        </w:rPr>
        <w:t>A</w:t>
      </w:r>
      <w:r w:rsidRPr="002B0CF7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of </w:t>
      </w:r>
      <w:r w:rsidRPr="002B0CF7">
        <w:rPr>
          <w:rFonts w:cstheme="minorHAnsi"/>
          <w:lang w:val="en-GB"/>
        </w:rPr>
        <w:t>OP EIC, and measurable indicators at the level of results and impacts were formulated for the set objectives. However, indicators are not a sufficient tool for analy</w:t>
      </w:r>
      <w:r>
        <w:rPr>
          <w:rFonts w:cstheme="minorHAnsi"/>
          <w:lang w:val="en-GB"/>
        </w:rPr>
        <w:t>s</w:t>
      </w:r>
      <w:r w:rsidRPr="002B0CF7">
        <w:rPr>
          <w:rFonts w:cstheme="minorHAnsi"/>
          <w:lang w:val="en-GB"/>
        </w:rPr>
        <w:t xml:space="preserve">ing progress in achieving </w:t>
      </w:r>
      <w:r>
        <w:rPr>
          <w:rFonts w:cstheme="minorHAnsi"/>
          <w:lang w:val="en-GB"/>
        </w:rPr>
        <w:t xml:space="preserve">TA </w:t>
      </w:r>
      <w:r w:rsidRPr="002B0CF7">
        <w:rPr>
          <w:rFonts w:cstheme="minorHAnsi"/>
          <w:lang w:val="en-GB"/>
        </w:rPr>
        <w:t xml:space="preserve">objectives - they focus </w:t>
      </w:r>
      <w:r>
        <w:rPr>
          <w:rFonts w:cstheme="minorHAnsi"/>
          <w:lang w:val="en-GB"/>
        </w:rPr>
        <w:t xml:space="preserve">only </w:t>
      </w:r>
      <w:r w:rsidRPr="002B0CF7">
        <w:rPr>
          <w:rFonts w:cstheme="minorHAnsi"/>
          <w:lang w:val="en-GB"/>
        </w:rPr>
        <w:t xml:space="preserve">on </w:t>
      </w:r>
      <w:r>
        <w:rPr>
          <w:rFonts w:cstheme="minorHAnsi"/>
          <w:lang w:val="en-GB"/>
        </w:rPr>
        <w:t>a selection</w:t>
      </w:r>
      <w:r w:rsidRPr="002B0CF7">
        <w:rPr>
          <w:rFonts w:cstheme="minorHAnsi"/>
          <w:lang w:val="en-GB"/>
        </w:rPr>
        <w:t xml:space="preserve"> of </w:t>
      </w:r>
      <w:r w:rsidR="00E7257D">
        <w:rPr>
          <w:rFonts w:cstheme="minorHAnsi"/>
          <w:lang w:val="en-GB"/>
        </w:rPr>
        <w:t>OP</w:t>
      </w:r>
      <w:r w:rsidR="00E7257D">
        <w:rPr>
          <w:rFonts w:cstheme="minorHAnsi"/>
          <w:lang w:val="en-US"/>
        </w:rPr>
        <w:t>’s</w:t>
      </w:r>
      <w:r w:rsidRPr="002B0CF7">
        <w:rPr>
          <w:rFonts w:cstheme="minorHAnsi"/>
          <w:lang w:val="en-GB"/>
        </w:rPr>
        <w:t xml:space="preserve"> objectives or "measure" effects that can be considered a necessary condition for meeting the objectives of TP</w:t>
      </w:r>
      <w:r>
        <w:rPr>
          <w:rFonts w:cstheme="minorHAnsi"/>
          <w:lang w:val="en-GB"/>
        </w:rPr>
        <w:t xml:space="preserve">, but not </w:t>
      </w:r>
      <w:r w:rsidR="00E7257D">
        <w:rPr>
          <w:rFonts w:cstheme="minorHAnsi"/>
          <w:lang w:val="en-GB"/>
        </w:rPr>
        <w:t xml:space="preserve">the </w:t>
      </w:r>
      <w:r>
        <w:rPr>
          <w:rFonts w:cstheme="minorHAnsi"/>
          <w:lang w:val="en-GB"/>
        </w:rPr>
        <w:t>objectives as such</w:t>
      </w:r>
      <w:r w:rsidRPr="002B0CF7">
        <w:rPr>
          <w:rFonts w:cstheme="minorHAnsi"/>
          <w:lang w:val="en-GB"/>
        </w:rPr>
        <w:t xml:space="preserve">. The benefits of TA are thus evaluated only at the level of fulfilment of the </w:t>
      </w:r>
      <w:r>
        <w:rPr>
          <w:rFonts w:cstheme="minorHAnsi"/>
          <w:lang w:val="en-GB"/>
        </w:rPr>
        <w:t>predefined</w:t>
      </w:r>
      <w:r w:rsidRPr="002B0CF7">
        <w:rPr>
          <w:rFonts w:cstheme="minorHAnsi"/>
          <w:lang w:val="en-GB"/>
        </w:rPr>
        <w:t xml:space="preserve"> indicators and financial draw</w:t>
      </w:r>
      <w:r>
        <w:rPr>
          <w:rFonts w:cstheme="minorHAnsi"/>
          <w:lang w:val="en-GB"/>
        </w:rPr>
        <w:t>down.</w:t>
      </w:r>
      <w:r w:rsidRPr="002B0CF7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T</w:t>
      </w:r>
      <w:r w:rsidRPr="002B0CF7">
        <w:rPr>
          <w:rFonts w:cstheme="minorHAnsi"/>
          <w:lang w:val="en-GB"/>
        </w:rPr>
        <w:t xml:space="preserve">he MA does not have information on the </w:t>
      </w:r>
      <w:r>
        <w:rPr>
          <w:rFonts w:cstheme="minorHAnsi"/>
          <w:lang w:val="en-GB"/>
        </w:rPr>
        <w:t xml:space="preserve">actual </w:t>
      </w:r>
      <w:r w:rsidRPr="002B0CF7">
        <w:rPr>
          <w:rFonts w:cstheme="minorHAnsi"/>
          <w:lang w:val="en-GB"/>
        </w:rPr>
        <w:t>fulfilment of specific objectives of T</w:t>
      </w:r>
      <w:r>
        <w:rPr>
          <w:rFonts w:cstheme="minorHAnsi"/>
          <w:lang w:val="en-GB"/>
        </w:rPr>
        <w:t>A</w:t>
      </w:r>
      <w:r w:rsidRPr="002B0CF7">
        <w:rPr>
          <w:rFonts w:cstheme="minorHAnsi"/>
          <w:lang w:val="en-GB"/>
        </w:rPr>
        <w:t xml:space="preserve">. In general, </w:t>
      </w:r>
      <w:r>
        <w:rPr>
          <w:rFonts w:cstheme="minorHAnsi"/>
          <w:lang w:val="en-GB"/>
        </w:rPr>
        <w:t xml:space="preserve">using only </w:t>
      </w:r>
      <w:r w:rsidRPr="002B0CF7">
        <w:rPr>
          <w:rFonts w:cstheme="minorHAnsi"/>
          <w:lang w:val="en-GB"/>
        </w:rPr>
        <w:t xml:space="preserve">indicators </w:t>
      </w:r>
      <w:r>
        <w:rPr>
          <w:rFonts w:cstheme="minorHAnsi"/>
          <w:lang w:val="en-GB"/>
        </w:rPr>
        <w:t xml:space="preserve">for monitoring of the progress of TA with regard to its objectives </w:t>
      </w:r>
      <w:r w:rsidRPr="002B0CF7">
        <w:rPr>
          <w:rFonts w:cstheme="minorHAnsi"/>
          <w:lang w:val="en-GB"/>
        </w:rPr>
        <w:t>is not sufficient. Comprehensive information on the fulfilment of T</w:t>
      </w:r>
      <w:r>
        <w:rPr>
          <w:rFonts w:cstheme="minorHAnsi"/>
          <w:lang w:val="en-GB"/>
        </w:rPr>
        <w:t>A</w:t>
      </w:r>
      <w:r w:rsidRPr="002B0CF7">
        <w:rPr>
          <w:rFonts w:cstheme="minorHAnsi"/>
          <w:lang w:val="en-GB"/>
        </w:rPr>
        <w:t xml:space="preserve"> objectives can be obtained rather through </w:t>
      </w:r>
      <w:r>
        <w:rPr>
          <w:rFonts w:cstheme="minorHAnsi"/>
          <w:lang w:val="en-GB"/>
        </w:rPr>
        <w:t>precisely</w:t>
      </w:r>
      <w:r w:rsidRPr="002B0CF7">
        <w:rPr>
          <w:rFonts w:cstheme="minorHAnsi"/>
          <w:lang w:val="en-GB"/>
        </w:rPr>
        <w:t xml:space="preserve"> targeted studies. </w:t>
      </w:r>
      <w:r>
        <w:rPr>
          <w:rFonts w:cstheme="minorHAnsi"/>
          <w:lang w:val="en-GB"/>
        </w:rPr>
        <w:t xml:space="preserve">The evaluation has, however, </w:t>
      </w:r>
      <w:r w:rsidRPr="002B0CF7">
        <w:rPr>
          <w:rFonts w:cstheme="minorHAnsi"/>
          <w:lang w:val="en-GB"/>
        </w:rPr>
        <w:t xml:space="preserve">not </w:t>
      </w:r>
      <w:r>
        <w:rPr>
          <w:rFonts w:cstheme="minorHAnsi"/>
          <w:lang w:val="en-GB"/>
        </w:rPr>
        <w:t>registered</w:t>
      </w:r>
      <w:r w:rsidRPr="002B0CF7">
        <w:rPr>
          <w:rFonts w:cstheme="minorHAnsi"/>
          <w:lang w:val="en-GB"/>
        </w:rPr>
        <w:t xml:space="preserve"> that there </w:t>
      </w:r>
      <w:r>
        <w:rPr>
          <w:rFonts w:cstheme="minorHAnsi"/>
          <w:lang w:val="en-GB"/>
        </w:rPr>
        <w:t>would be so far any</w:t>
      </w:r>
      <w:r w:rsidRPr="002B0CF7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efforts to reflect on the progress of TA </w:t>
      </w:r>
      <w:r w:rsidRPr="002B0CF7">
        <w:rPr>
          <w:rFonts w:cstheme="minorHAnsi"/>
          <w:lang w:val="en-GB"/>
        </w:rPr>
        <w:t>systematic</w:t>
      </w:r>
      <w:r>
        <w:rPr>
          <w:rFonts w:cstheme="minorHAnsi"/>
          <w:lang w:val="en-GB"/>
        </w:rPr>
        <w:t>ally,</w:t>
      </w:r>
      <w:r w:rsidRPr="002B0CF7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such feedback </w:t>
      </w:r>
      <w:r w:rsidRPr="002B0CF7">
        <w:rPr>
          <w:rFonts w:cstheme="minorHAnsi"/>
          <w:lang w:val="en-GB"/>
        </w:rPr>
        <w:t xml:space="preserve">is rather </w:t>
      </w:r>
      <w:r>
        <w:rPr>
          <w:rFonts w:cstheme="minorHAnsi"/>
          <w:lang w:val="en-GB"/>
        </w:rPr>
        <w:t xml:space="preserve">an </w:t>
      </w:r>
      <w:r w:rsidRPr="002B0CF7">
        <w:rPr>
          <w:rFonts w:cstheme="minorHAnsi"/>
          <w:lang w:val="en-GB"/>
        </w:rPr>
        <w:t>informal</w:t>
      </w:r>
      <w:r>
        <w:rPr>
          <w:rFonts w:cstheme="minorHAnsi"/>
          <w:lang w:val="en-GB"/>
        </w:rPr>
        <w:t xml:space="preserve"> one</w:t>
      </w:r>
      <w:r w:rsidRPr="002B0CF7">
        <w:rPr>
          <w:rFonts w:cstheme="minorHAnsi"/>
          <w:lang w:val="en-GB"/>
        </w:rPr>
        <w:t>.</w:t>
      </w:r>
    </w:p>
    <w:p w14:paraId="391ED897" w14:textId="77705FA3" w:rsidR="002B0CF7" w:rsidRDefault="002B0CF7" w:rsidP="002B0CF7">
      <w:pPr>
        <w:widowControl w:val="0"/>
        <w:suppressAutoHyphens/>
        <w:spacing w:before="60" w:after="60"/>
        <w:rPr>
          <w:rFonts w:cstheme="minorHAnsi"/>
          <w:lang w:val="en-GB"/>
        </w:rPr>
      </w:pPr>
      <w:r w:rsidRPr="002B0CF7">
        <w:rPr>
          <w:rFonts w:cstheme="minorHAnsi"/>
          <w:lang w:val="en-GB"/>
        </w:rPr>
        <w:t xml:space="preserve">In connection with these observed deficits in the </w:t>
      </w:r>
      <w:r w:rsidR="00E7257D">
        <w:rPr>
          <w:rFonts w:cstheme="minorHAnsi"/>
          <w:lang w:val="en-GB"/>
        </w:rPr>
        <w:t xml:space="preserve">TA </w:t>
      </w:r>
      <w:r w:rsidRPr="002B0CF7">
        <w:rPr>
          <w:rFonts w:cstheme="minorHAnsi"/>
          <w:lang w:val="en-GB"/>
        </w:rPr>
        <w:t>strategic management, the following recommendations were formulated:</w:t>
      </w:r>
    </w:p>
    <w:p w14:paraId="15A674D5" w14:textId="0CF2E4A5" w:rsidR="002B0CF7" w:rsidRPr="002B0CF7" w:rsidRDefault="002B0CF7" w:rsidP="002B0CF7">
      <w:pPr>
        <w:pStyle w:val="Odstavecseseznamem"/>
        <w:widowControl w:val="0"/>
        <w:numPr>
          <w:ilvl w:val="0"/>
          <w:numId w:val="17"/>
        </w:numPr>
        <w:suppressAutoHyphens/>
        <w:spacing w:before="60" w:after="60"/>
        <w:rPr>
          <w:rFonts w:cstheme="minorHAnsi"/>
          <w:lang w:val="en-GB"/>
        </w:rPr>
      </w:pPr>
      <w:r>
        <w:rPr>
          <w:rFonts w:cstheme="minorHAnsi"/>
          <w:lang w:val="en-GB"/>
        </w:rPr>
        <w:t>I</w:t>
      </w:r>
      <w:r w:rsidRPr="002B0CF7">
        <w:rPr>
          <w:rFonts w:cstheme="minorHAnsi"/>
          <w:lang w:val="en-GB"/>
        </w:rPr>
        <w:t xml:space="preserve">ncrease the emphasis on </w:t>
      </w:r>
      <w:r>
        <w:rPr>
          <w:rFonts w:cstheme="minorHAnsi"/>
          <w:lang w:val="en-GB"/>
        </w:rPr>
        <w:t>assessment</w:t>
      </w:r>
      <w:r w:rsidRPr="002B0CF7">
        <w:rPr>
          <w:rFonts w:cstheme="minorHAnsi"/>
          <w:lang w:val="en-GB"/>
        </w:rPr>
        <w:t xml:space="preserve"> the effectiveness of T</w:t>
      </w:r>
      <w:r>
        <w:rPr>
          <w:rFonts w:cstheme="minorHAnsi"/>
          <w:lang w:val="en-GB"/>
        </w:rPr>
        <w:t>A in planned evaluations</w:t>
      </w:r>
      <w:r w:rsidRPr="002B0CF7">
        <w:rPr>
          <w:rFonts w:cstheme="minorHAnsi"/>
          <w:lang w:val="en-GB"/>
        </w:rPr>
        <w:t xml:space="preserve">, incl. analysis of the reasons </w:t>
      </w:r>
      <w:r w:rsidR="00E7257D">
        <w:rPr>
          <w:rFonts w:cstheme="minorHAnsi"/>
          <w:lang w:val="en-GB"/>
        </w:rPr>
        <w:t>of</w:t>
      </w:r>
      <w:r w:rsidRPr="002B0CF7">
        <w:rPr>
          <w:rFonts w:cstheme="minorHAnsi"/>
          <w:lang w:val="en-GB"/>
        </w:rPr>
        <w:t xml:space="preserve"> deviations from the TA implementation plan and their impact</w:t>
      </w:r>
      <w:r w:rsidR="006466D7">
        <w:rPr>
          <w:rFonts w:cstheme="minorHAnsi"/>
          <w:lang w:val="en-GB"/>
        </w:rPr>
        <w:t>s</w:t>
      </w:r>
      <w:r w:rsidRPr="002B0CF7">
        <w:rPr>
          <w:rFonts w:cstheme="minorHAnsi"/>
          <w:lang w:val="en-GB"/>
        </w:rPr>
        <w:t xml:space="preserve"> on efficiency - using data on the duration of key processes, results of external controls and collection of primary data from applicants / beneficiaries and MA staff or </w:t>
      </w:r>
      <w:r w:rsidR="00E7257D">
        <w:rPr>
          <w:rFonts w:cstheme="minorHAnsi"/>
          <w:lang w:val="en-GB"/>
        </w:rPr>
        <w:t>perform a</w:t>
      </w:r>
      <w:r w:rsidRPr="002B0CF7">
        <w:rPr>
          <w:rFonts w:cstheme="minorHAnsi"/>
          <w:lang w:val="en-GB"/>
        </w:rPr>
        <w:t xml:space="preserve"> thematic evaluation focused on the effectiveness and impact of TA.</w:t>
      </w:r>
    </w:p>
    <w:p w14:paraId="2FCCED0C" w14:textId="5D3A4B9B" w:rsidR="002B0CF7" w:rsidRPr="002B0CF7" w:rsidRDefault="002B0CF7" w:rsidP="002B0CF7">
      <w:pPr>
        <w:pStyle w:val="Odstavecseseznamem"/>
        <w:widowControl w:val="0"/>
        <w:numPr>
          <w:ilvl w:val="0"/>
          <w:numId w:val="17"/>
        </w:numPr>
        <w:suppressAutoHyphens/>
        <w:spacing w:before="60" w:after="60"/>
        <w:rPr>
          <w:rFonts w:cstheme="minorHAnsi"/>
          <w:lang w:val="en-GB"/>
        </w:rPr>
      </w:pPr>
      <w:r w:rsidRPr="002B0CF7">
        <w:rPr>
          <w:rFonts w:cstheme="minorHAnsi"/>
          <w:lang w:val="en-GB"/>
        </w:rPr>
        <w:t xml:space="preserve">When planning TA for the future OP, strengthen the processes of strategic planning and ongoing evaluation of TA </w:t>
      </w:r>
      <w:r w:rsidR="006466D7">
        <w:rPr>
          <w:rFonts w:cstheme="minorHAnsi"/>
          <w:lang w:val="en-GB"/>
        </w:rPr>
        <w:t>related</w:t>
      </w:r>
      <w:r w:rsidRPr="002B0CF7">
        <w:rPr>
          <w:rFonts w:cstheme="minorHAnsi"/>
          <w:lang w:val="en-GB"/>
        </w:rPr>
        <w:t xml:space="preserve"> to </w:t>
      </w:r>
      <w:r w:rsidR="006466D7">
        <w:rPr>
          <w:rFonts w:cstheme="minorHAnsi"/>
          <w:lang w:val="en-GB"/>
        </w:rPr>
        <w:t xml:space="preserve">set </w:t>
      </w:r>
      <w:r w:rsidRPr="002B0CF7">
        <w:rPr>
          <w:rFonts w:cstheme="minorHAnsi"/>
          <w:lang w:val="en-GB"/>
        </w:rPr>
        <w:t xml:space="preserve">objectives </w:t>
      </w:r>
      <w:r w:rsidR="006466D7">
        <w:rPr>
          <w:rFonts w:cstheme="minorHAnsi"/>
          <w:lang w:val="en-GB"/>
        </w:rPr>
        <w:t>by the means of</w:t>
      </w:r>
      <w:r w:rsidRPr="002B0CF7">
        <w:rPr>
          <w:rFonts w:cstheme="minorHAnsi"/>
          <w:lang w:val="en-GB"/>
        </w:rPr>
        <w:t xml:space="preserve"> an ad-hoc elaborated plan for evaluating the TA of the future OP and data collection.</w:t>
      </w:r>
    </w:p>
    <w:p w14:paraId="3021F39B" w14:textId="77777777" w:rsidR="005029E1" w:rsidRPr="005029E1" w:rsidRDefault="005029E1" w:rsidP="005029E1">
      <w:pPr>
        <w:rPr>
          <w:lang w:val="en-GB"/>
        </w:rPr>
      </w:pPr>
    </w:p>
    <w:p w14:paraId="00AFB435" w14:textId="0BED36CC" w:rsidR="00713453" w:rsidRPr="00713453" w:rsidRDefault="00713453" w:rsidP="00713453">
      <w:pPr>
        <w:rPr>
          <w:lang w:val="en-GB"/>
        </w:rPr>
      </w:pPr>
      <w:r>
        <w:rPr>
          <w:lang w:val="en-GB"/>
        </w:rPr>
        <w:t>Presented f</w:t>
      </w:r>
      <w:r w:rsidRPr="00713453">
        <w:rPr>
          <w:lang w:val="en-GB"/>
        </w:rPr>
        <w:t xml:space="preserve">indings </w:t>
      </w:r>
      <w:r>
        <w:rPr>
          <w:lang w:val="en-GB"/>
        </w:rPr>
        <w:t>regarding</w:t>
      </w:r>
      <w:r w:rsidRPr="00713453">
        <w:rPr>
          <w:lang w:val="en-GB"/>
        </w:rPr>
        <w:t xml:space="preserve"> deficits in financial planning </w:t>
      </w:r>
      <w:r>
        <w:rPr>
          <w:lang w:val="en-GB"/>
        </w:rPr>
        <w:t>played also part</w:t>
      </w:r>
      <w:r w:rsidRPr="00713453">
        <w:rPr>
          <w:lang w:val="en-GB"/>
        </w:rPr>
        <w:t xml:space="preserve"> in the evaluation of IP implementation. Expenditure limits were set on the basis of estimates and previous experience with </w:t>
      </w:r>
      <w:r>
        <w:rPr>
          <w:lang w:val="en-GB"/>
        </w:rPr>
        <w:t>utilizing</w:t>
      </w:r>
      <w:r w:rsidRPr="00713453">
        <w:rPr>
          <w:lang w:val="en-GB"/>
        </w:rPr>
        <w:t xml:space="preserve"> </w:t>
      </w:r>
      <w:r>
        <w:rPr>
          <w:lang w:val="en-GB"/>
        </w:rPr>
        <w:t>of</w:t>
      </w:r>
      <w:r w:rsidRPr="00713453">
        <w:rPr>
          <w:lang w:val="en-GB"/>
        </w:rPr>
        <w:t xml:space="preserve"> T</w:t>
      </w:r>
      <w:r>
        <w:rPr>
          <w:lang w:val="en-GB"/>
        </w:rPr>
        <w:t>A</w:t>
      </w:r>
      <w:r w:rsidRPr="00713453">
        <w:rPr>
          <w:lang w:val="en-GB"/>
        </w:rPr>
        <w:t xml:space="preserve"> </w:t>
      </w:r>
      <w:r>
        <w:rPr>
          <w:lang w:val="en-GB"/>
        </w:rPr>
        <w:t>expenditures</w:t>
      </w:r>
      <w:r w:rsidRPr="00713453">
        <w:rPr>
          <w:lang w:val="en-GB"/>
        </w:rPr>
        <w:t xml:space="preserve"> with insufficient link to the ex</w:t>
      </w:r>
      <w:r>
        <w:rPr>
          <w:lang w:val="en-GB"/>
        </w:rPr>
        <w:t>-</w:t>
      </w:r>
      <w:r w:rsidRPr="00713453">
        <w:rPr>
          <w:lang w:val="en-GB"/>
        </w:rPr>
        <w:t xml:space="preserve">ante cost calculation. Expenditure limits were therefore significantly overestimated and </w:t>
      </w:r>
      <w:r>
        <w:rPr>
          <w:lang w:val="en-GB"/>
        </w:rPr>
        <w:t xml:space="preserve">massive under-absorption of planned costs took place </w:t>
      </w:r>
      <w:r w:rsidRPr="00713453">
        <w:rPr>
          <w:lang w:val="en-GB"/>
        </w:rPr>
        <w:t xml:space="preserve">in the first wave of the </w:t>
      </w:r>
      <w:r>
        <w:rPr>
          <w:lang w:val="en-GB"/>
        </w:rPr>
        <w:t>IPs</w:t>
      </w:r>
      <w:r w:rsidRPr="00713453">
        <w:rPr>
          <w:lang w:val="en-GB"/>
        </w:rPr>
        <w:t xml:space="preserve"> (in the period 2016-2018). On average, </w:t>
      </w:r>
      <w:r>
        <w:rPr>
          <w:lang w:val="en-GB"/>
        </w:rPr>
        <w:t xml:space="preserve">only as much as </w:t>
      </w:r>
      <w:r w:rsidRPr="00713453">
        <w:rPr>
          <w:lang w:val="en-GB"/>
        </w:rPr>
        <w:t>34% of expenditure limits were</w:t>
      </w:r>
      <w:r w:rsidR="00F64E93">
        <w:rPr>
          <w:lang w:val="en-GB"/>
        </w:rPr>
        <w:t xml:space="preserve"> actually</w:t>
      </w:r>
      <w:r w:rsidRPr="00713453">
        <w:rPr>
          <w:lang w:val="en-GB"/>
        </w:rPr>
        <w:t xml:space="preserve"> used. Th</w:t>
      </w:r>
      <w:r>
        <w:rPr>
          <w:lang w:val="en-GB"/>
        </w:rPr>
        <w:t>is low absorption of allocated funds was</w:t>
      </w:r>
      <w:r w:rsidRPr="00713453">
        <w:rPr>
          <w:lang w:val="en-GB"/>
        </w:rPr>
        <w:t xml:space="preserve"> partly caused by changes in the method of T</w:t>
      </w:r>
      <w:r>
        <w:rPr>
          <w:lang w:val="en-GB"/>
        </w:rPr>
        <w:t>A</w:t>
      </w:r>
      <w:r w:rsidRPr="00713453">
        <w:rPr>
          <w:lang w:val="en-GB"/>
        </w:rPr>
        <w:t xml:space="preserve"> implementation and delays in the implementation of </w:t>
      </w:r>
      <w:r>
        <w:rPr>
          <w:lang w:val="en-GB"/>
        </w:rPr>
        <w:t>public procurements</w:t>
      </w:r>
      <w:r w:rsidRPr="00713453">
        <w:rPr>
          <w:lang w:val="en-GB"/>
        </w:rPr>
        <w:t xml:space="preserve">. </w:t>
      </w:r>
      <w:r>
        <w:rPr>
          <w:lang w:val="en-GB"/>
        </w:rPr>
        <w:t>For that reason, i</w:t>
      </w:r>
      <w:r w:rsidRPr="00713453">
        <w:rPr>
          <w:lang w:val="en-GB"/>
        </w:rPr>
        <w:t xml:space="preserve">t is </w:t>
      </w:r>
      <w:r>
        <w:rPr>
          <w:lang w:val="en-GB"/>
        </w:rPr>
        <w:t>difficult</w:t>
      </w:r>
      <w:r w:rsidRPr="00713453">
        <w:rPr>
          <w:lang w:val="en-GB"/>
        </w:rPr>
        <w:t xml:space="preserve"> to analy</w:t>
      </w:r>
      <w:r>
        <w:rPr>
          <w:lang w:val="en-GB"/>
        </w:rPr>
        <w:t>s</w:t>
      </w:r>
      <w:r w:rsidRPr="00713453">
        <w:rPr>
          <w:lang w:val="en-GB"/>
        </w:rPr>
        <w:t xml:space="preserve">e the transparency of </w:t>
      </w:r>
      <w:r>
        <w:rPr>
          <w:lang w:val="en-GB"/>
        </w:rPr>
        <w:t>the selection process of IPs</w:t>
      </w:r>
      <w:r w:rsidRPr="00713453">
        <w:rPr>
          <w:lang w:val="en-GB"/>
        </w:rPr>
        <w:t xml:space="preserve">. </w:t>
      </w:r>
      <w:r>
        <w:rPr>
          <w:lang w:val="en-GB"/>
        </w:rPr>
        <w:t>Respective project a</w:t>
      </w:r>
      <w:r w:rsidRPr="00713453">
        <w:rPr>
          <w:lang w:val="en-GB"/>
        </w:rPr>
        <w:t>pplications for support are very brief</w:t>
      </w:r>
      <w:r>
        <w:rPr>
          <w:lang w:val="en-GB"/>
        </w:rPr>
        <w:t>,</w:t>
      </w:r>
      <w:r w:rsidRPr="00713453">
        <w:rPr>
          <w:lang w:val="en-GB"/>
        </w:rPr>
        <w:t xml:space="preserve"> do not contain the information necessary to </w:t>
      </w:r>
      <w:r>
        <w:rPr>
          <w:lang w:val="en-GB"/>
        </w:rPr>
        <w:t>properly evaluate</w:t>
      </w:r>
      <w:r w:rsidRPr="00713453">
        <w:rPr>
          <w:lang w:val="en-GB"/>
        </w:rPr>
        <w:t xml:space="preserve"> the project</w:t>
      </w:r>
      <w:r>
        <w:rPr>
          <w:lang w:val="en-GB"/>
        </w:rPr>
        <w:t xml:space="preserve"> proposals</w:t>
      </w:r>
      <w:r w:rsidRPr="00713453">
        <w:rPr>
          <w:lang w:val="en-GB"/>
        </w:rPr>
        <w:t xml:space="preserve">, etc. At the same time, it was confirmed that the partial implementation </w:t>
      </w:r>
      <w:r>
        <w:rPr>
          <w:lang w:val="en-GB"/>
        </w:rPr>
        <w:t xml:space="preserve">of IPs </w:t>
      </w:r>
      <w:r w:rsidRPr="00713453">
        <w:rPr>
          <w:lang w:val="en-GB"/>
        </w:rPr>
        <w:t>correspond to the set objectives and the administration of projects is thus effective.</w:t>
      </w:r>
    </w:p>
    <w:p w14:paraId="4612BA76" w14:textId="322628F1" w:rsidR="00713453" w:rsidRDefault="00713453" w:rsidP="00713453">
      <w:pPr>
        <w:rPr>
          <w:lang w:val="en-GB"/>
        </w:rPr>
      </w:pPr>
      <w:r w:rsidRPr="00713453">
        <w:rPr>
          <w:lang w:val="en-GB"/>
        </w:rPr>
        <w:t xml:space="preserve">It is recommended to increase the level of detail </w:t>
      </w:r>
      <w:r>
        <w:rPr>
          <w:lang w:val="en-GB"/>
        </w:rPr>
        <w:t>in elaboration of</w:t>
      </w:r>
      <w:r w:rsidRPr="00713453">
        <w:rPr>
          <w:lang w:val="en-GB"/>
        </w:rPr>
        <w:t xml:space="preserve"> IP</w:t>
      </w:r>
      <w:r w:rsidR="00F64E93">
        <w:rPr>
          <w:lang w:val="en-GB"/>
        </w:rPr>
        <w:t xml:space="preserve"> applications</w:t>
      </w:r>
      <w:r>
        <w:rPr>
          <w:lang w:val="en-GB"/>
        </w:rPr>
        <w:t xml:space="preserve"> </w:t>
      </w:r>
      <w:r w:rsidRPr="00713453">
        <w:rPr>
          <w:lang w:val="en-GB"/>
        </w:rPr>
        <w:t xml:space="preserve">so that it </w:t>
      </w:r>
      <w:r>
        <w:rPr>
          <w:lang w:val="en-GB"/>
        </w:rPr>
        <w:t>would</w:t>
      </w:r>
      <w:r w:rsidRPr="00713453">
        <w:rPr>
          <w:lang w:val="en-GB"/>
        </w:rPr>
        <w:t xml:space="preserve"> </w:t>
      </w:r>
      <w:r>
        <w:rPr>
          <w:lang w:val="en-GB"/>
        </w:rPr>
        <w:t xml:space="preserve">be </w:t>
      </w:r>
      <w:r w:rsidRPr="00713453">
        <w:rPr>
          <w:lang w:val="en-GB"/>
        </w:rPr>
        <w:t xml:space="preserve">possible to apply evaluation criteria and </w:t>
      </w:r>
      <w:r>
        <w:rPr>
          <w:lang w:val="en-GB"/>
        </w:rPr>
        <w:t>properly assess</w:t>
      </w:r>
      <w:r w:rsidRPr="00713453">
        <w:rPr>
          <w:lang w:val="en-GB"/>
        </w:rPr>
        <w:t xml:space="preserve"> IPs in relation to T</w:t>
      </w:r>
      <w:r>
        <w:rPr>
          <w:lang w:val="en-GB"/>
        </w:rPr>
        <w:t>A</w:t>
      </w:r>
      <w:r w:rsidRPr="00713453">
        <w:rPr>
          <w:lang w:val="en-GB"/>
        </w:rPr>
        <w:t xml:space="preserve"> objectives.</w:t>
      </w:r>
    </w:p>
    <w:p w14:paraId="3AA56526" w14:textId="77777777" w:rsidR="00842794" w:rsidRDefault="00842794" w:rsidP="005029E1">
      <w:pPr>
        <w:widowControl w:val="0"/>
        <w:suppressAutoHyphens/>
        <w:rPr>
          <w:lang w:val="en-GB"/>
        </w:rPr>
      </w:pPr>
    </w:p>
    <w:p w14:paraId="7819326E" w14:textId="7C682961" w:rsidR="00842794" w:rsidRPr="00842794" w:rsidRDefault="00842794" w:rsidP="00842794">
      <w:pPr>
        <w:widowControl w:val="0"/>
        <w:suppressAutoHyphens/>
        <w:rPr>
          <w:lang w:val="en-GB"/>
        </w:rPr>
      </w:pPr>
      <w:r w:rsidRPr="00842794">
        <w:rPr>
          <w:lang w:val="en-GB"/>
        </w:rPr>
        <w:lastRenderedPageBreak/>
        <w:t>In the part</w:t>
      </w:r>
      <w:r>
        <w:rPr>
          <w:lang w:val="en-GB"/>
        </w:rPr>
        <w:t xml:space="preserve"> of the evaluation that</w:t>
      </w:r>
      <w:r w:rsidRPr="00842794">
        <w:rPr>
          <w:lang w:val="en-GB"/>
        </w:rPr>
        <w:t xml:space="preserve"> focused on processes of supplier selection</w:t>
      </w:r>
      <w:r>
        <w:rPr>
          <w:lang w:val="en-GB"/>
        </w:rPr>
        <w:t xml:space="preserve"> / public procurement</w:t>
      </w:r>
      <w:r w:rsidRPr="00842794">
        <w:rPr>
          <w:lang w:val="en-GB"/>
        </w:rPr>
        <w:t>, several problem areas were identified</w:t>
      </w:r>
      <w:r>
        <w:rPr>
          <w:lang w:val="en-GB"/>
        </w:rPr>
        <w:t>,</w:t>
      </w:r>
      <w:r w:rsidRPr="00842794">
        <w:rPr>
          <w:lang w:val="en-GB"/>
        </w:rPr>
        <w:t xml:space="preserve"> namely </w:t>
      </w:r>
      <w:r>
        <w:rPr>
          <w:lang w:val="en-GB"/>
        </w:rPr>
        <w:t xml:space="preserve">within </w:t>
      </w:r>
      <w:r w:rsidRPr="00842794">
        <w:rPr>
          <w:lang w:val="en-GB"/>
        </w:rPr>
        <w:t xml:space="preserve">the preparation of tender documentation and the administration of the </w:t>
      </w:r>
      <w:r>
        <w:rPr>
          <w:lang w:val="en-GB"/>
        </w:rPr>
        <w:t>procurement procedure</w:t>
      </w:r>
      <w:r w:rsidRPr="00842794">
        <w:rPr>
          <w:lang w:val="en-GB"/>
        </w:rPr>
        <w:t xml:space="preserve"> itself. From the point of view of IP, it is a complicated and lengthy search for a consensus on the </w:t>
      </w:r>
      <w:r>
        <w:rPr>
          <w:lang w:val="en-GB"/>
        </w:rPr>
        <w:t xml:space="preserve">final </w:t>
      </w:r>
      <w:r w:rsidRPr="00842794">
        <w:rPr>
          <w:lang w:val="en-GB"/>
        </w:rPr>
        <w:t>tender documentation, in which departments 61320 and 10220 are involved, e</w:t>
      </w:r>
      <w:r w:rsidR="00F64E93">
        <w:rPr>
          <w:lang w:val="en-GB"/>
        </w:rPr>
        <w:t>.</w:t>
      </w:r>
      <w:r w:rsidRPr="00842794">
        <w:rPr>
          <w:lang w:val="en-GB"/>
        </w:rPr>
        <w:t>g</w:t>
      </w:r>
      <w:r w:rsidR="00F64E93">
        <w:rPr>
          <w:lang w:val="en-GB"/>
        </w:rPr>
        <w:t>.</w:t>
      </w:r>
      <w:r w:rsidRPr="00842794">
        <w:rPr>
          <w:lang w:val="en-GB"/>
        </w:rPr>
        <w:t xml:space="preserve"> </w:t>
      </w:r>
      <w:r>
        <w:rPr>
          <w:lang w:val="en-GB"/>
        </w:rPr>
        <w:t>circulation</w:t>
      </w:r>
      <w:r w:rsidRPr="00842794">
        <w:rPr>
          <w:lang w:val="en-GB"/>
        </w:rPr>
        <w:t xml:space="preserve"> of </w:t>
      </w:r>
      <w:r>
        <w:rPr>
          <w:lang w:val="en-GB"/>
        </w:rPr>
        <w:t xml:space="preserve">the </w:t>
      </w:r>
      <w:r w:rsidRPr="00842794">
        <w:rPr>
          <w:lang w:val="en-GB"/>
        </w:rPr>
        <w:t>document</w:t>
      </w:r>
      <w:r>
        <w:rPr>
          <w:lang w:val="en-GB"/>
        </w:rPr>
        <w:t>ation</w:t>
      </w:r>
      <w:r w:rsidRPr="00842794">
        <w:rPr>
          <w:lang w:val="en-GB"/>
        </w:rPr>
        <w:t xml:space="preserve"> between departments. </w:t>
      </w:r>
      <w:r>
        <w:rPr>
          <w:lang w:val="en-GB"/>
        </w:rPr>
        <w:t>On the other hand, o</w:t>
      </w:r>
      <w:r w:rsidRPr="00842794">
        <w:rPr>
          <w:lang w:val="en-GB"/>
        </w:rPr>
        <w:t xml:space="preserve">utputs </w:t>
      </w:r>
      <w:r>
        <w:rPr>
          <w:lang w:val="en-GB"/>
        </w:rPr>
        <w:t>of</w:t>
      </w:r>
      <w:r w:rsidRPr="00842794">
        <w:rPr>
          <w:lang w:val="en-GB"/>
        </w:rPr>
        <w:t xml:space="preserve"> the </w:t>
      </w:r>
      <w:r>
        <w:rPr>
          <w:lang w:val="en-GB"/>
        </w:rPr>
        <w:t>procurement procedures</w:t>
      </w:r>
      <w:r w:rsidRPr="00842794">
        <w:rPr>
          <w:lang w:val="en-GB"/>
        </w:rPr>
        <w:t xml:space="preserve"> are </w:t>
      </w:r>
      <w:r>
        <w:rPr>
          <w:lang w:val="en-GB"/>
        </w:rPr>
        <w:t>viewed</w:t>
      </w:r>
      <w:r w:rsidRPr="00842794">
        <w:rPr>
          <w:lang w:val="en-GB"/>
        </w:rPr>
        <w:t xml:space="preserve"> positively. </w:t>
      </w:r>
      <w:r>
        <w:rPr>
          <w:lang w:val="en-GB"/>
        </w:rPr>
        <w:t>M</w:t>
      </w:r>
      <w:r w:rsidRPr="00842794">
        <w:rPr>
          <w:lang w:val="en-GB"/>
        </w:rPr>
        <w:t xml:space="preserve">ain factor </w:t>
      </w:r>
      <w:r>
        <w:rPr>
          <w:lang w:val="en-GB"/>
        </w:rPr>
        <w:t>determining</w:t>
      </w:r>
      <w:r w:rsidRPr="00842794">
        <w:rPr>
          <w:lang w:val="en-GB"/>
        </w:rPr>
        <w:t xml:space="preserve"> the quality of outputs is the unambiguity of the assignment and </w:t>
      </w:r>
      <w:r>
        <w:rPr>
          <w:lang w:val="en-GB"/>
        </w:rPr>
        <w:t xml:space="preserve">the quality of </w:t>
      </w:r>
      <w:r w:rsidRPr="00842794">
        <w:rPr>
          <w:lang w:val="en-GB"/>
        </w:rPr>
        <w:t xml:space="preserve">communication </w:t>
      </w:r>
      <w:r>
        <w:rPr>
          <w:lang w:val="en-GB"/>
        </w:rPr>
        <w:t>between</w:t>
      </w:r>
      <w:r w:rsidRPr="00842794">
        <w:rPr>
          <w:lang w:val="en-GB"/>
        </w:rPr>
        <w:t xml:space="preserve"> contracting authority </w:t>
      </w:r>
      <w:r>
        <w:rPr>
          <w:lang w:val="en-GB"/>
        </w:rPr>
        <w:t>and selected</w:t>
      </w:r>
      <w:r w:rsidRPr="00842794">
        <w:rPr>
          <w:lang w:val="en-GB"/>
        </w:rPr>
        <w:t xml:space="preserve"> supplier </w:t>
      </w:r>
      <w:r w:rsidR="00F64E93">
        <w:rPr>
          <w:lang w:val="en-GB"/>
        </w:rPr>
        <w:t>in the process of</w:t>
      </w:r>
      <w:r>
        <w:rPr>
          <w:lang w:val="en-GB"/>
        </w:rPr>
        <w:t xml:space="preserve"> delivering procured services</w:t>
      </w:r>
      <w:r w:rsidRPr="00842794">
        <w:rPr>
          <w:lang w:val="en-GB"/>
        </w:rPr>
        <w:t xml:space="preserve">. Trainings </w:t>
      </w:r>
      <w:r>
        <w:rPr>
          <w:lang w:val="en-GB"/>
        </w:rPr>
        <w:t>in the field of public procurements</w:t>
      </w:r>
      <w:r w:rsidRPr="00842794">
        <w:rPr>
          <w:lang w:val="en-GB"/>
        </w:rPr>
        <w:t xml:space="preserve"> are organized at sufficient frequency and their quality is</w:t>
      </w:r>
      <w:r>
        <w:rPr>
          <w:lang w:val="en-GB"/>
        </w:rPr>
        <w:t xml:space="preserve"> positively assessed</w:t>
      </w:r>
      <w:r w:rsidRPr="00842794">
        <w:rPr>
          <w:lang w:val="en-GB"/>
        </w:rPr>
        <w:t>.</w:t>
      </w:r>
    </w:p>
    <w:p w14:paraId="3597E49A" w14:textId="5649E56B" w:rsidR="00842794" w:rsidRDefault="00842794" w:rsidP="00842794">
      <w:pPr>
        <w:widowControl w:val="0"/>
        <w:suppressAutoHyphens/>
        <w:rPr>
          <w:lang w:val="en-GB"/>
        </w:rPr>
      </w:pPr>
      <w:r>
        <w:rPr>
          <w:lang w:val="en-GB"/>
        </w:rPr>
        <w:t xml:space="preserve">Formulated </w:t>
      </w:r>
      <w:r w:rsidRPr="00842794">
        <w:rPr>
          <w:lang w:val="en-GB"/>
        </w:rPr>
        <w:t xml:space="preserve">recommendations </w:t>
      </w:r>
      <w:r>
        <w:rPr>
          <w:lang w:val="en-GB"/>
        </w:rPr>
        <w:t>in this part of the evaluation therefore reflect</w:t>
      </w:r>
      <w:r w:rsidRPr="00842794">
        <w:rPr>
          <w:lang w:val="en-GB"/>
        </w:rPr>
        <w:t xml:space="preserve"> procedural </w:t>
      </w:r>
      <w:r>
        <w:rPr>
          <w:lang w:val="en-GB"/>
        </w:rPr>
        <w:t>bottlenecks</w:t>
      </w:r>
      <w:r w:rsidRPr="00842794">
        <w:rPr>
          <w:lang w:val="en-GB"/>
        </w:rPr>
        <w:t xml:space="preserve"> that generate complications in the implementation of </w:t>
      </w:r>
      <w:r>
        <w:rPr>
          <w:lang w:val="en-GB"/>
        </w:rPr>
        <w:t>procurement procedures</w:t>
      </w:r>
      <w:r w:rsidRPr="00842794">
        <w:rPr>
          <w:lang w:val="en-GB"/>
        </w:rPr>
        <w:t xml:space="preserve"> and </w:t>
      </w:r>
      <w:r>
        <w:rPr>
          <w:lang w:val="en-GB"/>
        </w:rPr>
        <w:t>prolong its duration</w:t>
      </w:r>
      <w:r w:rsidRPr="00842794">
        <w:rPr>
          <w:lang w:val="en-GB"/>
        </w:rPr>
        <w:t>.</w:t>
      </w:r>
    </w:p>
    <w:p w14:paraId="6A363D08" w14:textId="701A625E" w:rsidR="00842794" w:rsidRDefault="00842794" w:rsidP="005029E1">
      <w:pPr>
        <w:widowControl w:val="0"/>
        <w:suppressAutoHyphens/>
        <w:rPr>
          <w:lang w:val="en-GB"/>
        </w:rPr>
      </w:pPr>
    </w:p>
    <w:p w14:paraId="18B2D121" w14:textId="1524B448" w:rsidR="005029E1" w:rsidRDefault="00842794" w:rsidP="005029E1">
      <w:pPr>
        <w:widowControl w:val="0"/>
        <w:suppressAutoHyphens/>
        <w:rPr>
          <w:lang w:val="en-GB"/>
        </w:rPr>
      </w:pPr>
      <w:r w:rsidRPr="00842794">
        <w:rPr>
          <w:lang w:val="en-GB"/>
        </w:rPr>
        <w:t xml:space="preserve">The administrative capacity of the MA and the </w:t>
      </w:r>
      <w:r>
        <w:rPr>
          <w:lang w:val="en-GB"/>
        </w:rPr>
        <w:t>Intermediary subject (IS)</w:t>
      </w:r>
      <w:r w:rsidRPr="00842794">
        <w:rPr>
          <w:lang w:val="en-GB"/>
        </w:rPr>
        <w:t xml:space="preserve"> of the OP EIC </w:t>
      </w:r>
      <w:r>
        <w:rPr>
          <w:lang w:val="en-GB"/>
        </w:rPr>
        <w:t>is, on the basis of analysis carried out</w:t>
      </w:r>
      <w:r w:rsidR="00F64E93">
        <w:rPr>
          <w:lang w:val="en-GB"/>
        </w:rPr>
        <w:t>,</w:t>
      </w:r>
      <w:r>
        <w:rPr>
          <w:lang w:val="en-GB"/>
        </w:rPr>
        <w:t xml:space="preserve"> seen as fairly</w:t>
      </w:r>
      <w:r w:rsidRPr="00842794">
        <w:rPr>
          <w:lang w:val="en-GB"/>
        </w:rPr>
        <w:t xml:space="preserve"> optimal. According to employees, the</w:t>
      </w:r>
      <w:r w:rsidR="00E42084">
        <w:rPr>
          <w:lang w:val="en-GB"/>
        </w:rPr>
        <w:t>ir</w:t>
      </w:r>
      <w:r w:rsidRPr="00842794">
        <w:rPr>
          <w:lang w:val="en-GB"/>
        </w:rPr>
        <w:t xml:space="preserve"> </w:t>
      </w:r>
      <w:r w:rsidR="00E42084">
        <w:rPr>
          <w:lang w:val="en-GB"/>
        </w:rPr>
        <w:t>activities related to key</w:t>
      </w:r>
      <w:r w:rsidRPr="00842794">
        <w:rPr>
          <w:lang w:val="en-GB"/>
        </w:rPr>
        <w:t xml:space="preserve"> implementation processes of the OP EIC </w:t>
      </w:r>
      <w:r w:rsidR="00E42084">
        <w:rPr>
          <w:lang w:val="en-GB"/>
        </w:rPr>
        <w:t>make up of</w:t>
      </w:r>
      <w:r w:rsidRPr="00842794">
        <w:rPr>
          <w:lang w:val="en-GB"/>
        </w:rPr>
        <w:t xml:space="preserve"> approximately 72% of the</w:t>
      </w:r>
      <w:r w:rsidR="00E42084">
        <w:rPr>
          <w:lang w:val="en-GB"/>
        </w:rPr>
        <w:t>ir</w:t>
      </w:r>
      <w:r w:rsidRPr="00842794">
        <w:rPr>
          <w:lang w:val="en-GB"/>
        </w:rPr>
        <w:t xml:space="preserve"> time fund, the rest </w:t>
      </w:r>
      <w:r w:rsidR="00E42084">
        <w:rPr>
          <w:lang w:val="en-GB"/>
        </w:rPr>
        <w:t>being filled</w:t>
      </w:r>
      <w:r w:rsidRPr="00842794">
        <w:rPr>
          <w:lang w:val="en-GB"/>
        </w:rPr>
        <w:t xml:space="preserve"> </w:t>
      </w:r>
      <w:r w:rsidR="00E42084">
        <w:rPr>
          <w:lang w:val="en-GB"/>
        </w:rPr>
        <w:t>by</w:t>
      </w:r>
      <w:r w:rsidRPr="00842794">
        <w:rPr>
          <w:lang w:val="en-GB"/>
        </w:rPr>
        <w:t xml:space="preserve"> management and auxiliary processes. At the same time, </w:t>
      </w:r>
      <w:r w:rsidR="00E42084">
        <w:rPr>
          <w:lang w:val="en-GB"/>
        </w:rPr>
        <w:t>certain</w:t>
      </w:r>
      <w:r w:rsidRPr="00842794">
        <w:rPr>
          <w:lang w:val="en-GB"/>
        </w:rPr>
        <w:t xml:space="preserve"> </w:t>
      </w:r>
      <w:r w:rsidR="00E42084">
        <w:rPr>
          <w:lang w:val="en-GB"/>
        </w:rPr>
        <w:t xml:space="preserve">gradual </w:t>
      </w:r>
      <w:r w:rsidRPr="00842794">
        <w:rPr>
          <w:lang w:val="en-GB"/>
        </w:rPr>
        <w:t>acceleration of processes related to the administration of project applications and requests for reimbursement</w:t>
      </w:r>
      <w:r w:rsidR="00E42084">
        <w:rPr>
          <w:lang w:val="en-GB"/>
        </w:rPr>
        <w:t xml:space="preserve"> is observed</w:t>
      </w:r>
      <w:r w:rsidRPr="00842794">
        <w:rPr>
          <w:lang w:val="en-GB"/>
        </w:rPr>
        <w:t xml:space="preserve">. </w:t>
      </w:r>
      <w:r w:rsidR="00E42084">
        <w:rPr>
          <w:lang w:val="en-GB"/>
        </w:rPr>
        <w:t>H</w:t>
      </w:r>
      <w:r w:rsidRPr="00842794">
        <w:rPr>
          <w:lang w:val="en-GB"/>
        </w:rPr>
        <w:t xml:space="preserve">owever, this finding does not exclude that disparities in administrative capacity may occur at the level of </w:t>
      </w:r>
      <w:r w:rsidR="00E42084">
        <w:rPr>
          <w:lang w:val="en-GB"/>
        </w:rPr>
        <w:t>units</w:t>
      </w:r>
      <w:r w:rsidRPr="00842794">
        <w:rPr>
          <w:lang w:val="en-GB"/>
        </w:rPr>
        <w:t xml:space="preserve"> / departments. </w:t>
      </w:r>
      <w:r w:rsidR="00E42084">
        <w:rPr>
          <w:lang w:val="en-GB"/>
        </w:rPr>
        <w:t>Among t</w:t>
      </w:r>
      <w:r w:rsidRPr="00842794">
        <w:rPr>
          <w:lang w:val="en-GB"/>
        </w:rPr>
        <w:t xml:space="preserve">he </w:t>
      </w:r>
      <w:r w:rsidR="00E42084">
        <w:rPr>
          <w:lang w:val="en-GB"/>
        </w:rPr>
        <w:t xml:space="preserve">most </w:t>
      </w:r>
      <w:r w:rsidRPr="00842794">
        <w:rPr>
          <w:lang w:val="en-GB"/>
        </w:rPr>
        <w:t>lengthy and frequent tasks are</w:t>
      </w:r>
      <w:r w:rsidR="00F64E93">
        <w:rPr>
          <w:lang w:val="en-GB"/>
        </w:rPr>
        <w:t xml:space="preserve"> listed:</w:t>
      </w:r>
      <w:r w:rsidRPr="00842794">
        <w:rPr>
          <w:lang w:val="en-GB"/>
        </w:rPr>
        <w:t xml:space="preserve"> verification of the status of a small </w:t>
      </w:r>
      <w:r w:rsidR="00F64E93">
        <w:rPr>
          <w:lang w:val="en-GB"/>
        </w:rPr>
        <w:t>or</w:t>
      </w:r>
      <w:r w:rsidRPr="00842794">
        <w:rPr>
          <w:lang w:val="en-GB"/>
        </w:rPr>
        <w:t xml:space="preserve"> medium-sized enterprise</w:t>
      </w:r>
      <w:r w:rsidR="00E42084">
        <w:rPr>
          <w:lang w:val="en-GB"/>
        </w:rPr>
        <w:t xml:space="preserve"> (SME)</w:t>
      </w:r>
      <w:r w:rsidRPr="00842794">
        <w:rPr>
          <w:lang w:val="en-GB"/>
        </w:rPr>
        <w:t xml:space="preserve">, control of </w:t>
      </w:r>
      <w:r w:rsidR="00E42084">
        <w:rPr>
          <w:lang w:val="en-GB"/>
        </w:rPr>
        <w:t xml:space="preserve">project proposals </w:t>
      </w:r>
      <w:r w:rsidRPr="00842794">
        <w:rPr>
          <w:lang w:val="en-GB"/>
        </w:rPr>
        <w:t xml:space="preserve">and </w:t>
      </w:r>
      <w:r w:rsidR="004712AC">
        <w:rPr>
          <w:lang w:val="en-GB"/>
        </w:rPr>
        <w:t>checking</w:t>
      </w:r>
      <w:r w:rsidR="004712AC" w:rsidRPr="00842794">
        <w:rPr>
          <w:lang w:val="en-GB"/>
        </w:rPr>
        <w:t xml:space="preserve"> requests</w:t>
      </w:r>
      <w:r w:rsidRPr="00842794">
        <w:rPr>
          <w:lang w:val="en-GB"/>
        </w:rPr>
        <w:t xml:space="preserve"> for payment. </w:t>
      </w:r>
      <w:r w:rsidR="00E42084">
        <w:rPr>
          <w:lang w:val="en-GB"/>
        </w:rPr>
        <w:t>V</w:t>
      </w:r>
      <w:r w:rsidRPr="00842794">
        <w:rPr>
          <w:lang w:val="en-GB"/>
        </w:rPr>
        <w:t>erif</w:t>
      </w:r>
      <w:r w:rsidR="00E42084">
        <w:rPr>
          <w:lang w:val="en-GB"/>
        </w:rPr>
        <w:t>ication of</w:t>
      </w:r>
      <w:r w:rsidRPr="00842794">
        <w:rPr>
          <w:lang w:val="en-GB"/>
        </w:rPr>
        <w:t xml:space="preserve"> </w:t>
      </w:r>
      <w:r w:rsidR="00E42084">
        <w:rPr>
          <w:lang w:val="en-GB"/>
        </w:rPr>
        <w:t xml:space="preserve">SME </w:t>
      </w:r>
      <w:r w:rsidRPr="00842794">
        <w:rPr>
          <w:lang w:val="en-GB"/>
        </w:rPr>
        <w:t xml:space="preserve">status </w:t>
      </w:r>
      <w:r w:rsidR="00E42084">
        <w:rPr>
          <w:lang w:val="en-GB"/>
        </w:rPr>
        <w:t>is not supported by</w:t>
      </w:r>
      <w:r w:rsidRPr="00842794">
        <w:rPr>
          <w:lang w:val="en-GB"/>
        </w:rPr>
        <w:t xml:space="preserve"> </w:t>
      </w:r>
      <w:r w:rsidR="00E42084">
        <w:rPr>
          <w:lang w:val="en-GB"/>
        </w:rPr>
        <w:t>any appropriate</w:t>
      </w:r>
      <w:r w:rsidRPr="00842794">
        <w:rPr>
          <w:lang w:val="en-GB"/>
        </w:rPr>
        <w:t xml:space="preserve"> tool t</w:t>
      </w:r>
      <w:r w:rsidR="00E42084">
        <w:rPr>
          <w:lang w:val="en-GB"/>
        </w:rPr>
        <w:t>hat</w:t>
      </w:r>
      <w:r w:rsidRPr="00842794">
        <w:rPr>
          <w:lang w:val="en-GB"/>
        </w:rPr>
        <w:t xml:space="preserve"> </w:t>
      </w:r>
      <w:r w:rsidR="00E42084">
        <w:rPr>
          <w:lang w:val="en-GB"/>
        </w:rPr>
        <w:t xml:space="preserve">would </w:t>
      </w:r>
      <w:r w:rsidRPr="00842794">
        <w:rPr>
          <w:lang w:val="en-GB"/>
        </w:rPr>
        <w:t xml:space="preserve">facilitate </w:t>
      </w:r>
      <w:r w:rsidR="00E42084">
        <w:rPr>
          <w:lang w:val="en-GB"/>
        </w:rPr>
        <w:t>this task</w:t>
      </w:r>
      <w:r w:rsidRPr="00842794">
        <w:rPr>
          <w:lang w:val="en-GB"/>
        </w:rPr>
        <w:t>. In the area of SME status</w:t>
      </w:r>
      <w:r w:rsidR="00E42084">
        <w:rPr>
          <w:lang w:val="en-GB"/>
        </w:rPr>
        <w:t xml:space="preserve"> verification</w:t>
      </w:r>
      <w:r w:rsidRPr="00842794">
        <w:rPr>
          <w:lang w:val="en-GB"/>
        </w:rPr>
        <w:t>, it would therefore be beneficial to strengthen the I</w:t>
      </w:r>
      <w:r w:rsidR="00E42084">
        <w:rPr>
          <w:lang w:val="en-GB"/>
        </w:rPr>
        <w:t>S capacity</w:t>
      </w:r>
      <w:r w:rsidRPr="00842794">
        <w:rPr>
          <w:lang w:val="en-GB"/>
        </w:rPr>
        <w:t xml:space="preserve"> </w:t>
      </w:r>
      <w:r w:rsidR="00E42084">
        <w:rPr>
          <w:lang w:val="en-GB"/>
        </w:rPr>
        <w:t>by applying available</w:t>
      </w:r>
      <w:r w:rsidRPr="00842794">
        <w:rPr>
          <w:lang w:val="en-GB"/>
        </w:rPr>
        <w:t xml:space="preserve"> funds for external services</w:t>
      </w:r>
      <w:r w:rsidR="005029E1" w:rsidRPr="005029E1">
        <w:rPr>
          <w:rStyle w:val="Znakapoznpodarou"/>
          <w:lang w:val="en-GB"/>
        </w:rPr>
        <w:footnoteReference w:id="2"/>
      </w:r>
      <w:r w:rsidR="005029E1" w:rsidRPr="005029E1">
        <w:rPr>
          <w:lang w:val="en-GB"/>
        </w:rPr>
        <w:t>.</w:t>
      </w:r>
    </w:p>
    <w:p w14:paraId="1D2550EE" w14:textId="303B6C55" w:rsidR="00E42084" w:rsidRPr="005029E1" w:rsidRDefault="00E42084" w:rsidP="005029E1">
      <w:pPr>
        <w:widowControl w:val="0"/>
        <w:suppressAutoHyphens/>
        <w:rPr>
          <w:lang w:val="en-GB"/>
        </w:rPr>
      </w:pPr>
      <w:r w:rsidRPr="00E42084">
        <w:rPr>
          <w:lang w:val="en-GB"/>
        </w:rPr>
        <w:t xml:space="preserve">Furthermore, trends in employee turnover </w:t>
      </w:r>
      <w:r w:rsidR="005D5A32">
        <w:rPr>
          <w:lang w:val="en-GB"/>
        </w:rPr>
        <w:t xml:space="preserve">(fluctuation) </w:t>
      </w:r>
      <w:r w:rsidRPr="00E42084">
        <w:rPr>
          <w:lang w:val="en-GB"/>
        </w:rPr>
        <w:t>were also analy</w:t>
      </w:r>
      <w:r w:rsidR="005D5A32">
        <w:rPr>
          <w:lang w:val="en-GB"/>
        </w:rPr>
        <w:t>s</w:t>
      </w:r>
      <w:r w:rsidRPr="00E42084">
        <w:rPr>
          <w:lang w:val="en-GB"/>
        </w:rPr>
        <w:t xml:space="preserve">ed. </w:t>
      </w:r>
      <w:r w:rsidR="005D5A32">
        <w:rPr>
          <w:lang w:val="en-GB"/>
        </w:rPr>
        <w:t>A negative trend</w:t>
      </w:r>
      <w:r w:rsidRPr="00E42084">
        <w:rPr>
          <w:lang w:val="en-GB"/>
        </w:rPr>
        <w:t xml:space="preserve"> </w:t>
      </w:r>
      <w:r w:rsidR="005D5A32">
        <w:rPr>
          <w:lang w:val="en-GB"/>
        </w:rPr>
        <w:t xml:space="preserve">of fluctuation </w:t>
      </w:r>
      <w:r w:rsidRPr="00E42084">
        <w:rPr>
          <w:lang w:val="en-GB"/>
        </w:rPr>
        <w:t xml:space="preserve">is </w:t>
      </w:r>
      <w:r w:rsidR="005D5A32">
        <w:rPr>
          <w:lang w:val="en-GB"/>
        </w:rPr>
        <w:t>observed particularly on the part of the IS</w:t>
      </w:r>
      <w:r w:rsidRPr="00E42084">
        <w:rPr>
          <w:lang w:val="en-GB"/>
        </w:rPr>
        <w:t>, where, despite implement</w:t>
      </w:r>
      <w:r w:rsidR="005D5A32">
        <w:rPr>
          <w:lang w:val="en-GB"/>
        </w:rPr>
        <w:t>ed counter</w:t>
      </w:r>
      <w:r w:rsidRPr="00E42084">
        <w:rPr>
          <w:lang w:val="en-GB"/>
        </w:rPr>
        <w:t xml:space="preserve">measures, </w:t>
      </w:r>
      <w:r w:rsidR="005D5A32">
        <w:rPr>
          <w:lang w:val="en-GB"/>
        </w:rPr>
        <w:t>the fluctuation rate is further growing</w:t>
      </w:r>
      <w:r w:rsidRPr="00E42084">
        <w:rPr>
          <w:lang w:val="en-GB"/>
        </w:rPr>
        <w:t xml:space="preserve"> (26.96% in 2019). Th</w:t>
      </w:r>
      <w:r w:rsidR="005D5A32">
        <w:rPr>
          <w:lang w:val="en-GB"/>
        </w:rPr>
        <w:t>is is caused predominantly by hiring</w:t>
      </w:r>
      <w:r w:rsidRPr="00E42084">
        <w:rPr>
          <w:lang w:val="en-GB"/>
        </w:rPr>
        <w:t xml:space="preserve"> young people with a greater tendency to change jobs, as well as </w:t>
      </w:r>
      <w:r w:rsidR="005D5A32">
        <w:rPr>
          <w:lang w:val="en-GB"/>
        </w:rPr>
        <w:t>lower salaries</w:t>
      </w:r>
      <w:r w:rsidRPr="00E42084">
        <w:rPr>
          <w:lang w:val="en-GB"/>
        </w:rPr>
        <w:t xml:space="preserve"> and, in the case of sections </w:t>
      </w:r>
      <w:r w:rsidR="005D5A32">
        <w:rPr>
          <w:lang w:val="en-GB"/>
        </w:rPr>
        <w:t>responsible for the</w:t>
      </w:r>
      <w:r w:rsidRPr="00E42084">
        <w:rPr>
          <w:lang w:val="en-GB"/>
        </w:rPr>
        <w:t xml:space="preserve"> administration of </w:t>
      </w:r>
      <w:r w:rsidR="005D5A32">
        <w:rPr>
          <w:lang w:val="en-GB"/>
        </w:rPr>
        <w:t>project proposals</w:t>
      </w:r>
      <w:r w:rsidRPr="00E42084">
        <w:rPr>
          <w:lang w:val="en-GB"/>
        </w:rPr>
        <w:t xml:space="preserve"> and project control</w:t>
      </w:r>
      <w:r w:rsidR="005D5A32">
        <w:rPr>
          <w:lang w:val="en-GB"/>
        </w:rPr>
        <w:t>ling</w:t>
      </w:r>
      <w:r w:rsidRPr="00E42084">
        <w:rPr>
          <w:lang w:val="en-GB"/>
        </w:rPr>
        <w:t xml:space="preserve">, also monotonous </w:t>
      </w:r>
      <w:r w:rsidR="00F64E93">
        <w:rPr>
          <w:lang w:val="en-GB"/>
        </w:rPr>
        <w:t>nature</w:t>
      </w:r>
      <w:r w:rsidR="005D5A32">
        <w:rPr>
          <w:lang w:val="en-GB"/>
        </w:rPr>
        <w:t xml:space="preserve"> o</w:t>
      </w:r>
      <w:r w:rsidR="00F64E93">
        <w:rPr>
          <w:lang w:val="en-GB"/>
        </w:rPr>
        <w:t>f</w:t>
      </w:r>
      <w:r w:rsidR="005D5A32">
        <w:rPr>
          <w:lang w:val="en-GB"/>
        </w:rPr>
        <w:t xml:space="preserve"> the job</w:t>
      </w:r>
      <w:r w:rsidRPr="00E42084">
        <w:rPr>
          <w:lang w:val="en-GB"/>
        </w:rPr>
        <w:t xml:space="preserve">. The trend </w:t>
      </w:r>
      <w:r w:rsidR="005D5A32">
        <w:rPr>
          <w:lang w:val="en-GB"/>
        </w:rPr>
        <w:t xml:space="preserve">of fluctuation </w:t>
      </w:r>
      <w:r w:rsidRPr="00E42084">
        <w:rPr>
          <w:lang w:val="en-GB"/>
        </w:rPr>
        <w:t>at the Ministry of Industry and Trade</w:t>
      </w:r>
      <w:r w:rsidR="005D5A32">
        <w:rPr>
          <w:lang w:val="en-GB"/>
        </w:rPr>
        <w:t xml:space="preserve"> (MA)</w:t>
      </w:r>
      <w:r w:rsidRPr="00E42084">
        <w:rPr>
          <w:lang w:val="en-GB"/>
        </w:rPr>
        <w:t xml:space="preserve"> is positive</w:t>
      </w:r>
      <w:r w:rsidR="005D5A32">
        <w:rPr>
          <w:lang w:val="en-GB"/>
        </w:rPr>
        <w:t xml:space="preserve"> – as of</w:t>
      </w:r>
      <w:r w:rsidRPr="00E42084">
        <w:rPr>
          <w:lang w:val="en-GB"/>
        </w:rPr>
        <w:t xml:space="preserve"> 2018 there has been a significant decline</w:t>
      </w:r>
      <w:r w:rsidR="005D5A32">
        <w:rPr>
          <w:lang w:val="en-GB"/>
        </w:rPr>
        <w:t xml:space="preserve"> of fluctuation rate despite no specific countermeasures having been implemented</w:t>
      </w:r>
      <w:r w:rsidRPr="00E42084">
        <w:rPr>
          <w:lang w:val="en-GB"/>
        </w:rPr>
        <w:t xml:space="preserve">. </w:t>
      </w:r>
      <w:r w:rsidR="005D5A32">
        <w:rPr>
          <w:lang w:val="en-GB"/>
        </w:rPr>
        <w:t xml:space="preserve">Decrease in fluctuation at the MA is most likely due to </w:t>
      </w:r>
      <w:r w:rsidRPr="00E42084">
        <w:rPr>
          <w:lang w:val="en-GB"/>
        </w:rPr>
        <w:t xml:space="preserve">personnel changes in management positions, which could have </w:t>
      </w:r>
      <w:r w:rsidR="005D5A32">
        <w:rPr>
          <w:lang w:val="en-GB"/>
        </w:rPr>
        <w:t xml:space="preserve">indirectly </w:t>
      </w:r>
      <w:r w:rsidRPr="00E42084">
        <w:rPr>
          <w:lang w:val="en-GB"/>
        </w:rPr>
        <w:t xml:space="preserve">influenced the fluctuation </w:t>
      </w:r>
      <w:r w:rsidR="005D5A32">
        <w:rPr>
          <w:lang w:val="en-GB"/>
        </w:rPr>
        <w:t>rate</w:t>
      </w:r>
      <w:r w:rsidRPr="00E42084">
        <w:rPr>
          <w:lang w:val="en-GB"/>
        </w:rPr>
        <w:t xml:space="preserve">, as </w:t>
      </w:r>
      <w:r w:rsidR="005D5A32">
        <w:rPr>
          <w:lang w:val="en-GB"/>
        </w:rPr>
        <w:t xml:space="preserve">it has been registered that for some employees in some units their dissatisfaction with management is a primary </w:t>
      </w:r>
      <w:r w:rsidR="007B2569">
        <w:rPr>
          <w:lang w:val="en-GB"/>
        </w:rPr>
        <w:t>reason for leaving the job at MA.</w:t>
      </w:r>
      <w:r w:rsidRPr="00E42084">
        <w:rPr>
          <w:lang w:val="en-GB"/>
        </w:rPr>
        <w:t xml:space="preserve"> In other departments, </w:t>
      </w:r>
      <w:r w:rsidR="007B2569">
        <w:rPr>
          <w:lang w:val="en-GB"/>
        </w:rPr>
        <w:t>primary reason</w:t>
      </w:r>
      <w:r w:rsidR="00F64E93">
        <w:rPr>
          <w:lang w:val="en-GB"/>
        </w:rPr>
        <w:t>s</w:t>
      </w:r>
      <w:r w:rsidR="007B2569">
        <w:rPr>
          <w:lang w:val="en-GB"/>
        </w:rPr>
        <w:t xml:space="preserve"> </w:t>
      </w:r>
      <w:r w:rsidRPr="00E42084">
        <w:rPr>
          <w:lang w:val="en-GB"/>
        </w:rPr>
        <w:t xml:space="preserve">for potential departure </w:t>
      </w:r>
      <w:r w:rsidR="00F64E93">
        <w:rPr>
          <w:lang w:val="en-GB"/>
        </w:rPr>
        <w:t>are</w:t>
      </w:r>
      <w:r w:rsidR="007B2569">
        <w:rPr>
          <w:lang w:val="en-GB"/>
        </w:rPr>
        <w:t xml:space="preserve"> related to</w:t>
      </w:r>
      <w:r w:rsidRPr="00E42084">
        <w:rPr>
          <w:lang w:val="en-GB"/>
        </w:rPr>
        <w:t xml:space="preserve"> </w:t>
      </w:r>
      <w:r w:rsidR="007B2569">
        <w:rPr>
          <w:lang w:val="en-GB"/>
        </w:rPr>
        <w:t>salaries</w:t>
      </w:r>
      <w:r w:rsidR="00F64E93">
        <w:rPr>
          <w:lang w:val="en-GB"/>
        </w:rPr>
        <w:t>.</w:t>
      </w:r>
    </w:p>
    <w:p w14:paraId="2669C72A" w14:textId="2159C805" w:rsidR="007B2569" w:rsidRDefault="007B2569" w:rsidP="007B2569">
      <w:pPr>
        <w:widowControl w:val="0"/>
        <w:suppressAutoHyphens/>
        <w:rPr>
          <w:rFonts w:ascii="Calibri" w:hAnsi="Calibri" w:cs="Calibri"/>
          <w:lang w:val="en-GB"/>
        </w:rPr>
      </w:pPr>
      <w:r w:rsidRPr="007B2569">
        <w:rPr>
          <w:rFonts w:ascii="Calibri" w:hAnsi="Calibri" w:cs="Calibri"/>
          <w:lang w:val="en-GB"/>
        </w:rPr>
        <w:t xml:space="preserve">The evaluation of the administrative capacity confirmed that the system of employee training is </w:t>
      </w:r>
      <w:r>
        <w:rPr>
          <w:rFonts w:ascii="Calibri" w:hAnsi="Calibri" w:cs="Calibri"/>
          <w:lang w:val="en-GB"/>
        </w:rPr>
        <w:t xml:space="preserve">seen as </w:t>
      </w:r>
      <w:r w:rsidRPr="007B2569">
        <w:rPr>
          <w:rFonts w:ascii="Calibri" w:hAnsi="Calibri" w:cs="Calibri"/>
          <w:lang w:val="en-GB"/>
        </w:rPr>
        <w:t xml:space="preserve">adequate. From the point of view of the responsible employees of the MA, processes </w:t>
      </w:r>
      <w:r>
        <w:rPr>
          <w:rFonts w:ascii="Calibri" w:hAnsi="Calibri" w:cs="Calibri"/>
          <w:lang w:val="en-GB"/>
        </w:rPr>
        <w:t xml:space="preserve">related </w:t>
      </w:r>
      <w:bookmarkStart w:id="3" w:name="_GoBack"/>
      <w:bookmarkEnd w:id="3"/>
      <w:r w:rsidR="004712AC">
        <w:rPr>
          <w:rFonts w:ascii="Calibri" w:hAnsi="Calibri" w:cs="Calibri"/>
          <w:lang w:val="en-GB"/>
        </w:rPr>
        <w:t xml:space="preserve">to </w:t>
      </w:r>
      <w:r w:rsidR="004712AC" w:rsidRPr="007B2569">
        <w:rPr>
          <w:rFonts w:ascii="Calibri" w:hAnsi="Calibri" w:cs="Calibri"/>
          <w:lang w:val="en-GB"/>
        </w:rPr>
        <w:t>the</w:t>
      </w:r>
      <w:r w:rsidRPr="007B2569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lastRenderedPageBreak/>
        <w:t>provision of trainings</w:t>
      </w:r>
      <w:r w:rsidRPr="007B2569">
        <w:rPr>
          <w:rFonts w:ascii="Calibri" w:hAnsi="Calibri" w:cs="Calibri"/>
          <w:lang w:val="en-GB"/>
        </w:rPr>
        <w:t xml:space="preserve"> mostly correspond to the process diagram </w:t>
      </w:r>
      <w:r>
        <w:rPr>
          <w:rFonts w:ascii="Calibri" w:hAnsi="Calibri" w:cs="Calibri"/>
          <w:lang w:val="en-GB"/>
        </w:rPr>
        <w:t>outlined in methodological environment</w:t>
      </w:r>
      <w:r w:rsidRPr="007B2569">
        <w:rPr>
          <w:rFonts w:ascii="Calibri" w:hAnsi="Calibri" w:cs="Calibri"/>
          <w:lang w:val="en-GB"/>
        </w:rPr>
        <w:t xml:space="preserve">. </w:t>
      </w:r>
      <w:r>
        <w:rPr>
          <w:rFonts w:ascii="Calibri" w:hAnsi="Calibri" w:cs="Calibri"/>
          <w:lang w:val="en-GB"/>
        </w:rPr>
        <w:t>MA and IS</w:t>
      </w:r>
      <w:r w:rsidRPr="007B2569">
        <w:rPr>
          <w:rFonts w:ascii="Calibri" w:hAnsi="Calibri" w:cs="Calibri"/>
          <w:lang w:val="en-GB"/>
        </w:rPr>
        <w:t xml:space="preserve"> employees are satisfied with the offer of </w:t>
      </w:r>
      <w:r>
        <w:rPr>
          <w:rFonts w:ascii="Calibri" w:hAnsi="Calibri" w:cs="Calibri"/>
          <w:lang w:val="en-GB"/>
        </w:rPr>
        <w:t>trainings</w:t>
      </w:r>
      <w:r w:rsidRPr="007B2569">
        <w:rPr>
          <w:rFonts w:ascii="Calibri" w:hAnsi="Calibri" w:cs="Calibri"/>
          <w:lang w:val="en-GB"/>
        </w:rPr>
        <w:t>, a total of 63% of respondents are definitely or rather satisfied (slightly higher satisfaction among M</w:t>
      </w:r>
      <w:r>
        <w:rPr>
          <w:rFonts w:ascii="Calibri" w:hAnsi="Calibri" w:cs="Calibri"/>
          <w:lang w:val="en-GB"/>
        </w:rPr>
        <w:t>A</w:t>
      </w:r>
      <w:r w:rsidRPr="007B2569">
        <w:rPr>
          <w:rFonts w:ascii="Calibri" w:hAnsi="Calibri" w:cs="Calibri"/>
          <w:lang w:val="en-GB"/>
        </w:rPr>
        <w:t xml:space="preserve"> employees). Trainings are positively </w:t>
      </w:r>
      <w:r>
        <w:rPr>
          <w:rFonts w:ascii="Calibri" w:hAnsi="Calibri" w:cs="Calibri"/>
          <w:lang w:val="en-GB"/>
        </w:rPr>
        <w:t>assessed when it comes to</w:t>
      </w:r>
      <w:r w:rsidRPr="007B2569">
        <w:rPr>
          <w:rFonts w:ascii="Calibri" w:hAnsi="Calibri" w:cs="Calibri"/>
          <w:lang w:val="en-GB"/>
        </w:rPr>
        <w:t xml:space="preserve"> the quality of education and lecturers.</w:t>
      </w:r>
    </w:p>
    <w:p w14:paraId="04DA7931" w14:textId="75F1371C" w:rsidR="007B2569" w:rsidRDefault="007B2569" w:rsidP="005029E1">
      <w:pPr>
        <w:widowControl w:val="0"/>
        <w:suppressAutoHyphens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Articulated d</w:t>
      </w:r>
      <w:r w:rsidRPr="007B2569">
        <w:rPr>
          <w:rFonts w:ascii="Calibri" w:hAnsi="Calibri" w:cs="Calibri"/>
          <w:lang w:val="en-GB"/>
        </w:rPr>
        <w:t xml:space="preserve">issatisfaction with </w:t>
      </w:r>
      <w:r>
        <w:rPr>
          <w:rFonts w:ascii="Calibri" w:hAnsi="Calibri" w:cs="Calibri"/>
          <w:lang w:val="en-GB"/>
        </w:rPr>
        <w:t>employee trainings</w:t>
      </w:r>
      <w:r w:rsidRPr="007B2569">
        <w:rPr>
          <w:rFonts w:ascii="Calibri" w:hAnsi="Calibri" w:cs="Calibri"/>
          <w:lang w:val="en-GB"/>
        </w:rPr>
        <w:t xml:space="preserve"> stems from the </w:t>
      </w:r>
      <w:r>
        <w:rPr>
          <w:rFonts w:ascii="Calibri" w:hAnsi="Calibri" w:cs="Calibri"/>
          <w:lang w:val="en-GB"/>
        </w:rPr>
        <w:t xml:space="preserve">overly </w:t>
      </w:r>
      <w:r w:rsidRPr="007B2569">
        <w:rPr>
          <w:rFonts w:ascii="Calibri" w:hAnsi="Calibri" w:cs="Calibri"/>
          <w:lang w:val="en-GB"/>
        </w:rPr>
        <w:t xml:space="preserve">general </w:t>
      </w:r>
      <w:r>
        <w:rPr>
          <w:rFonts w:ascii="Calibri" w:hAnsi="Calibri" w:cs="Calibri"/>
          <w:lang w:val="en-GB"/>
        </w:rPr>
        <w:t>nature</w:t>
      </w:r>
      <w:r w:rsidRPr="007B2569">
        <w:rPr>
          <w:rFonts w:ascii="Calibri" w:hAnsi="Calibri" w:cs="Calibri"/>
          <w:lang w:val="en-GB"/>
        </w:rPr>
        <w:t xml:space="preserve"> of internal</w:t>
      </w:r>
      <w:r>
        <w:rPr>
          <w:rFonts w:ascii="Calibri" w:hAnsi="Calibri" w:cs="Calibri"/>
          <w:lang w:val="en-GB"/>
        </w:rPr>
        <w:t xml:space="preserve"> trainings</w:t>
      </w:r>
      <w:r w:rsidRPr="007B2569">
        <w:rPr>
          <w:rFonts w:ascii="Calibri" w:hAnsi="Calibri" w:cs="Calibri"/>
          <w:lang w:val="en-GB"/>
        </w:rPr>
        <w:t xml:space="preserve"> provided by the Ministry of Regional Development</w:t>
      </w:r>
      <w:r>
        <w:rPr>
          <w:rFonts w:ascii="Calibri" w:hAnsi="Calibri" w:cs="Calibri"/>
          <w:lang w:val="en-GB"/>
        </w:rPr>
        <w:t xml:space="preserve"> that lack</w:t>
      </w:r>
      <w:r w:rsidRPr="007B2569">
        <w:rPr>
          <w:rFonts w:ascii="Calibri" w:hAnsi="Calibri" w:cs="Calibri"/>
          <w:lang w:val="en-GB"/>
        </w:rPr>
        <w:t xml:space="preserve"> specific professional </w:t>
      </w:r>
      <w:r>
        <w:rPr>
          <w:rFonts w:ascii="Calibri" w:hAnsi="Calibri" w:cs="Calibri"/>
          <w:lang w:val="en-GB"/>
        </w:rPr>
        <w:t xml:space="preserve">focus </w:t>
      </w:r>
      <w:r w:rsidRPr="007B2569">
        <w:rPr>
          <w:rFonts w:ascii="Calibri" w:hAnsi="Calibri" w:cs="Calibri"/>
          <w:lang w:val="en-GB"/>
        </w:rPr>
        <w:t xml:space="preserve">areas, which </w:t>
      </w:r>
      <w:r>
        <w:rPr>
          <w:rFonts w:ascii="Calibri" w:hAnsi="Calibri" w:cs="Calibri"/>
          <w:lang w:val="en-GB"/>
        </w:rPr>
        <w:t>might</w:t>
      </w:r>
      <w:r w:rsidRPr="007B2569">
        <w:rPr>
          <w:rFonts w:ascii="Calibri" w:hAnsi="Calibri" w:cs="Calibri"/>
          <w:lang w:val="en-GB"/>
        </w:rPr>
        <w:t xml:space="preserve"> have a</w:t>
      </w:r>
      <w:r>
        <w:rPr>
          <w:rFonts w:ascii="Calibri" w:hAnsi="Calibri" w:cs="Calibri"/>
          <w:lang w:val="en-GB"/>
        </w:rPr>
        <w:t>n actual</w:t>
      </w:r>
      <w:r w:rsidRPr="007B2569">
        <w:rPr>
          <w:rFonts w:ascii="Calibri" w:hAnsi="Calibri" w:cs="Calibri"/>
          <w:lang w:val="en-GB"/>
        </w:rPr>
        <w:t xml:space="preserve"> direct impact on </w:t>
      </w:r>
      <w:r>
        <w:rPr>
          <w:rFonts w:ascii="Calibri" w:hAnsi="Calibri" w:cs="Calibri"/>
          <w:lang w:val="en-GB"/>
        </w:rPr>
        <w:t xml:space="preserve">employee </w:t>
      </w:r>
      <w:r w:rsidRPr="007B2569">
        <w:rPr>
          <w:rFonts w:ascii="Calibri" w:hAnsi="Calibri" w:cs="Calibri"/>
          <w:lang w:val="en-GB"/>
        </w:rPr>
        <w:t xml:space="preserve">improvement in </w:t>
      </w:r>
      <w:r>
        <w:rPr>
          <w:rFonts w:ascii="Calibri" w:hAnsi="Calibri" w:cs="Calibri"/>
          <w:lang w:val="en-GB"/>
        </w:rPr>
        <w:t xml:space="preserve">their </w:t>
      </w:r>
      <w:r w:rsidRPr="007B2569">
        <w:rPr>
          <w:rFonts w:ascii="Calibri" w:hAnsi="Calibri" w:cs="Calibri"/>
          <w:lang w:val="en-GB"/>
        </w:rPr>
        <w:t xml:space="preserve">everyday work activities. It is therefore recommended to </w:t>
      </w:r>
      <w:r>
        <w:rPr>
          <w:rFonts w:ascii="Calibri" w:hAnsi="Calibri" w:cs="Calibri"/>
          <w:lang w:val="en-GB"/>
        </w:rPr>
        <w:t>focus</w:t>
      </w:r>
      <w:r w:rsidRPr="007B2569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o</w:t>
      </w:r>
      <w:r w:rsidRPr="007B2569">
        <w:rPr>
          <w:rFonts w:ascii="Calibri" w:hAnsi="Calibri" w:cs="Calibri"/>
          <w:lang w:val="en-GB"/>
        </w:rPr>
        <w:t>n increas</w:t>
      </w:r>
      <w:r>
        <w:rPr>
          <w:rFonts w:ascii="Calibri" w:hAnsi="Calibri" w:cs="Calibri"/>
          <w:lang w:val="en-GB"/>
        </w:rPr>
        <w:t>ing</w:t>
      </w:r>
      <w:r w:rsidRPr="007B2569">
        <w:rPr>
          <w:rFonts w:ascii="Calibri" w:hAnsi="Calibri" w:cs="Calibri"/>
          <w:lang w:val="en-GB"/>
        </w:rPr>
        <w:t xml:space="preserve"> the flexibility of courses held at the Ministry of Regional Development - especially </w:t>
      </w:r>
      <w:r>
        <w:rPr>
          <w:rFonts w:ascii="Calibri" w:hAnsi="Calibri" w:cs="Calibri"/>
          <w:lang w:val="en-GB"/>
        </w:rPr>
        <w:t>put</w:t>
      </w:r>
      <w:r w:rsidRPr="007B2569">
        <w:rPr>
          <w:rFonts w:ascii="Calibri" w:hAnsi="Calibri" w:cs="Calibri"/>
          <w:lang w:val="en-GB"/>
        </w:rPr>
        <w:t xml:space="preserve"> focus on specific, narrowly </w:t>
      </w:r>
      <w:r>
        <w:rPr>
          <w:rFonts w:ascii="Calibri" w:hAnsi="Calibri" w:cs="Calibri"/>
          <w:lang w:val="en-GB"/>
        </w:rPr>
        <w:t xml:space="preserve">aimed </w:t>
      </w:r>
      <w:r w:rsidRPr="007B2569">
        <w:rPr>
          <w:rFonts w:ascii="Calibri" w:hAnsi="Calibri" w:cs="Calibri"/>
          <w:lang w:val="en-GB"/>
        </w:rPr>
        <w:t>training</w:t>
      </w:r>
      <w:r>
        <w:rPr>
          <w:rFonts w:ascii="Calibri" w:hAnsi="Calibri" w:cs="Calibri"/>
          <w:lang w:val="en-GB"/>
        </w:rPr>
        <w:t>s</w:t>
      </w:r>
      <w:r w:rsidRPr="007B2569">
        <w:rPr>
          <w:rFonts w:ascii="Calibri" w:hAnsi="Calibri" w:cs="Calibri"/>
          <w:lang w:val="en-GB"/>
        </w:rPr>
        <w:t>, which is directly related to the workload of employees</w:t>
      </w:r>
      <w:r w:rsidR="00F64E93">
        <w:rPr>
          <w:rFonts w:ascii="Calibri" w:hAnsi="Calibri" w:cs="Calibri"/>
          <w:lang w:val="en-GB"/>
        </w:rPr>
        <w:t>,</w:t>
      </w:r>
      <w:r w:rsidRPr="007B2569">
        <w:rPr>
          <w:rFonts w:ascii="Calibri" w:hAnsi="Calibri" w:cs="Calibri"/>
          <w:lang w:val="en-GB"/>
        </w:rPr>
        <w:t xml:space="preserve"> and also to </w:t>
      </w:r>
      <w:r w:rsidR="00271EFD">
        <w:rPr>
          <w:rFonts w:ascii="Calibri" w:hAnsi="Calibri" w:cs="Calibri"/>
          <w:lang w:val="en-GB"/>
        </w:rPr>
        <w:t>increase</w:t>
      </w:r>
      <w:r w:rsidRPr="007B2569">
        <w:rPr>
          <w:rFonts w:ascii="Calibri" w:hAnsi="Calibri" w:cs="Calibri"/>
          <w:lang w:val="en-GB"/>
        </w:rPr>
        <w:t xml:space="preserve"> the </w:t>
      </w:r>
      <w:r>
        <w:rPr>
          <w:rFonts w:ascii="Calibri" w:hAnsi="Calibri" w:cs="Calibri"/>
          <w:lang w:val="en-GB"/>
        </w:rPr>
        <w:t>opportunities</w:t>
      </w:r>
      <w:r w:rsidRPr="007B2569">
        <w:rPr>
          <w:rFonts w:ascii="Calibri" w:hAnsi="Calibri" w:cs="Calibri"/>
          <w:lang w:val="en-GB"/>
        </w:rPr>
        <w:t xml:space="preserve"> of external training</w:t>
      </w:r>
      <w:r w:rsidR="00271EFD">
        <w:rPr>
          <w:rFonts w:ascii="Calibri" w:hAnsi="Calibri" w:cs="Calibri"/>
          <w:lang w:val="en-GB"/>
        </w:rPr>
        <w:t>s</w:t>
      </w:r>
      <w:r w:rsidRPr="007B2569">
        <w:rPr>
          <w:rFonts w:ascii="Calibri" w:hAnsi="Calibri" w:cs="Calibri"/>
          <w:lang w:val="en-GB"/>
        </w:rPr>
        <w:t>.</w:t>
      </w:r>
    </w:p>
    <w:p w14:paraId="5B8F6A1A" w14:textId="564724A8" w:rsidR="00271EFD" w:rsidRDefault="00271EFD" w:rsidP="005029E1">
      <w:pPr>
        <w:widowControl w:val="0"/>
        <w:suppressAutoHyphens/>
        <w:spacing w:before="60" w:after="60"/>
        <w:rPr>
          <w:rFonts w:ascii="Calibri" w:hAnsi="Calibri" w:cs="Calibri"/>
          <w:lang w:val="en-GB"/>
        </w:rPr>
      </w:pPr>
    </w:p>
    <w:p w14:paraId="0256176D" w14:textId="2FF83207" w:rsidR="00D279D1" w:rsidRDefault="00D279D1" w:rsidP="005029E1">
      <w:pPr>
        <w:widowControl w:val="0"/>
        <w:suppressAutoHyphens/>
        <w:spacing w:before="60" w:after="60"/>
        <w:rPr>
          <w:rFonts w:ascii="Calibri" w:hAnsi="Calibri" w:cs="Calibri"/>
          <w:lang w:val="en-GB"/>
        </w:rPr>
      </w:pPr>
      <w:r w:rsidRPr="00D279D1">
        <w:rPr>
          <w:rFonts w:ascii="Calibri" w:hAnsi="Calibri" w:cs="Calibri"/>
          <w:lang w:val="en-GB"/>
        </w:rPr>
        <w:t xml:space="preserve">Despite the fact that at the beginning of the implementation of the OP EIC </w:t>
      </w:r>
      <w:r>
        <w:rPr>
          <w:rFonts w:ascii="Calibri" w:hAnsi="Calibri" w:cs="Calibri"/>
          <w:lang w:val="en-GB"/>
        </w:rPr>
        <w:t>a</w:t>
      </w:r>
      <w:r w:rsidRPr="00D279D1">
        <w:rPr>
          <w:rFonts w:ascii="Calibri" w:hAnsi="Calibri" w:cs="Calibri"/>
          <w:lang w:val="en-GB"/>
        </w:rPr>
        <w:t xml:space="preserve"> Communication Plan </w:t>
      </w:r>
      <w:r>
        <w:rPr>
          <w:rFonts w:ascii="Calibri" w:hAnsi="Calibri" w:cs="Calibri"/>
          <w:lang w:val="en-GB"/>
        </w:rPr>
        <w:t xml:space="preserve">for the OP </w:t>
      </w:r>
      <w:r w:rsidRPr="00D279D1">
        <w:rPr>
          <w:rFonts w:ascii="Calibri" w:hAnsi="Calibri" w:cs="Calibri"/>
          <w:lang w:val="en-GB"/>
        </w:rPr>
        <w:t xml:space="preserve">was </w:t>
      </w:r>
      <w:r>
        <w:rPr>
          <w:rFonts w:ascii="Calibri" w:hAnsi="Calibri" w:cs="Calibri"/>
          <w:lang w:val="en-GB"/>
        </w:rPr>
        <w:t>elaborated</w:t>
      </w:r>
      <w:r w:rsidRPr="00D279D1">
        <w:rPr>
          <w:rFonts w:ascii="Calibri" w:hAnsi="Calibri" w:cs="Calibri"/>
          <w:lang w:val="en-GB"/>
        </w:rPr>
        <w:t>, defin</w:t>
      </w:r>
      <w:r>
        <w:rPr>
          <w:rFonts w:ascii="Calibri" w:hAnsi="Calibri" w:cs="Calibri"/>
          <w:lang w:val="en-GB"/>
        </w:rPr>
        <w:t>ing</w:t>
      </w:r>
      <w:r w:rsidRPr="00D279D1">
        <w:rPr>
          <w:rFonts w:ascii="Calibri" w:hAnsi="Calibri" w:cs="Calibri"/>
          <w:lang w:val="en-GB"/>
        </w:rPr>
        <w:t xml:space="preserve"> the objectives, tools and method of monitoring and evaluation of publicity measures, </w:t>
      </w:r>
      <w:r>
        <w:rPr>
          <w:rFonts w:ascii="Calibri" w:hAnsi="Calibri" w:cs="Calibri"/>
          <w:lang w:val="en-GB"/>
        </w:rPr>
        <w:t>actual</w:t>
      </w:r>
      <w:r w:rsidRPr="00D279D1">
        <w:rPr>
          <w:rFonts w:ascii="Calibri" w:hAnsi="Calibri" w:cs="Calibri"/>
          <w:lang w:val="en-GB"/>
        </w:rPr>
        <w:t xml:space="preserve"> implementation of th</w:t>
      </w:r>
      <w:r>
        <w:rPr>
          <w:rFonts w:ascii="Calibri" w:hAnsi="Calibri" w:cs="Calibri"/>
          <w:lang w:val="en-GB"/>
        </w:rPr>
        <w:t>is</w:t>
      </w:r>
      <w:r w:rsidRPr="00D279D1">
        <w:rPr>
          <w:rFonts w:ascii="Calibri" w:hAnsi="Calibri" w:cs="Calibri"/>
          <w:lang w:val="en-GB"/>
        </w:rPr>
        <w:t xml:space="preserve"> Communication Plan</w:t>
      </w:r>
      <w:r>
        <w:rPr>
          <w:rFonts w:ascii="Calibri" w:hAnsi="Calibri" w:cs="Calibri"/>
          <w:lang w:val="en-US"/>
        </w:rPr>
        <w:t>’s</w:t>
      </w:r>
      <w:r w:rsidRPr="00D279D1">
        <w:rPr>
          <w:rFonts w:ascii="Calibri" w:hAnsi="Calibri" w:cs="Calibri"/>
          <w:lang w:val="en-GB"/>
        </w:rPr>
        <w:t xml:space="preserve"> recommendations is at a low level. </w:t>
      </w:r>
      <w:r>
        <w:rPr>
          <w:rFonts w:ascii="Calibri" w:hAnsi="Calibri" w:cs="Calibri"/>
          <w:lang w:val="en-GB"/>
        </w:rPr>
        <w:t>Implemented</w:t>
      </w:r>
      <w:r w:rsidRPr="00D279D1">
        <w:rPr>
          <w:rFonts w:ascii="Calibri" w:hAnsi="Calibri" w:cs="Calibri"/>
          <w:lang w:val="en-GB"/>
        </w:rPr>
        <w:t xml:space="preserve"> measures are </w:t>
      </w:r>
      <w:r>
        <w:rPr>
          <w:rFonts w:ascii="Calibri" w:hAnsi="Calibri" w:cs="Calibri"/>
          <w:lang w:val="en-GB"/>
        </w:rPr>
        <w:t xml:space="preserve">rather </w:t>
      </w:r>
      <w:r w:rsidRPr="00D279D1">
        <w:rPr>
          <w:rFonts w:ascii="Calibri" w:hAnsi="Calibri" w:cs="Calibri"/>
          <w:lang w:val="en-GB"/>
        </w:rPr>
        <w:t xml:space="preserve">based on </w:t>
      </w:r>
      <w:r>
        <w:rPr>
          <w:rFonts w:ascii="Calibri" w:hAnsi="Calibri" w:cs="Calibri"/>
          <w:lang w:val="en-GB"/>
        </w:rPr>
        <w:t>needs</w:t>
      </w:r>
      <w:r w:rsidRPr="00D279D1">
        <w:rPr>
          <w:rFonts w:ascii="Calibri" w:hAnsi="Calibri" w:cs="Calibri"/>
          <w:lang w:val="en-GB"/>
        </w:rPr>
        <w:t xml:space="preserve"> identified </w:t>
      </w:r>
      <w:r>
        <w:rPr>
          <w:rFonts w:ascii="Calibri" w:hAnsi="Calibri" w:cs="Calibri"/>
          <w:lang w:val="en-GB"/>
        </w:rPr>
        <w:t>by</w:t>
      </w:r>
      <w:r w:rsidRPr="00D279D1">
        <w:rPr>
          <w:rFonts w:ascii="Calibri" w:hAnsi="Calibri" w:cs="Calibri"/>
          <w:lang w:val="en-GB"/>
        </w:rPr>
        <w:t xml:space="preserve"> program managers, experience with the implementation of the OP</w:t>
      </w:r>
      <w:r>
        <w:rPr>
          <w:rFonts w:ascii="Calibri" w:hAnsi="Calibri" w:cs="Calibri"/>
          <w:lang w:val="en-GB"/>
        </w:rPr>
        <w:t xml:space="preserve"> in general</w:t>
      </w:r>
      <w:r w:rsidRPr="00D279D1">
        <w:rPr>
          <w:rFonts w:ascii="Calibri" w:hAnsi="Calibri" w:cs="Calibri"/>
          <w:lang w:val="en-GB"/>
        </w:rPr>
        <w:t xml:space="preserve"> and ad-hoc instructions of managers</w:t>
      </w:r>
      <w:r>
        <w:rPr>
          <w:rFonts w:ascii="Calibri" w:hAnsi="Calibri" w:cs="Calibri"/>
          <w:lang w:val="en-GB"/>
        </w:rPr>
        <w:t xml:space="preserve"> / political leadership</w:t>
      </w:r>
      <w:r w:rsidRPr="00D279D1">
        <w:rPr>
          <w:rFonts w:ascii="Calibri" w:hAnsi="Calibri" w:cs="Calibri"/>
          <w:lang w:val="en-GB"/>
        </w:rPr>
        <w:t xml:space="preserve">. Setting the focus and content of </w:t>
      </w:r>
      <w:r>
        <w:rPr>
          <w:rFonts w:ascii="Calibri" w:hAnsi="Calibri" w:cs="Calibri"/>
          <w:lang w:val="en-GB"/>
        </w:rPr>
        <w:t>communication</w:t>
      </w:r>
      <w:r w:rsidRPr="00D279D1">
        <w:rPr>
          <w:rFonts w:ascii="Calibri" w:hAnsi="Calibri" w:cs="Calibri"/>
          <w:lang w:val="en-GB"/>
        </w:rPr>
        <w:t xml:space="preserve"> measures </w:t>
      </w:r>
      <w:r>
        <w:rPr>
          <w:rFonts w:ascii="Calibri" w:hAnsi="Calibri" w:cs="Calibri"/>
          <w:lang w:val="en-GB"/>
        </w:rPr>
        <w:t>by</w:t>
      </w:r>
      <w:r w:rsidRPr="00D279D1">
        <w:rPr>
          <w:rFonts w:ascii="Calibri" w:hAnsi="Calibri" w:cs="Calibri"/>
          <w:lang w:val="en-GB"/>
        </w:rPr>
        <w:t xml:space="preserve"> the inputs </w:t>
      </w:r>
      <w:r>
        <w:rPr>
          <w:rFonts w:ascii="Calibri" w:hAnsi="Calibri" w:cs="Calibri"/>
          <w:lang w:val="en-GB"/>
        </w:rPr>
        <w:t xml:space="preserve">listed above </w:t>
      </w:r>
      <w:r w:rsidRPr="00D279D1">
        <w:rPr>
          <w:rFonts w:ascii="Calibri" w:hAnsi="Calibri" w:cs="Calibri"/>
          <w:lang w:val="en-GB"/>
        </w:rPr>
        <w:t xml:space="preserve">and its procedural </w:t>
      </w:r>
      <w:r>
        <w:rPr>
          <w:rFonts w:ascii="Calibri" w:hAnsi="Calibri" w:cs="Calibri"/>
          <w:lang w:val="en-GB"/>
        </w:rPr>
        <w:t>backing</w:t>
      </w:r>
      <w:r w:rsidRPr="00D279D1">
        <w:rPr>
          <w:rFonts w:ascii="Calibri" w:hAnsi="Calibri" w:cs="Calibri"/>
          <w:lang w:val="en-GB"/>
        </w:rPr>
        <w:t xml:space="preserve"> is considered </w:t>
      </w:r>
      <w:r>
        <w:rPr>
          <w:rFonts w:ascii="Calibri" w:hAnsi="Calibri" w:cs="Calibri"/>
          <w:lang w:val="en-GB"/>
        </w:rPr>
        <w:t xml:space="preserve">to be </w:t>
      </w:r>
      <w:r w:rsidRPr="00D279D1">
        <w:rPr>
          <w:rFonts w:ascii="Calibri" w:hAnsi="Calibri" w:cs="Calibri"/>
          <w:lang w:val="en-GB"/>
        </w:rPr>
        <w:t xml:space="preserve">sufficient, as it </w:t>
      </w:r>
      <w:r>
        <w:rPr>
          <w:rFonts w:ascii="Calibri" w:hAnsi="Calibri" w:cs="Calibri"/>
          <w:lang w:val="en-GB"/>
        </w:rPr>
        <w:t xml:space="preserve">sufficiently </w:t>
      </w:r>
      <w:r w:rsidRPr="00D279D1">
        <w:rPr>
          <w:rFonts w:ascii="Calibri" w:hAnsi="Calibri" w:cs="Calibri"/>
          <w:lang w:val="en-GB"/>
        </w:rPr>
        <w:t xml:space="preserve">allows the measures to be adapted to the needs and </w:t>
      </w:r>
      <w:r w:rsidR="00D94E12">
        <w:rPr>
          <w:rFonts w:ascii="Calibri" w:hAnsi="Calibri" w:cs="Calibri"/>
          <w:lang w:val="en-GB"/>
        </w:rPr>
        <w:t xml:space="preserve">recent </w:t>
      </w:r>
      <w:r w:rsidRPr="00D279D1">
        <w:rPr>
          <w:rFonts w:ascii="Calibri" w:hAnsi="Calibri" w:cs="Calibri"/>
          <w:lang w:val="en-GB"/>
        </w:rPr>
        <w:t xml:space="preserve">phase of the OP implementation. </w:t>
      </w:r>
      <w:r w:rsidR="00D94E12">
        <w:rPr>
          <w:rFonts w:ascii="Calibri" w:hAnsi="Calibri" w:cs="Calibri"/>
          <w:lang w:val="en-GB"/>
        </w:rPr>
        <w:t>However,</w:t>
      </w:r>
      <w:r w:rsidRPr="00D279D1">
        <w:rPr>
          <w:rFonts w:ascii="Calibri" w:hAnsi="Calibri" w:cs="Calibri"/>
          <w:lang w:val="en-GB"/>
        </w:rPr>
        <w:t xml:space="preserve"> unimplemented marketing campaign</w:t>
      </w:r>
      <w:r w:rsidR="00D94E12">
        <w:rPr>
          <w:rFonts w:ascii="Calibri" w:hAnsi="Calibri" w:cs="Calibri"/>
          <w:lang w:val="en-GB"/>
        </w:rPr>
        <w:t xml:space="preserve"> is seen as a deficit.</w:t>
      </w:r>
    </w:p>
    <w:p w14:paraId="55ACAB48" w14:textId="515E3CC4" w:rsidR="00D94E12" w:rsidRDefault="00D94E12" w:rsidP="005029E1">
      <w:pPr>
        <w:widowControl w:val="0"/>
        <w:suppressAutoHyphens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There is no system in place tasked with </w:t>
      </w:r>
      <w:r w:rsidRPr="00D94E12">
        <w:rPr>
          <w:rFonts w:cstheme="minorHAnsi"/>
          <w:lang w:val="en-GB"/>
        </w:rPr>
        <w:t>evaluat</w:t>
      </w:r>
      <w:r>
        <w:rPr>
          <w:rFonts w:cstheme="minorHAnsi"/>
          <w:lang w:val="en-GB"/>
        </w:rPr>
        <w:t>ion of</w:t>
      </w:r>
      <w:r w:rsidRPr="00D94E12">
        <w:rPr>
          <w:rFonts w:cstheme="minorHAnsi"/>
          <w:lang w:val="en-GB"/>
        </w:rPr>
        <w:t xml:space="preserve"> the effectiveness of publicity measures beyond general media monitoring, monitoring </w:t>
      </w:r>
      <w:r>
        <w:rPr>
          <w:rFonts w:cstheme="minorHAnsi"/>
          <w:lang w:val="en-GB"/>
        </w:rPr>
        <w:t xml:space="preserve">of visits on web pages </w:t>
      </w:r>
      <w:r w:rsidRPr="00D94E12">
        <w:rPr>
          <w:rFonts w:cstheme="minorHAnsi"/>
          <w:lang w:val="en-GB"/>
        </w:rPr>
        <w:t>or feedback from seminar participants and, where appropriate, ad-hoc information from communication campaign implementers.</w:t>
      </w:r>
      <w:r>
        <w:rPr>
          <w:rFonts w:cstheme="minorHAnsi"/>
          <w:lang w:val="en-GB"/>
        </w:rPr>
        <w:t xml:space="preserve"> Therefore</w:t>
      </w:r>
      <w:r w:rsidRPr="00D94E12">
        <w:rPr>
          <w:rFonts w:cstheme="minorHAnsi"/>
          <w:lang w:val="en-GB"/>
        </w:rPr>
        <w:t xml:space="preserve">, </w:t>
      </w:r>
      <w:r>
        <w:rPr>
          <w:rFonts w:cstheme="minorHAnsi"/>
          <w:lang w:val="en-GB"/>
        </w:rPr>
        <w:t xml:space="preserve">this </w:t>
      </w:r>
      <w:r w:rsidRPr="00D94E12">
        <w:rPr>
          <w:rFonts w:cstheme="minorHAnsi"/>
          <w:lang w:val="en-GB"/>
        </w:rPr>
        <w:t xml:space="preserve">continuous monitoring </w:t>
      </w:r>
      <w:r>
        <w:rPr>
          <w:rFonts w:cstheme="minorHAnsi"/>
          <w:lang w:val="en-GB"/>
        </w:rPr>
        <w:t>has capacity to capture</w:t>
      </w:r>
      <w:r w:rsidRPr="00D94E12">
        <w:rPr>
          <w:rFonts w:cstheme="minorHAnsi"/>
          <w:lang w:val="en-GB"/>
        </w:rPr>
        <w:t xml:space="preserve"> statistical data on the use of </w:t>
      </w:r>
      <w:r>
        <w:rPr>
          <w:rFonts w:cstheme="minorHAnsi"/>
          <w:lang w:val="en-GB"/>
        </w:rPr>
        <w:t xml:space="preserve">communication </w:t>
      </w:r>
      <w:r w:rsidRPr="00D94E12">
        <w:rPr>
          <w:rFonts w:cstheme="minorHAnsi"/>
          <w:lang w:val="en-GB"/>
        </w:rPr>
        <w:t xml:space="preserve">tools, but does not provide MA staff with information on the effectiveness </w:t>
      </w:r>
      <w:r>
        <w:rPr>
          <w:rFonts w:cstheme="minorHAnsi"/>
          <w:lang w:val="en-GB"/>
        </w:rPr>
        <w:t xml:space="preserve">of their application </w:t>
      </w:r>
      <w:r w:rsidRPr="00D94E12">
        <w:rPr>
          <w:rFonts w:cstheme="minorHAnsi"/>
          <w:lang w:val="en-GB"/>
        </w:rPr>
        <w:t>in relation to communication objectives and target groups.</w:t>
      </w:r>
    </w:p>
    <w:p w14:paraId="6B7DCEE6" w14:textId="6B08AC72" w:rsidR="00D94E12" w:rsidRDefault="00D94E12" w:rsidP="005029E1">
      <w:pPr>
        <w:widowControl w:val="0"/>
        <w:suppressAutoHyphens/>
        <w:rPr>
          <w:rFonts w:cstheme="minorHAnsi"/>
          <w:lang w:val="en-GB"/>
        </w:rPr>
      </w:pPr>
      <w:r>
        <w:rPr>
          <w:rFonts w:cstheme="minorHAnsi"/>
          <w:lang w:val="en-GB"/>
        </w:rPr>
        <w:t>A number of r</w:t>
      </w:r>
      <w:r w:rsidRPr="00D94E12">
        <w:rPr>
          <w:rFonts w:cstheme="minorHAnsi"/>
          <w:lang w:val="en-GB"/>
        </w:rPr>
        <w:t>ecommendations w</w:t>
      </w:r>
      <w:r w:rsidR="001604F1">
        <w:rPr>
          <w:rFonts w:cstheme="minorHAnsi"/>
          <w:lang w:val="en-GB"/>
        </w:rPr>
        <w:t>as</w:t>
      </w:r>
      <w:r w:rsidRPr="00D94E1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therefore </w:t>
      </w:r>
      <w:r w:rsidRPr="00D94E12">
        <w:rPr>
          <w:rFonts w:cstheme="minorHAnsi"/>
          <w:lang w:val="en-GB"/>
        </w:rPr>
        <w:t xml:space="preserve">formulated to strengthen the </w:t>
      </w:r>
      <w:r>
        <w:rPr>
          <w:rFonts w:cstheme="minorHAnsi"/>
          <w:lang w:val="en-GB"/>
        </w:rPr>
        <w:t xml:space="preserve">process of </w:t>
      </w:r>
      <w:r w:rsidRPr="00D94E12">
        <w:rPr>
          <w:rFonts w:cstheme="minorHAnsi"/>
          <w:lang w:val="en-GB"/>
        </w:rPr>
        <w:t>feedback collection in relation to publicity measures</w:t>
      </w:r>
      <w:r w:rsidR="001604F1">
        <w:rPr>
          <w:rFonts w:cstheme="minorHAnsi"/>
          <w:lang w:val="en-GB"/>
        </w:rPr>
        <w:t xml:space="preserve">, </w:t>
      </w:r>
      <w:r w:rsidRPr="00D94E12">
        <w:rPr>
          <w:rFonts w:cstheme="minorHAnsi"/>
          <w:lang w:val="en-GB"/>
        </w:rPr>
        <w:t xml:space="preserve">evaluate their effectiveness and to introduce systematic data collection in the future </w:t>
      </w:r>
      <w:r>
        <w:rPr>
          <w:rFonts w:cstheme="minorHAnsi"/>
          <w:lang w:val="en-GB"/>
        </w:rPr>
        <w:t>programming period</w:t>
      </w:r>
      <w:r w:rsidRPr="00D94E12">
        <w:rPr>
          <w:rFonts w:cstheme="minorHAnsi"/>
          <w:lang w:val="en-GB"/>
        </w:rPr>
        <w:t>.</w:t>
      </w:r>
    </w:p>
    <w:p w14:paraId="2E849D84" w14:textId="77777777" w:rsidR="005029E1" w:rsidRPr="005029E1" w:rsidRDefault="005029E1" w:rsidP="00D22365">
      <w:pPr>
        <w:widowControl w:val="0"/>
        <w:suppressAutoHyphens/>
        <w:rPr>
          <w:lang w:val="en-GB"/>
        </w:rPr>
      </w:pPr>
    </w:p>
    <w:sectPr w:rsidR="005029E1" w:rsidRPr="005029E1" w:rsidSect="00816E2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14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ED5ED" w14:textId="77777777" w:rsidR="00857DBE" w:rsidRDefault="00857DBE" w:rsidP="00DC2F29">
      <w:pPr>
        <w:spacing w:after="0" w:line="240" w:lineRule="auto"/>
      </w:pPr>
      <w:r>
        <w:separator/>
      </w:r>
    </w:p>
  </w:endnote>
  <w:endnote w:type="continuationSeparator" w:id="0">
    <w:p w14:paraId="7C7DDE60" w14:textId="77777777" w:rsidR="00857DBE" w:rsidRDefault="00857DBE" w:rsidP="00DC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557440"/>
      <w:docPartObj>
        <w:docPartGallery w:val="Page Numbers (Bottom of Page)"/>
        <w:docPartUnique/>
      </w:docPartObj>
    </w:sdtPr>
    <w:sdtEndPr/>
    <w:sdtContent>
      <w:p w14:paraId="26988DCE" w14:textId="36F85C8F" w:rsidR="00AA0DEE" w:rsidRDefault="00AA0DE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2AC">
          <w:rPr>
            <w:noProof/>
          </w:rPr>
          <w:t>6</w:t>
        </w:r>
        <w:r>
          <w:fldChar w:fldCharType="end"/>
        </w:r>
      </w:p>
    </w:sdtContent>
  </w:sdt>
  <w:p w14:paraId="4584DFB1" w14:textId="77777777" w:rsidR="00AA0DEE" w:rsidRDefault="00AA0D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373124"/>
      <w:docPartObj>
        <w:docPartGallery w:val="Page Numbers (Bottom of Page)"/>
        <w:docPartUnique/>
      </w:docPartObj>
    </w:sdtPr>
    <w:sdtEndPr/>
    <w:sdtContent>
      <w:p w14:paraId="414005CB" w14:textId="4C892878" w:rsidR="00AA0DEE" w:rsidRDefault="00AA0DEE" w:rsidP="009074A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2AC">
          <w:rPr>
            <w:noProof/>
          </w:rPr>
          <w:t>1</w:t>
        </w:r>
        <w:r>
          <w:fldChar w:fldCharType="end"/>
        </w:r>
      </w:p>
    </w:sdtContent>
  </w:sdt>
  <w:p w14:paraId="502B1E87" w14:textId="77777777" w:rsidR="00AA0DEE" w:rsidRDefault="00AA0D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C27E9" w14:textId="77777777" w:rsidR="00857DBE" w:rsidRDefault="00857DBE" w:rsidP="00DC2F29">
      <w:pPr>
        <w:spacing w:after="0" w:line="240" w:lineRule="auto"/>
      </w:pPr>
      <w:r>
        <w:separator/>
      </w:r>
    </w:p>
  </w:footnote>
  <w:footnote w:type="continuationSeparator" w:id="0">
    <w:p w14:paraId="4932DA4F" w14:textId="77777777" w:rsidR="00857DBE" w:rsidRDefault="00857DBE" w:rsidP="00DC2F29">
      <w:pPr>
        <w:spacing w:after="0" w:line="240" w:lineRule="auto"/>
      </w:pPr>
      <w:r>
        <w:continuationSeparator/>
      </w:r>
    </w:p>
  </w:footnote>
  <w:footnote w:id="1">
    <w:p w14:paraId="04F4D6F1" w14:textId="77777777" w:rsidR="00D22365" w:rsidRDefault="00D22365" w:rsidP="00D22365">
      <w:pPr>
        <w:pStyle w:val="Textpoznpodarou"/>
      </w:pPr>
      <w:r>
        <w:rPr>
          <w:rStyle w:val="Znakapoznpodarou"/>
        </w:rPr>
        <w:footnoteRef/>
      </w:r>
      <w:r>
        <w:t xml:space="preserve"> Dle informací pracovníků ŘO je toto opatření již implementováno, využití externí dodavatele pro posílení kapacity pro úkony týkající se kontroly statutu MSP je v okamžiku předkládání ZZ již </w:t>
      </w:r>
      <w:proofErr w:type="spellStart"/>
      <w:r>
        <w:t>vysoutěženo</w:t>
      </w:r>
      <w:proofErr w:type="spellEnd"/>
      <w:r>
        <w:t>.</w:t>
      </w:r>
    </w:p>
  </w:footnote>
  <w:footnote w:id="2">
    <w:p w14:paraId="3AC28944" w14:textId="319489F2" w:rsidR="005029E1" w:rsidRDefault="005029E1" w:rsidP="005029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="00E42084" w:rsidRPr="00E42084">
        <w:t>According</w:t>
      </w:r>
      <w:proofErr w:type="spellEnd"/>
      <w:r w:rsidR="00E42084" w:rsidRPr="00E42084">
        <w:t xml:space="preserve"> to </w:t>
      </w:r>
      <w:proofErr w:type="spellStart"/>
      <w:r w:rsidR="00E42084" w:rsidRPr="00E42084">
        <w:t>information</w:t>
      </w:r>
      <w:proofErr w:type="spellEnd"/>
      <w:r w:rsidR="00E42084" w:rsidRPr="00E42084">
        <w:t xml:space="preserve"> </w:t>
      </w:r>
      <w:proofErr w:type="spellStart"/>
      <w:r w:rsidR="00E42084">
        <w:t>provided</w:t>
      </w:r>
      <w:proofErr w:type="spellEnd"/>
      <w:r w:rsidR="00E42084">
        <w:t xml:space="preserve"> by</w:t>
      </w:r>
      <w:r w:rsidR="00E42084" w:rsidRPr="00E42084">
        <w:t xml:space="preserve"> MA </w:t>
      </w:r>
      <w:proofErr w:type="spellStart"/>
      <w:r w:rsidR="00E42084" w:rsidRPr="00E42084">
        <w:t>staff</w:t>
      </w:r>
      <w:proofErr w:type="spellEnd"/>
      <w:r w:rsidR="00E42084" w:rsidRPr="00E42084">
        <w:t xml:space="preserve">, </w:t>
      </w:r>
      <w:proofErr w:type="spellStart"/>
      <w:r w:rsidR="00E42084" w:rsidRPr="00E42084">
        <w:t>this</w:t>
      </w:r>
      <w:proofErr w:type="spellEnd"/>
      <w:r w:rsidR="00E42084" w:rsidRPr="00E42084">
        <w:t xml:space="preserve"> </w:t>
      </w:r>
      <w:proofErr w:type="spellStart"/>
      <w:r w:rsidR="00E42084">
        <w:t>recommendation</w:t>
      </w:r>
      <w:proofErr w:type="spellEnd"/>
      <w:r w:rsidR="00E42084" w:rsidRPr="00E42084">
        <w:t xml:space="preserve"> has </w:t>
      </w:r>
      <w:proofErr w:type="spellStart"/>
      <w:r w:rsidR="00E42084" w:rsidRPr="00E42084">
        <w:t>already</w:t>
      </w:r>
      <w:proofErr w:type="spellEnd"/>
      <w:r w:rsidR="00E42084" w:rsidRPr="00E42084">
        <w:t xml:space="preserve"> </w:t>
      </w:r>
      <w:proofErr w:type="spellStart"/>
      <w:r w:rsidR="00E42084" w:rsidRPr="00E42084">
        <w:t>been</w:t>
      </w:r>
      <w:proofErr w:type="spellEnd"/>
      <w:r w:rsidR="00E42084" w:rsidRPr="00E42084">
        <w:t xml:space="preserve"> </w:t>
      </w:r>
      <w:proofErr w:type="spellStart"/>
      <w:r w:rsidR="00E42084" w:rsidRPr="00E42084">
        <w:t>implemented</w:t>
      </w:r>
      <w:proofErr w:type="spellEnd"/>
      <w:r w:rsidR="00E42084" w:rsidRPr="00E42084">
        <w:t>,</w:t>
      </w:r>
      <w:r w:rsidR="00E42084">
        <w:t xml:space="preserve"> and in </w:t>
      </w:r>
      <w:proofErr w:type="spellStart"/>
      <w:r w:rsidR="00E42084">
        <w:t>the</w:t>
      </w:r>
      <w:proofErr w:type="spellEnd"/>
      <w:r w:rsidR="00E42084">
        <w:t xml:space="preserve"> </w:t>
      </w:r>
      <w:proofErr w:type="spellStart"/>
      <w:r w:rsidR="00E42084">
        <w:t>timeframe</w:t>
      </w:r>
      <w:proofErr w:type="spellEnd"/>
      <w:r w:rsidR="00E42084">
        <w:t xml:space="preserve"> </w:t>
      </w:r>
      <w:proofErr w:type="spellStart"/>
      <w:r w:rsidR="00E42084">
        <w:t>of</w:t>
      </w:r>
      <w:proofErr w:type="spellEnd"/>
      <w:r w:rsidR="00E42084">
        <w:t xml:space="preserve"> </w:t>
      </w:r>
      <w:proofErr w:type="spellStart"/>
      <w:r w:rsidR="00E42084">
        <w:t>presentation</w:t>
      </w:r>
      <w:proofErr w:type="spellEnd"/>
      <w:r w:rsidR="00E42084">
        <w:t xml:space="preserve"> </w:t>
      </w:r>
      <w:proofErr w:type="spellStart"/>
      <w:r w:rsidR="00E42084">
        <w:t>of</w:t>
      </w:r>
      <w:proofErr w:type="spellEnd"/>
      <w:r w:rsidR="00E42084">
        <w:t xml:space="preserve"> </w:t>
      </w:r>
      <w:proofErr w:type="spellStart"/>
      <w:r w:rsidR="00E42084">
        <w:t>this</w:t>
      </w:r>
      <w:proofErr w:type="spellEnd"/>
      <w:r w:rsidR="00E42084">
        <w:t xml:space="preserve"> </w:t>
      </w:r>
      <w:proofErr w:type="spellStart"/>
      <w:r w:rsidR="00E42084">
        <w:t>Final</w:t>
      </w:r>
      <w:proofErr w:type="spellEnd"/>
      <w:r w:rsidR="00E42084">
        <w:t xml:space="preserve"> Report a </w:t>
      </w:r>
      <w:proofErr w:type="spellStart"/>
      <w:r w:rsidR="00E42084">
        <w:t>procurement</w:t>
      </w:r>
      <w:proofErr w:type="spellEnd"/>
      <w:r w:rsidR="00E42084">
        <w:t xml:space="preserve"> </w:t>
      </w:r>
      <w:proofErr w:type="spellStart"/>
      <w:r w:rsidR="00E42084">
        <w:t>procedure</w:t>
      </w:r>
      <w:proofErr w:type="spellEnd"/>
      <w:r w:rsidR="00E42084">
        <w:t xml:space="preserve"> </w:t>
      </w:r>
      <w:proofErr w:type="spellStart"/>
      <w:r w:rsidR="00E42084">
        <w:t>for</w:t>
      </w:r>
      <w:proofErr w:type="spellEnd"/>
      <w:r w:rsidR="00E42084">
        <w:t xml:space="preserve"> </w:t>
      </w:r>
      <w:proofErr w:type="spellStart"/>
      <w:r w:rsidR="00E42084">
        <w:t>an</w:t>
      </w:r>
      <w:proofErr w:type="spellEnd"/>
      <w:r w:rsidR="00E42084">
        <w:t xml:space="preserve"> </w:t>
      </w:r>
      <w:proofErr w:type="spellStart"/>
      <w:r w:rsidR="00E42084">
        <w:t>external</w:t>
      </w:r>
      <w:proofErr w:type="spellEnd"/>
      <w:r w:rsidR="00E42084">
        <w:t xml:space="preserve"> </w:t>
      </w:r>
      <w:proofErr w:type="spellStart"/>
      <w:r w:rsidR="00E42084">
        <w:t>supplier</w:t>
      </w:r>
      <w:proofErr w:type="spellEnd"/>
      <w:r w:rsidR="00E42084">
        <w:t xml:space="preserve"> </w:t>
      </w:r>
      <w:proofErr w:type="spellStart"/>
      <w:r w:rsidR="00E42084">
        <w:t>enhancing</w:t>
      </w:r>
      <w:proofErr w:type="spellEnd"/>
      <w:r w:rsidR="00E42084">
        <w:t xml:space="preserve"> </w:t>
      </w:r>
      <w:proofErr w:type="spellStart"/>
      <w:r w:rsidR="00E42084">
        <w:t>the</w:t>
      </w:r>
      <w:proofErr w:type="spellEnd"/>
      <w:r w:rsidR="00E42084">
        <w:t xml:space="preserve"> </w:t>
      </w:r>
      <w:proofErr w:type="spellStart"/>
      <w:r w:rsidR="00E42084">
        <w:t>capacity</w:t>
      </w:r>
      <w:proofErr w:type="spellEnd"/>
      <w:r w:rsidR="00E42084">
        <w:t xml:space="preserve"> </w:t>
      </w:r>
      <w:proofErr w:type="spellStart"/>
      <w:r w:rsidR="00E42084">
        <w:t>of</w:t>
      </w:r>
      <w:proofErr w:type="spellEnd"/>
      <w:r w:rsidR="00E42084">
        <w:t xml:space="preserve"> IS </w:t>
      </w:r>
      <w:proofErr w:type="spellStart"/>
      <w:r w:rsidR="00E42084">
        <w:t>related</w:t>
      </w:r>
      <w:proofErr w:type="spellEnd"/>
      <w:r w:rsidR="00E42084">
        <w:t xml:space="preserve"> to SME status </w:t>
      </w:r>
      <w:proofErr w:type="spellStart"/>
      <w:r w:rsidR="00E42084">
        <w:t>verification</w:t>
      </w:r>
      <w:proofErr w:type="spellEnd"/>
      <w:r w:rsidR="00E42084">
        <w:t xml:space="preserve"> </w:t>
      </w:r>
      <w:proofErr w:type="spellStart"/>
      <w:r w:rsidR="00E42084">
        <w:t>will</w:t>
      </w:r>
      <w:proofErr w:type="spellEnd"/>
      <w:r w:rsidR="00E42084">
        <w:t xml:space="preserve"> </w:t>
      </w:r>
      <w:proofErr w:type="spellStart"/>
      <w:r w:rsidR="00E42084">
        <w:t>have</w:t>
      </w:r>
      <w:proofErr w:type="spellEnd"/>
      <w:r w:rsidR="00E42084">
        <w:t xml:space="preserve"> </w:t>
      </w:r>
      <w:proofErr w:type="spellStart"/>
      <w:r w:rsidR="00E42084">
        <w:t>been</w:t>
      </w:r>
      <w:proofErr w:type="spellEnd"/>
      <w:r w:rsidR="00E42084">
        <w:t xml:space="preserve"> </w:t>
      </w:r>
      <w:proofErr w:type="spellStart"/>
      <w:r w:rsidR="00E42084">
        <w:t>concluded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CC3F2" w14:textId="77777777" w:rsidR="00AA0DEE" w:rsidRDefault="00AA0D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A1FAB46" wp14:editId="7BFA5B4B">
          <wp:simplePos x="0" y="0"/>
          <wp:positionH relativeFrom="margin">
            <wp:posOffset>-71120</wp:posOffset>
          </wp:positionH>
          <wp:positionV relativeFrom="margin">
            <wp:posOffset>-819785</wp:posOffset>
          </wp:positionV>
          <wp:extent cx="1085850" cy="664210"/>
          <wp:effectExtent l="0" t="0" r="0" b="0"/>
          <wp:wrapSquare wrapText="bothSides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CEArtboard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5" t="18374" r="54291" b="16481"/>
                  <a:stretch/>
                </pic:blipFill>
                <pic:spPr bwMode="auto">
                  <a:xfrm>
                    <a:off x="0" y="0"/>
                    <a:ext cx="1085850" cy="664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5F5A8" w14:textId="77777777" w:rsidR="00AA0DEE" w:rsidRDefault="00AA0DEE">
    <w:pPr>
      <w:pStyle w:val="Zhlav"/>
    </w:pPr>
    <w:r w:rsidRPr="0003586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E8D354C" wp14:editId="1A427190">
              <wp:simplePos x="0" y="0"/>
              <wp:positionH relativeFrom="margin">
                <wp:posOffset>3064510</wp:posOffset>
              </wp:positionH>
              <wp:positionV relativeFrom="page">
                <wp:posOffset>352425</wp:posOffset>
              </wp:positionV>
              <wp:extent cx="2678430" cy="509905"/>
              <wp:effectExtent l="0" t="0" r="7620" b="4445"/>
              <wp:wrapNone/>
              <wp:docPr id="8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84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85BD8" w14:textId="77777777" w:rsidR="00AA0DEE" w:rsidRDefault="00AA0DEE" w:rsidP="00985F3A">
                          <w:pPr>
                            <w:spacing w:after="0"/>
                            <w:ind w:right="68"/>
                            <w:jc w:val="right"/>
                            <w:rPr>
                              <w:color w:val="0D3B5E" w:themeColor="accent1"/>
                              <w:sz w:val="20"/>
                              <w:szCs w:val="48"/>
                              <w:highlight w:val="yellow"/>
                            </w:rPr>
                          </w:pPr>
                        </w:p>
                        <w:p w14:paraId="61482B6F" w14:textId="77777777" w:rsidR="00AA0DEE" w:rsidRPr="000D48C0" w:rsidRDefault="00AA0DEE" w:rsidP="00A1543A">
                          <w:pPr>
                            <w:spacing w:after="0"/>
                            <w:ind w:right="68"/>
                            <w:jc w:val="right"/>
                            <w:rPr>
                              <w:color w:val="0D3B5E" w:themeColor="accent1"/>
                              <w:sz w:val="18"/>
                              <w:szCs w:val="18"/>
                            </w:rPr>
                          </w:pPr>
                          <w:r w:rsidRPr="000D48C0">
                            <w:rPr>
                              <w:color w:val="0D3B5E" w:themeColor="accent1"/>
                              <w:sz w:val="18"/>
                              <w:szCs w:val="18"/>
                            </w:rPr>
                            <w:t>Evaluace řízení a administrace technické pomoci OP PIK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8D354C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left:0;text-align:left;margin-left:241.3pt;margin-top:27.75pt;width:210.9pt;height:40.1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" filled="f" stroked="f">
              <v:textbox inset="0,0,0,0">
                <w:txbxContent>
                  <w:p w14:paraId="22D85BD8" w14:textId="77777777" w:rsidR="00AA0DEE" w:rsidRDefault="00AA0DEE" w:rsidP="00985F3A">
                    <w:pPr>
                      <w:spacing w:after="0"/>
                      <w:ind w:right="68"/>
                      <w:jc w:val="right"/>
                      <w:rPr>
                        <w:color w:val="0D3B5E" w:themeColor="accent1"/>
                        <w:sz w:val="20"/>
                        <w:szCs w:val="48"/>
                        <w:highlight w:val="yellow"/>
                      </w:rPr>
                    </w:pPr>
                  </w:p>
                  <w:p w14:paraId="61482B6F" w14:textId="77777777" w:rsidR="00AA0DEE" w:rsidRPr="000D48C0" w:rsidRDefault="00AA0DEE" w:rsidP="00A1543A">
                    <w:pPr>
                      <w:spacing w:after="0"/>
                      <w:ind w:right="68"/>
                      <w:jc w:val="right"/>
                      <w:rPr>
                        <w:color w:val="0D3B5E" w:themeColor="accent1"/>
                        <w:sz w:val="18"/>
                        <w:szCs w:val="18"/>
                      </w:rPr>
                    </w:pPr>
                    <w:r w:rsidRPr="000D48C0">
                      <w:rPr>
                        <w:color w:val="0D3B5E" w:themeColor="accent1"/>
                        <w:sz w:val="18"/>
                        <w:szCs w:val="18"/>
                      </w:rPr>
                      <w:t>Evaluace řízení a administrace technické pomoci OP PIK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E9DE03B" w14:textId="77777777" w:rsidR="00AA0DEE" w:rsidRDefault="00AA0DEE" w:rsidP="00985F3A">
    <w:pPr>
      <w:pStyle w:val="Zhlav"/>
      <w:tabs>
        <w:tab w:val="clear" w:pos="4536"/>
        <w:tab w:val="clear" w:pos="9072"/>
        <w:tab w:val="left" w:pos="3795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2C0F2" w14:textId="77777777" w:rsidR="00AA0DEE" w:rsidRDefault="00AA0DEE" w:rsidP="009074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75648" behindDoc="1" locked="0" layoutInCell="1" allowOverlap="1" wp14:anchorId="020B69B3" wp14:editId="0AE296FA">
          <wp:simplePos x="0" y="0"/>
          <wp:positionH relativeFrom="margin">
            <wp:posOffset>-71120</wp:posOffset>
          </wp:positionH>
          <wp:positionV relativeFrom="margin">
            <wp:posOffset>-819785</wp:posOffset>
          </wp:positionV>
          <wp:extent cx="1085850" cy="664210"/>
          <wp:effectExtent l="0" t="0" r="0" b="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CEArtboard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5" t="18374" r="54291" b="16481"/>
                  <a:stretch/>
                </pic:blipFill>
                <pic:spPr bwMode="auto">
                  <a:xfrm>
                    <a:off x="0" y="0"/>
                    <a:ext cx="1085850" cy="664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A0EB51" w14:textId="77777777" w:rsidR="00AA0DEE" w:rsidRDefault="00AA0DEE" w:rsidP="009074AC">
    <w:pPr>
      <w:pStyle w:val="Zhlav"/>
    </w:pPr>
    <w:r w:rsidRPr="0003586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C6A8F9" wp14:editId="2D4D331D">
              <wp:simplePos x="0" y="0"/>
              <wp:positionH relativeFrom="margin">
                <wp:posOffset>3064510</wp:posOffset>
              </wp:positionH>
              <wp:positionV relativeFrom="page">
                <wp:posOffset>352425</wp:posOffset>
              </wp:positionV>
              <wp:extent cx="2678430" cy="509905"/>
              <wp:effectExtent l="0" t="0" r="7620" b="4445"/>
              <wp:wrapNone/>
              <wp:docPr id="10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84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8FD94" w14:textId="77777777" w:rsidR="00AA0DEE" w:rsidRDefault="00AA0DEE" w:rsidP="009074AC">
                          <w:pPr>
                            <w:spacing w:after="0"/>
                            <w:ind w:right="68"/>
                            <w:jc w:val="right"/>
                            <w:rPr>
                              <w:color w:val="0D3B5E" w:themeColor="accent1"/>
                              <w:sz w:val="20"/>
                              <w:szCs w:val="48"/>
                              <w:highlight w:val="yellow"/>
                            </w:rPr>
                          </w:pPr>
                        </w:p>
                        <w:p w14:paraId="6384CCB6" w14:textId="45F522A4" w:rsidR="00AA0DEE" w:rsidRPr="000D48C0" w:rsidRDefault="00AA0DEE" w:rsidP="009074AC">
                          <w:pPr>
                            <w:spacing w:after="0"/>
                            <w:ind w:right="68"/>
                            <w:jc w:val="right"/>
                            <w:rPr>
                              <w:color w:val="0D3B5E" w:themeColor="accent1"/>
                              <w:sz w:val="18"/>
                              <w:szCs w:val="18"/>
                            </w:rPr>
                          </w:pPr>
                          <w:r w:rsidRPr="000D48C0">
                            <w:rPr>
                              <w:color w:val="0D3B5E" w:themeColor="accent1"/>
                              <w:sz w:val="18"/>
                              <w:szCs w:val="18"/>
                            </w:rPr>
                            <w:t>Evaluace řízení a administrace technické pomoci OP PIK</w:t>
                          </w:r>
                          <w:r w:rsidR="00F67A13">
                            <w:rPr>
                              <w:color w:val="0D3B5E" w:themeColor="accent1"/>
                              <w:sz w:val="18"/>
                              <w:szCs w:val="18"/>
                            </w:rPr>
                            <w:t>: Manažerské shrnutí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C6A8F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1.3pt;margin-top:27.75pt;width:210.9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" filled="f" stroked="f">
              <v:textbox inset="0,0,0,0">
                <w:txbxContent>
                  <w:p w14:paraId="14D8FD94" w14:textId="77777777" w:rsidR="00AA0DEE" w:rsidRDefault="00AA0DEE" w:rsidP="009074AC">
                    <w:pPr>
                      <w:spacing w:after="0"/>
                      <w:ind w:right="68"/>
                      <w:jc w:val="right"/>
                      <w:rPr>
                        <w:color w:val="0D3B5E" w:themeColor="accent1"/>
                        <w:sz w:val="20"/>
                        <w:szCs w:val="48"/>
                        <w:highlight w:val="yellow"/>
                      </w:rPr>
                    </w:pPr>
                  </w:p>
                  <w:p w14:paraId="6384CCB6" w14:textId="45F522A4" w:rsidR="00AA0DEE" w:rsidRPr="000D48C0" w:rsidRDefault="00AA0DEE" w:rsidP="009074AC">
                    <w:pPr>
                      <w:spacing w:after="0"/>
                      <w:ind w:right="68"/>
                      <w:jc w:val="right"/>
                      <w:rPr>
                        <w:color w:val="0D3B5E" w:themeColor="accent1"/>
                        <w:sz w:val="18"/>
                        <w:szCs w:val="18"/>
                      </w:rPr>
                    </w:pPr>
                    <w:r w:rsidRPr="000D48C0">
                      <w:rPr>
                        <w:color w:val="0D3B5E" w:themeColor="accent1"/>
                        <w:sz w:val="18"/>
                        <w:szCs w:val="18"/>
                      </w:rPr>
                      <w:t>Evaluace řízení a administrace technické pomoci OP PIK</w:t>
                    </w:r>
                    <w:r w:rsidR="00F67A13">
                      <w:rPr>
                        <w:color w:val="0D3B5E" w:themeColor="accent1"/>
                        <w:sz w:val="18"/>
                        <w:szCs w:val="18"/>
                      </w:rPr>
                      <w:t>: Manažerské shrnutí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C704F60" w14:textId="77777777" w:rsidR="00AA0DEE" w:rsidRDefault="00AA0DEE" w:rsidP="009074AC">
    <w:pPr>
      <w:pStyle w:val="Zhlav"/>
      <w:tabs>
        <w:tab w:val="clear" w:pos="4536"/>
        <w:tab w:val="clear" w:pos="9072"/>
        <w:tab w:val="left" w:pos="3795"/>
      </w:tabs>
      <w:jc w:val="center"/>
    </w:pPr>
  </w:p>
  <w:p w14:paraId="2BA2049F" w14:textId="77777777" w:rsidR="00AA0DEE" w:rsidRDefault="00AA0D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63BC"/>
    <w:multiLevelType w:val="hybridMultilevel"/>
    <w:tmpl w:val="7BD04966"/>
    <w:lvl w:ilvl="0" w:tplc="9416BC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5372"/>
    <w:multiLevelType w:val="hybridMultilevel"/>
    <w:tmpl w:val="18C483CC"/>
    <w:lvl w:ilvl="0" w:tplc="9416BC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74502"/>
    <w:multiLevelType w:val="hybridMultilevel"/>
    <w:tmpl w:val="0D665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B6608"/>
    <w:multiLevelType w:val="hybridMultilevel"/>
    <w:tmpl w:val="09624C30"/>
    <w:lvl w:ilvl="0" w:tplc="9416BC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D1FAF"/>
    <w:multiLevelType w:val="hybridMultilevel"/>
    <w:tmpl w:val="F6907EE4"/>
    <w:lvl w:ilvl="0" w:tplc="9416BC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167AD"/>
    <w:multiLevelType w:val="hybridMultilevel"/>
    <w:tmpl w:val="8DA69622"/>
    <w:lvl w:ilvl="0" w:tplc="9416BC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22B71"/>
    <w:multiLevelType w:val="hybridMultilevel"/>
    <w:tmpl w:val="55B0D790"/>
    <w:lvl w:ilvl="0" w:tplc="9416BC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25744"/>
    <w:multiLevelType w:val="multilevel"/>
    <w:tmpl w:val="69485CF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241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33D1A3D"/>
    <w:multiLevelType w:val="hybridMultilevel"/>
    <w:tmpl w:val="AD144458"/>
    <w:lvl w:ilvl="0" w:tplc="9416BC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5512B"/>
    <w:multiLevelType w:val="hybridMultilevel"/>
    <w:tmpl w:val="3286B9B4"/>
    <w:lvl w:ilvl="0" w:tplc="20C2F3C6">
      <w:start w:val="2"/>
      <w:numFmt w:val="bullet"/>
      <w:lvlText w:val="-"/>
      <w:lvlJc w:val="left"/>
      <w:pPr>
        <w:ind w:left="723" w:hanging="360"/>
      </w:pPr>
      <w:rPr>
        <w:rFonts w:ascii="Calibri" w:eastAsia="Times New Roman" w:hAnsi="Calibri" w:cs="Times New Roman" w:hint="default"/>
        <w:b/>
        <w:i w:val="0"/>
        <w:color w:val="2A91E1" w:themeColor="accent1" w:themeTint="99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B757C"/>
    <w:multiLevelType w:val="hybridMultilevel"/>
    <w:tmpl w:val="45C897BE"/>
    <w:lvl w:ilvl="0" w:tplc="9416BC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B5038"/>
    <w:multiLevelType w:val="multilevel"/>
    <w:tmpl w:val="2348EE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2B0B74"/>
    <w:multiLevelType w:val="hybridMultilevel"/>
    <w:tmpl w:val="1C207F06"/>
    <w:lvl w:ilvl="0" w:tplc="356A97E8">
      <w:start w:val="1"/>
      <w:numFmt w:val="bullet"/>
      <w:pStyle w:val="Odrvtab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E4FFF"/>
    <w:multiLevelType w:val="hybridMultilevel"/>
    <w:tmpl w:val="52E6DBE4"/>
    <w:lvl w:ilvl="0" w:tplc="9416BC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D2FAC"/>
    <w:multiLevelType w:val="hybridMultilevel"/>
    <w:tmpl w:val="3120F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9F7"/>
    <w:multiLevelType w:val="hybridMultilevel"/>
    <w:tmpl w:val="E468EA86"/>
    <w:lvl w:ilvl="0" w:tplc="9416BC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23FCA"/>
    <w:multiLevelType w:val="hybridMultilevel"/>
    <w:tmpl w:val="AFF83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90F8C"/>
    <w:multiLevelType w:val="hybridMultilevel"/>
    <w:tmpl w:val="44168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F0EE6"/>
    <w:multiLevelType w:val="hybridMultilevel"/>
    <w:tmpl w:val="9C2A6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D29BD"/>
    <w:multiLevelType w:val="hybridMultilevel"/>
    <w:tmpl w:val="F51A7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04E5B"/>
    <w:multiLevelType w:val="hybridMultilevel"/>
    <w:tmpl w:val="7054C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101E6"/>
    <w:multiLevelType w:val="hybridMultilevel"/>
    <w:tmpl w:val="2606F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75E4B"/>
    <w:multiLevelType w:val="hybridMultilevel"/>
    <w:tmpl w:val="7174E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43170"/>
    <w:multiLevelType w:val="hybridMultilevel"/>
    <w:tmpl w:val="EC4CD7F4"/>
    <w:lvl w:ilvl="0" w:tplc="78804C1A">
      <w:start w:val="1"/>
      <w:numFmt w:val="bullet"/>
      <w:pStyle w:val="Odrky1"/>
      <w:lvlText w:val=""/>
      <w:lvlJc w:val="left"/>
      <w:pPr>
        <w:ind w:left="723" w:hanging="360"/>
      </w:pPr>
      <w:rPr>
        <w:rFonts w:ascii="Symbol" w:hAnsi="Symbol" w:hint="default"/>
        <w:b/>
        <w:i w:val="0"/>
        <w:color w:val="2A91E1" w:themeColor="accent1" w:themeTint="99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E6406"/>
    <w:multiLevelType w:val="hybridMultilevel"/>
    <w:tmpl w:val="1EE0D10A"/>
    <w:lvl w:ilvl="0" w:tplc="9416BC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F53B8"/>
    <w:multiLevelType w:val="hybridMultilevel"/>
    <w:tmpl w:val="775A4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51420"/>
    <w:multiLevelType w:val="hybridMultilevel"/>
    <w:tmpl w:val="A7AAC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A2B7F"/>
    <w:multiLevelType w:val="hybridMultilevel"/>
    <w:tmpl w:val="DB6E9B26"/>
    <w:lvl w:ilvl="0" w:tplc="9416BC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817D5"/>
    <w:multiLevelType w:val="hybridMultilevel"/>
    <w:tmpl w:val="FFB46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53B54"/>
    <w:multiLevelType w:val="hybridMultilevel"/>
    <w:tmpl w:val="A4D40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23"/>
  </w:num>
  <w:num w:numId="5">
    <w:abstractNumId w:val="12"/>
  </w:num>
  <w:num w:numId="6">
    <w:abstractNumId w:val="25"/>
  </w:num>
  <w:num w:numId="7">
    <w:abstractNumId w:val="9"/>
  </w:num>
  <w:num w:numId="8">
    <w:abstractNumId w:val="29"/>
  </w:num>
  <w:num w:numId="9">
    <w:abstractNumId w:val="28"/>
  </w:num>
  <w:num w:numId="10">
    <w:abstractNumId w:val="14"/>
  </w:num>
  <w:num w:numId="11">
    <w:abstractNumId w:val="14"/>
  </w:num>
  <w:num w:numId="12">
    <w:abstractNumId w:val="2"/>
  </w:num>
  <w:num w:numId="13">
    <w:abstractNumId w:val="20"/>
  </w:num>
  <w:num w:numId="14">
    <w:abstractNumId w:val="21"/>
  </w:num>
  <w:num w:numId="15">
    <w:abstractNumId w:val="19"/>
  </w:num>
  <w:num w:numId="16">
    <w:abstractNumId w:val="17"/>
  </w:num>
  <w:num w:numId="17">
    <w:abstractNumId w:val="6"/>
  </w:num>
  <w:num w:numId="18">
    <w:abstractNumId w:val="22"/>
  </w:num>
  <w:num w:numId="19">
    <w:abstractNumId w:val="13"/>
  </w:num>
  <w:num w:numId="20">
    <w:abstractNumId w:val="24"/>
  </w:num>
  <w:num w:numId="21">
    <w:abstractNumId w:val="4"/>
  </w:num>
  <w:num w:numId="22">
    <w:abstractNumId w:val="10"/>
  </w:num>
  <w:num w:numId="23">
    <w:abstractNumId w:val="27"/>
  </w:num>
  <w:num w:numId="24">
    <w:abstractNumId w:val="5"/>
  </w:num>
  <w:num w:numId="25">
    <w:abstractNumId w:val="0"/>
  </w:num>
  <w:num w:numId="26">
    <w:abstractNumId w:val="15"/>
  </w:num>
  <w:num w:numId="27">
    <w:abstractNumId w:val="8"/>
  </w:num>
  <w:num w:numId="28">
    <w:abstractNumId w:val="1"/>
  </w:num>
  <w:num w:numId="29">
    <w:abstractNumId w:val="26"/>
  </w:num>
  <w:num w:numId="30">
    <w:abstractNumId w:val="18"/>
  </w:num>
  <w:num w:numId="31">
    <w:abstractNumId w:val="16"/>
  </w:num>
  <w:num w:numId="32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29"/>
    <w:rsid w:val="00002B35"/>
    <w:rsid w:val="000038EA"/>
    <w:rsid w:val="000043C3"/>
    <w:rsid w:val="00005BF5"/>
    <w:rsid w:val="000113B5"/>
    <w:rsid w:val="00013C18"/>
    <w:rsid w:val="0001427A"/>
    <w:rsid w:val="0002532C"/>
    <w:rsid w:val="0003178D"/>
    <w:rsid w:val="0003418A"/>
    <w:rsid w:val="000441A0"/>
    <w:rsid w:val="000463A4"/>
    <w:rsid w:val="000501DB"/>
    <w:rsid w:val="00055FBB"/>
    <w:rsid w:val="00060AF4"/>
    <w:rsid w:val="00063A2E"/>
    <w:rsid w:val="00063FB2"/>
    <w:rsid w:val="00067B2B"/>
    <w:rsid w:val="00077FE5"/>
    <w:rsid w:val="00080589"/>
    <w:rsid w:val="000833FB"/>
    <w:rsid w:val="000868FC"/>
    <w:rsid w:val="00092E0C"/>
    <w:rsid w:val="000A4E9C"/>
    <w:rsid w:val="000B0DD7"/>
    <w:rsid w:val="000B12FC"/>
    <w:rsid w:val="000B2A8E"/>
    <w:rsid w:val="000B54C4"/>
    <w:rsid w:val="000B6B15"/>
    <w:rsid w:val="000B759E"/>
    <w:rsid w:val="000C2CA4"/>
    <w:rsid w:val="000C594D"/>
    <w:rsid w:val="000D0427"/>
    <w:rsid w:val="000D48C0"/>
    <w:rsid w:val="000D7AD6"/>
    <w:rsid w:val="000E45AF"/>
    <w:rsid w:val="000E4AC3"/>
    <w:rsid w:val="000E547C"/>
    <w:rsid w:val="000F3037"/>
    <w:rsid w:val="000F370F"/>
    <w:rsid w:val="000F3A1D"/>
    <w:rsid w:val="000F61B5"/>
    <w:rsid w:val="000F76B3"/>
    <w:rsid w:val="000F7B91"/>
    <w:rsid w:val="001051D2"/>
    <w:rsid w:val="001056BE"/>
    <w:rsid w:val="00106A20"/>
    <w:rsid w:val="001100CA"/>
    <w:rsid w:val="00111509"/>
    <w:rsid w:val="00111A49"/>
    <w:rsid w:val="001145CF"/>
    <w:rsid w:val="00122B39"/>
    <w:rsid w:val="00124414"/>
    <w:rsid w:val="0013068F"/>
    <w:rsid w:val="00131A25"/>
    <w:rsid w:val="0013230A"/>
    <w:rsid w:val="001335C8"/>
    <w:rsid w:val="00134880"/>
    <w:rsid w:val="0013533B"/>
    <w:rsid w:val="00136972"/>
    <w:rsid w:val="00140DC1"/>
    <w:rsid w:val="001423DB"/>
    <w:rsid w:val="00142CD6"/>
    <w:rsid w:val="00144C10"/>
    <w:rsid w:val="0014560B"/>
    <w:rsid w:val="001458D3"/>
    <w:rsid w:val="00146222"/>
    <w:rsid w:val="001530AC"/>
    <w:rsid w:val="00153FE6"/>
    <w:rsid w:val="0015510B"/>
    <w:rsid w:val="001604F1"/>
    <w:rsid w:val="00160666"/>
    <w:rsid w:val="00171884"/>
    <w:rsid w:val="001807CA"/>
    <w:rsid w:val="00184ADD"/>
    <w:rsid w:val="00186844"/>
    <w:rsid w:val="00187275"/>
    <w:rsid w:val="0018774E"/>
    <w:rsid w:val="00194DE8"/>
    <w:rsid w:val="00197958"/>
    <w:rsid w:val="001A23A4"/>
    <w:rsid w:val="001A5E01"/>
    <w:rsid w:val="001B044B"/>
    <w:rsid w:val="001B5108"/>
    <w:rsid w:val="001B51C6"/>
    <w:rsid w:val="001C00D6"/>
    <w:rsid w:val="001C0B06"/>
    <w:rsid w:val="001C1B8A"/>
    <w:rsid w:val="001C5FC2"/>
    <w:rsid w:val="001C7E13"/>
    <w:rsid w:val="001D10AB"/>
    <w:rsid w:val="001D38FE"/>
    <w:rsid w:val="001E314F"/>
    <w:rsid w:val="001E58D1"/>
    <w:rsid w:val="001F3487"/>
    <w:rsid w:val="001F58D3"/>
    <w:rsid w:val="001F6A1F"/>
    <w:rsid w:val="00204FC4"/>
    <w:rsid w:val="00205D74"/>
    <w:rsid w:val="00220156"/>
    <w:rsid w:val="0022184C"/>
    <w:rsid w:val="00226C19"/>
    <w:rsid w:val="00231DDD"/>
    <w:rsid w:val="0023324F"/>
    <w:rsid w:val="00233F0D"/>
    <w:rsid w:val="00236BA3"/>
    <w:rsid w:val="00237189"/>
    <w:rsid w:val="00243679"/>
    <w:rsid w:val="002516DF"/>
    <w:rsid w:val="00251D28"/>
    <w:rsid w:val="00253B5E"/>
    <w:rsid w:val="00253DA3"/>
    <w:rsid w:val="002624FC"/>
    <w:rsid w:val="00266773"/>
    <w:rsid w:val="00270436"/>
    <w:rsid w:val="00271EFD"/>
    <w:rsid w:val="00273AF9"/>
    <w:rsid w:val="0027497B"/>
    <w:rsid w:val="00274F44"/>
    <w:rsid w:val="002760BB"/>
    <w:rsid w:val="002761F1"/>
    <w:rsid w:val="00281D61"/>
    <w:rsid w:val="002862DF"/>
    <w:rsid w:val="00291C46"/>
    <w:rsid w:val="002958F7"/>
    <w:rsid w:val="002A60B3"/>
    <w:rsid w:val="002B0CF7"/>
    <w:rsid w:val="002B1A0F"/>
    <w:rsid w:val="002B357D"/>
    <w:rsid w:val="002B3C90"/>
    <w:rsid w:val="002C492D"/>
    <w:rsid w:val="002C614C"/>
    <w:rsid w:val="002C7B77"/>
    <w:rsid w:val="002D1A4D"/>
    <w:rsid w:val="002E082C"/>
    <w:rsid w:val="002E49E8"/>
    <w:rsid w:val="002E4D91"/>
    <w:rsid w:val="002F1D75"/>
    <w:rsid w:val="002F40D5"/>
    <w:rsid w:val="003005BC"/>
    <w:rsid w:val="00301E94"/>
    <w:rsid w:val="00305CC7"/>
    <w:rsid w:val="00311E21"/>
    <w:rsid w:val="00314657"/>
    <w:rsid w:val="0032179B"/>
    <w:rsid w:val="00324735"/>
    <w:rsid w:val="00333BA9"/>
    <w:rsid w:val="003353EB"/>
    <w:rsid w:val="00335AAE"/>
    <w:rsid w:val="0035086E"/>
    <w:rsid w:val="0035419D"/>
    <w:rsid w:val="00360278"/>
    <w:rsid w:val="003636FE"/>
    <w:rsid w:val="0036447D"/>
    <w:rsid w:val="00377198"/>
    <w:rsid w:val="003831AB"/>
    <w:rsid w:val="00392E43"/>
    <w:rsid w:val="003A263F"/>
    <w:rsid w:val="003A349D"/>
    <w:rsid w:val="003A474D"/>
    <w:rsid w:val="003D01DB"/>
    <w:rsid w:val="003D35DB"/>
    <w:rsid w:val="003E194B"/>
    <w:rsid w:val="003E4179"/>
    <w:rsid w:val="003E71AD"/>
    <w:rsid w:val="003F35F7"/>
    <w:rsid w:val="00401996"/>
    <w:rsid w:val="00402B96"/>
    <w:rsid w:val="00410F84"/>
    <w:rsid w:val="0041676B"/>
    <w:rsid w:val="00421B5C"/>
    <w:rsid w:val="00421BDF"/>
    <w:rsid w:val="004254A6"/>
    <w:rsid w:val="00433CE7"/>
    <w:rsid w:val="004373AC"/>
    <w:rsid w:val="0043763B"/>
    <w:rsid w:val="00441ABB"/>
    <w:rsid w:val="004451DB"/>
    <w:rsid w:val="004464EE"/>
    <w:rsid w:val="00447B02"/>
    <w:rsid w:val="00452B2F"/>
    <w:rsid w:val="004561DD"/>
    <w:rsid w:val="00457708"/>
    <w:rsid w:val="004602C2"/>
    <w:rsid w:val="004613AF"/>
    <w:rsid w:val="00466F46"/>
    <w:rsid w:val="00470880"/>
    <w:rsid w:val="004709E7"/>
    <w:rsid w:val="00470F05"/>
    <w:rsid w:val="004712AC"/>
    <w:rsid w:val="00472801"/>
    <w:rsid w:val="00473EBE"/>
    <w:rsid w:val="004761FE"/>
    <w:rsid w:val="004766F2"/>
    <w:rsid w:val="004804D1"/>
    <w:rsid w:val="00484022"/>
    <w:rsid w:val="0048529F"/>
    <w:rsid w:val="00486EE9"/>
    <w:rsid w:val="004877B5"/>
    <w:rsid w:val="00491E79"/>
    <w:rsid w:val="004938A0"/>
    <w:rsid w:val="0049437E"/>
    <w:rsid w:val="004974F2"/>
    <w:rsid w:val="00497FCA"/>
    <w:rsid w:val="004A07E6"/>
    <w:rsid w:val="004A2ABD"/>
    <w:rsid w:val="004A321F"/>
    <w:rsid w:val="004A5255"/>
    <w:rsid w:val="004A67E2"/>
    <w:rsid w:val="004B2041"/>
    <w:rsid w:val="004C1213"/>
    <w:rsid w:val="004C401A"/>
    <w:rsid w:val="004C7A88"/>
    <w:rsid w:val="004E211D"/>
    <w:rsid w:val="004E3DAF"/>
    <w:rsid w:val="004F626A"/>
    <w:rsid w:val="004F6F7E"/>
    <w:rsid w:val="004F7F52"/>
    <w:rsid w:val="005029E1"/>
    <w:rsid w:val="005035F8"/>
    <w:rsid w:val="0050390E"/>
    <w:rsid w:val="00504177"/>
    <w:rsid w:val="00504A75"/>
    <w:rsid w:val="005136BC"/>
    <w:rsid w:val="00514787"/>
    <w:rsid w:val="005156C2"/>
    <w:rsid w:val="00523260"/>
    <w:rsid w:val="005319E5"/>
    <w:rsid w:val="0053594D"/>
    <w:rsid w:val="00536990"/>
    <w:rsid w:val="00536C35"/>
    <w:rsid w:val="00541B50"/>
    <w:rsid w:val="00542EDD"/>
    <w:rsid w:val="0054400B"/>
    <w:rsid w:val="00550154"/>
    <w:rsid w:val="00556540"/>
    <w:rsid w:val="00557913"/>
    <w:rsid w:val="00564037"/>
    <w:rsid w:val="00566D1A"/>
    <w:rsid w:val="00571607"/>
    <w:rsid w:val="005724FB"/>
    <w:rsid w:val="005733EE"/>
    <w:rsid w:val="005763B9"/>
    <w:rsid w:val="00577191"/>
    <w:rsid w:val="005819DA"/>
    <w:rsid w:val="00585D76"/>
    <w:rsid w:val="0059189F"/>
    <w:rsid w:val="00595977"/>
    <w:rsid w:val="005A1B58"/>
    <w:rsid w:val="005A24F9"/>
    <w:rsid w:val="005A2EEC"/>
    <w:rsid w:val="005B1454"/>
    <w:rsid w:val="005C0216"/>
    <w:rsid w:val="005C0C39"/>
    <w:rsid w:val="005D05AB"/>
    <w:rsid w:val="005D0E6C"/>
    <w:rsid w:val="005D1691"/>
    <w:rsid w:val="005D5274"/>
    <w:rsid w:val="005D5304"/>
    <w:rsid w:val="005D5A32"/>
    <w:rsid w:val="005D65BF"/>
    <w:rsid w:val="005D75C8"/>
    <w:rsid w:val="005E1F75"/>
    <w:rsid w:val="005E3C46"/>
    <w:rsid w:val="005E7D7C"/>
    <w:rsid w:val="005F3825"/>
    <w:rsid w:val="005F5B71"/>
    <w:rsid w:val="005F762C"/>
    <w:rsid w:val="0060328A"/>
    <w:rsid w:val="00606C9E"/>
    <w:rsid w:val="00607531"/>
    <w:rsid w:val="006149FA"/>
    <w:rsid w:val="00620537"/>
    <w:rsid w:val="0062423F"/>
    <w:rsid w:val="00626597"/>
    <w:rsid w:val="0063166B"/>
    <w:rsid w:val="0063332B"/>
    <w:rsid w:val="0064031A"/>
    <w:rsid w:val="006426CF"/>
    <w:rsid w:val="0064330A"/>
    <w:rsid w:val="006466D7"/>
    <w:rsid w:val="00657CC0"/>
    <w:rsid w:val="00661490"/>
    <w:rsid w:val="0066362A"/>
    <w:rsid w:val="006643C2"/>
    <w:rsid w:val="00666B28"/>
    <w:rsid w:val="006723AC"/>
    <w:rsid w:val="00677876"/>
    <w:rsid w:val="00685F98"/>
    <w:rsid w:val="00687CC7"/>
    <w:rsid w:val="00690E39"/>
    <w:rsid w:val="006915EE"/>
    <w:rsid w:val="0069539F"/>
    <w:rsid w:val="006A0837"/>
    <w:rsid w:val="006A2D95"/>
    <w:rsid w:val="006A31B4"/>
    <w:rsid w:val="006B2FF9"/>
    <w:rsid w:val="006B3133"/>
    <w:rsid w:val="006B5762"/>
    <w:rsid w:val="006B6FF2"/>
    <w:rsid w:val="006C0068"/>
    <w:rsid w:val="006C7A69"/>
    <w:rsid w:val="006D16C8"/>
    <w:rsid w:val="006D4B88"/>
    <w:rsid w:val="006D68B3"/>
    <w:rsid w:val="006E4E1C"/>
    <w:rsid w:val="006E52B9"/>
    <w:rsid w:val="006E7CE3"/>
    <w:rsid w:val="006F02FD"/>
    <w:rsid w:val="006F03BF"/>
    <w:rsid w:val="006F5A57"/>
    <w:rsid w:val="006F5EFC"/>
    <w:rsid w:val="00701D9F"/>
    <w:rsid w:val="00705AD9"/>
    <w:rsid w:val="00710D6E"/>
    <w:rsid w:val="00711207"/>
    <w:rsid w:val="00713453"/>
    <w:rsid w:val="007146E1"/>
    <w:rsid w:val="007157E6"/>
    <w:rsid w:val="00724A9A"/>
    <w:rsid w:val="00725496"/>
    <w:rsid w:val="00726B40"/>
    <w:rsid w:val="00731CB8"/>
    <w:rsid w:val="007461AF"/>
    <w:rsid w:val="007525C8"/>
    <w:rsid w:val="00767556"/>
    <w:rsid w:val="00773922"/>
    <w:rsid w:val="00780A18"/>
    <w:rsid w:val="0079091B"/>
    <w:rsid w:val="0079109A"/>
    <w:rsid w:val="00794600"/>
    <w:rsid w:val="0079623E"/>
    <w:rsid w:val="007A0124"/>
    <w:rsid w:val="007A1E65"/>
    <w:rsid w:val="007A2674"/>
    <w:rsid w:val="007B2569"/>
    <w:rsid w:val="007B7EE6"/>
    <w:rsid w:val="007C1F61"/>
    <w:rsid w:val="007C20D6"/>
    <w:rsid w:val="007C2F16"/>
    <w:rsid w:val="007D2AF6"/>
    <w:rsid w:val="007E4BE4"/>
    <w:rsid w:val="007E5D00"/>
    <w:rsid w:val="007F16CA"/>
    <w:rsid w:val="007F32D0"/>
    <w:rsid w:val="007F3CF5"/>
    <w:rsid w:val="007F560A"/>
    <w:rsid w:val="0080324F"/>
    <w:rsid w:val="00804C9E"/>
    <w:rsid w:val="0080514A"/>
    <w:rsid w:val="008105CC"/>
    <w:rsid w:val="0081259D"/>
    <w:rsid w:val="008138B8"/>
    <w:rsid w:val="00816E20"/>
    <w:rsid w:val="0082658A"/>
    <w:rsid w:val="00827522"/>
    <w:rsid w:val="008304D2"/>
    <w:rsid w:val="0083357C"/>
    <w:rsid w:val="008406EC"/>
    <w:rsid w:val="0084087C"/>
    <w:rsid w:val="008409D2"/>
    <w:rsid w:val="0084103D"/>
    <w:rsid w:val="00841324"/>
    <w:rsid w:val="00842794"/>
    <w:rsid w:val="00843FAF"/>
    <w:rsid w:val="008446DC"/>
    <w:rsid w:val="00845D4D"/>
    <w:rsid w:val="0084653C"/>
    <w:rsid w:val="00847169"/>
    <w:rsid w:val="008516CD"/>
    <w:rsid w:val="00853258"/>
    <w:rsid w:val="00854F80"/>
    <w:rsid w:val="00855C6F"/>
    <w:rsid w:val="00857DBE"/>
    <w:rsid w:val="00864018"/>
    <w:rsid w:val="008640F0"/>
    <w:rsid w:val="0086703E"/>
    <w:rsid w:val="00876C21"/>
    <w:rsid w:val="00886E32"/>
    <w:rsid w:val="00887D3D"/>
    <w:rsid w:val="0089023B"/>
    <w:rsid w:val="00891CBA"/>
    <w:rsid w:val="00894567"/>
    <w:rsid w:val="008A3BE1"/>
    <w:rsid w:val="008A4C39"/>
    <w:rsid w:val="008C1458"/>
    <w:rsid w:val="008C664C"/>
    <w:rsid w:val="008D17EB"/>
    <w:rsid w:val="008D40DA"/>
    <w:rsid w:val="008D4368"/>
    <w:rsid w:val="008E0F1B"/>
    <w:rsid w:val="008E76E7"/>
    <w:rsid w:val="008F1725"/>
    <w:rsid w:val="00903918"/>
    <w:rsid w:val="009074AC"/>
    <w:rsid w:val="00907D2A"/>
    <w:rsid w:val="009107E5"/>
    <w:rsid w:val="00911358"/>
    <w:rsid w:val="009127FA"/>
    <w:rsid w:val="00913AC0"/>
    <w:rsid w:val="00916911"/>
    <w:rsid w:val="00924835"/>
    <w:rsid w:val="009258AC"/>
    <w:rsid w:val="00937ED5"/>
    <w:rsid w:val="00940459"/>
    <w:rsid w:val="009421E4"/>
    <w:rsid w:val="009478AF"/>
    <w:rsid w:val="009506F6"/>
    <w:rsid w:val="00950A87"/>
    <w:rsid w:val="00950D88"/>
    <w:rsid w:val="009542C4"/>
    <w:rsid w:val="009550CD"/>
    <w:rsid w:val="00961B20"/>
    <w:rsid w:val="00961CB0"/>
    <w:rsid w:val="0096344C"/>
    <w:rsid w:val="00970ADD"/>
    <w:rsid w:val="009712D0"/>
    <w:rsid w:val="00971CB0"/>
    <w:rsid w:val="0097790C"/>
    <w:rsid w:val="00982D15"/>
    <w:rsid w:val="00984154"/>
    <w:rsid w:val="00985C2E"/>
    <w:rsid w:val="00985F3A"/>
    <w:rsid w:val="0099017B"/>
    <w:rsid w:val="00992A16"/>
    <w:rsid w:val="00996229"/>
    <w:rsid w:val="009A7FB6"/>
    <w:rsid w:val="009B16D9"/>
    <w:rsid w:val="009B5259"/>
    <w:rsid w:val="009D0A51"/>
    <w:rsid w:val="009D6C1E"/>
    <w:rsid w:val="009E6AD1"/>
    <w:rsid w:val="009F14ED"/>
    <w:rsid w:val="009F45C3"/>
    <w:rsid w:val="009F5E19"/>
    <w:rsid w:val="00A0077E"/>
    <w:rsid w:val="00A0189A"/>
    <w:rsid w:val="00A03255"/>
    <w:rsid w:val="00A037EA"/>
    <w:rsid w:val="00A03B80"/>
    <w:rsid w:val="00A0632A"/>
    <w:rsid w:val="00A1229D"/>
    <w:rsid w:val="00A1543A"/>
    <w:rsid w:val="00A16411"/>
    <w:rsid w:val="00A168AB"/>
    <w:rsid w:val="00A16A79"/>
    <w:rsid w:val="00A17374"/>
    <w:rsid w:val="00A27F62"/>
    <w:rsid w:val="00A32A44"/>
    <w:rsid w:val="00A3577B"/>
    <w:rsid w:val="00A41B0F"/>
    <w:rsid w:val="00A42B77"/>
    <w:rsid w:val="00A4502C"/>
    <w:rsid w:val="00A47661"/>
    <w:rsid w:val="00A53472"/>
    <w:rsid w:val="00A62384"/>
    <w:rsid w:val="00A64121"/>
    <w:rsid w:val="00A64649"/>
    <w:rsid w:val="00A647A1"/>
    <w:rsid w:val="00A6706C"/>
    <w:rsid w:val="00A72F4C"/>
    <w:rsid w:val="00A77B0D"/>
    <w:rsid w:val="00A82193"/>
    <w:rsid w:val="00A83301"/>
    <w:rsid w:val="00A86949"/>
    <w:rsid w:val="00A876ED"/>
    <w:rsid w:val="00A92DEF"/>
    <w:rsid w:val="00A930BD"/>
    <w:rsid w:val="00A9623B"/>
    <w:rsid w:val="00AA0DEE"/>
    <w:rsid w:val="00AA5B52"/>
    <w:rsid w:val="00AB41E8"/>
    <w:rsid w:val="00AB4AD6"/>
    <w:rsid w:val="00AB5A9E"/>
    <w:rsid w:val="00AB7EBC"/>
    <w:rsid w:val="00AC1912"/>
    <w:rsid w:val="00AC4587"/>
    <w:rsid w:val="00AC4F2E"/>
    <w:rsid w:val="00AE0031"/>
    <w:rsid w:val="00AE26E9"/>
    <w:rsid w:val="00AE2D49"/>
    <w:rsid w:val="00AF6D99"/>
    <w:rsid w:val="00B008AA"/>
    <w:rsid w:val="00B0451A"/>
    <w:rsid w:val="00B04869"/>
    <w:rsid w:val="00B1333F"/>
    <w:rsid w:val="00B13ACC"/>
    <w:rsid w:val="00B1697C"/>
    <w:rsid w:val="00B27579"/>
    <w:rsid w:val="00B30A36"/>
    <w:rsid w:val="00B31377"/>
    <w:rsid w:val="00B331AC"/>
    <w:rsid w:val="00B35AC1"/>
    <w:rsid w:val="00B35DC2"/>
    <w:rsid w:val="00B4242D"/>
    <w:rsid w:val="00B51812"/>
    <w:rsid w:val="00B54085"/>
    <w:rsid w:val="00B54960"/>
    <w:rsid w:val="00B55757"/>
    <w:rsid w:val="00B57792"/>
    <w:rsid w:val="00B65A97"/>
    <w:rsid w:val="00B670A6"/>
    <w:rsid w:val="00B752F8"/>
    <w:rsid w:val="00B81FD8"/>
    <w:rsid w:val="00B82568"/>
    <w:rsid w:val="00B84340"/>
    <w:rsid w:val="00B900AA"/>
    <w:rsid w:val="00B93556"/>
    <w:rsid w:val="00B974B8"/>
    <w:rsid w:val="00BA00AA"/>
    <w:rsid w:val="00BA086A"/>
    <w:rsid w:val="00BA1285"/>
    <w:rsid w:val="00BA7326"/>
    <w:rsid w:val="00BB0CC9"/>
    <w:rsid w:val="00BB1A1B"/>
    <w:rsid w:val="00BC093C"/>
    <w:rsid w:val="00BC0A38"/>
    <w:rsid w:val="00BC0E49"/>
    <w:rsid w:val="00BC5B49"/>
    <w:rsid w:val="00BC6CE2"/>
    <w:rsid w:val="00BD194A"/>
    <w:rsid w:val="00BD2A93"/>
    <w:rsid w:val="00BD7892"/>
    <w:rsid w:val="00BE098F"/>
    <w:rsid w:val="00BE3372"/>
    <w:rsid w:val="00BE574A"/>
    <w:rsid w:val="00BE5C41"/>
    <w:rsid w:val="00BE7F91"/>
    <w:rsid w:val="00BF2641"/>
    <w:rsid w:val="00BF5778"/>
    <w:rsid w:val="00BF7ED7"/>
    <w:rsid w:val="00C002DE"/>
    <w:rsid w:val="00C059C2"/>
    <w:rsid w:val="00C06E14"/>
    <w:rsid w:val="00C12FD5"/>
    <w:rsid w:val="00C1602D"/>
    <w:rsid w:val="00C23C73"/>
    <w:rsid w:val="00C2426B"/>
    <w:rsid w:val="00C36B43"/>
    <w:rsid w:val="00C42223"/>
    <w:rsid w:val="00C50DF2"/>
    <w:rsid w:val="00C51325"/>
    <w:rsid w:val="00C56881"/>
    <w:rsid w:val="00C6358C"/>
    <w:rsid w:val="00C63DB4"/>
    <w:rsid w:val="00C656B3"/>
    <w:rsid w:val="00C664FA"/>
    <w:rsid w:val="00C703D1"/>
    <w:rsid w:val="00C714FD"/>
    <w:rsid w:val="00C71D79"/>
    <w:rsid w:val="00C726E6"/>
    <w:rsid w:val="00C82AAC"/>
    <w:rsid w:val="00C83EB8"/>
    <w:rsid w:val="00C925E2"/>
    <w:rsid w:val="00CA4FE0"/>
    <w:rsid w:val="00CB6630"/>
    <w:rsid w:val="00CD01CE"/>
    <w:rsid w:val="00CD3A0D"/>
    <w:rsid w:val="00CE0664"/>
    <w:rsid w:val="00CE18D9"/>
    <w:rsid w:val="00CF1AD3"/>
    <w:rsid w:val="00CF2670"/>
    <w:rsid w:val="00D0030C"/>
    <w:rsid w:val="00D04EE9"/>
    <w:rsid w:val="00D05486"/>
    <w:rsid w:val="00D11EEC"/>
    <w:rsid w:val="00D12CA8"/>
    <w:rsid w:val="00D12E96"/>
    <w:rsid w:val="00D14B40"/>
    <w:rsid w:val="00D16FDD"/>
    <w:rsid w:val="00D1796E"/>
    <w:rsid w:val="00D22365"/>
    <w:rsid w:val="00D23976"/>
    <w:rsid w:val="00D23BBF"/>
    <w:rsid w:val="00D26F7E"/>
    <w:rsid w:val="00D2737B"/>
    <w:rsid w:val="00D2788F"/>
    <w:rsid w:val="00D279D1"/>
    <w:rsid w:val="00D304AF"/>
    <w:rsid w:val="00D30BC4"/>
    <w:rsid w:val="00D30DEE"/>
    <w:rsid w:val="00D32D46"/>
    <w:rsid w:val="00D334F1"/>
    <w:rsid w:val="00D33B65"/>
    <w:rsid w:val="00D36948"/>
    <w:rsid w:val="00D40866"/>
    <w:rsid w:val="00D46301"/>
    <w:rsid w:val="00D51429"/>
    <w:rsid w:val="00D55413"/>
    <w:rsid w:val="00D604B7"/>
    <w:rsid w:val="00D64C1C"/>
    <w:rsid w:val="00D66416"/>
    <w:rsid w:val="00D70649"/>
    <w:rsid w:val="00D7101E"/>
    <w:rsid w:val="00D73EDD"/>
    <w:rsid w:val="00D76724"/>
    <w:rsid w:val="00D77F43"/>
    <w:rsid w:val="00D834C2"/>
    <w:rsid w:val="00D86454"/>
    <w:rsid w:val="00D936E4"/>
    <w:rsid w:val="00D94E12"/>
    <w:rsid w:val="00D97508"/>
    <w:rsid w:val="00DA11F7"/>
    <w:rsid w:val="00DB040B"/>
    <w:rsid w:val="00DB0490"/>
    <w:rsid w:val="00DB2A00"/>
    <w:rsid w:val="00DC0B23"/>
    <w:rsid w:val="00DC2F29"/>
    <w:rsid w:val="00DC465E"/>
    <w:rsid w:val="00DC65C0"/>
    <w:rsid w:val="00DC7AA9"/>
    <w:rsid w:val="00DD10AB"/>
    <w:rsid w:val="00DD26B6"/>
    <w:rsid w:val="00DD55E4"/>
    <w:rsid w:val="00DD6961"/>
    <w:rsid w:val="00DD6C70"/>
    <w:rsid w:val="00DE01AF"/>
    <w:rsid w:val="00DE02A0"/>
    <w:rsid w:val="00DE585B"/>
    <w:rsid w:val="00DF2CE2"/>
    <w:rsid w:val="00DF7CB2"/>
    <w:rsid w:val="00E01D6A"/>
    <w:rsid w:val="00E04EC4"/>
    <w:rsid w:val="00E14C0F"/>
    <w:rsid w:val="00E26DEC"/>
    <w:rsid w:val="00E31FBD"/>
    <w:rsid w:val="00E32430"/>
    <w:rsid w:val="00E361B3"/>
    <w:rsid w:val="00E42084"/>
    <w:rsid w:val="00E44C39"/>
    <w:rsid w:val="00E45FE8"/>
    <w:rsid w:val="00E559E5"/>
    <w:rsid w:val="00E57E38"/>
    <w:rsid w:val="00E679E4"/>
    <w:rsid w:val="00E712C4"/>
    <w:rsid w:val="00E7257D"/>
    <w:rsid w:val="00E72EFB"/>
    <w:rsid w:val="00E77551"/>
    <w:rsid w:val="00E7783A"/>
    <w:rsid w:val="00E89FB5"/>
    <w:rsid w:val="00E9029B"/>
    <w:rsid w:val="00E93064"/>
    <w:rsid w:val="00E93FC4"/>
    <w:rsid w:val="00EA2F82"/>
    <w:rsid w:val="00EA5102"/>
    <w:rsid w:val="00EA6A25"/>
    <w:rsid w:val="00EA7DB1"/>
    <w:rsid w:val="00EB2A05"/>
    <w:rsid w:val="00EB5883"/>
    <w:rsid w:val="00EB5DF0"/>
    <w:rsid w:val="00EC2EF9"/>
    <w:rsid w:val="00EC6942"/>
    <w:rsid w:val="00ED0A5C"/>
    <w:rsid w:val="00ED2E08"/>
    <w:rsid w:val="00ED33A7"/>
    <w:rsid w:val="00ED6B81"/>
    <w:rsid w:val="00EE0D8B"/>
    <w:rsid w:val="00EE2A24"/>
    <w:rsid w:val="00EE32EF"/>
    <w:rsid w:val="00EE4201"/>
    <w:rsid w:val="00EE4ACC"/>
    <w:rsid w:val="00EE52C0"/>
    <w:rsid w:val="00EF4004"/>
    <w:rsid w:val="00EF6D1E"/>
    <w:rsid w:val="00EF7C3B"/>
    <w:rsid w:val="00F01E78"/>
    <w:rsid w:val="00F0359D"/>
    <w:rsid w:val="00F061AC"/>
    <w:rsid w:val="00F07E6A"/>
    <w:rsid w:val="00F1154C"/>
    <w:rsid w:val="00F128D6"/>
    <w:rsid w:val="00F157B5"/>
    <w:rsid w:val="00F15BA5"/>
    <w:rsid w:val="00F2518B"/>
    <w:rsid w:val="00F26DF3"/>
    <w:rsid w:val="00F27501"/>
    <w:rsid w:val="00F2770B"/>
    <w:rsid w:val="00F30379"/>
    <w:rsid w:val="00F32B27"/>
    <w:rsid w:val="00F43AF7"/>
    <w:rsid w:val="00F45A3E"/>
    <w:rsid w:val="00F47C0C"/>
    <w:rsid w:val="00F51F33"/>
    <w:rsid w:val="00F52D2F"/>
    <w:rsid w:val="00F61A9B"/>
    <w:rsid w:val="00F64E93"/>
    <w:rsid w:val="00F67A13"/>
    <w:rsid w:val="00F68612"/>
    <w:rsid w:val="00F73F8F"/>
    <w:rsid w:val="00F81ED0"/>
    <w:rsid w:val="00F84977"/>
    <w:rsid w:val="00F8733A"/>
    <w:rsid w:val="00F924E5"/>
    <w:rsid w:val="00F93774"/>
    <w:rsid w:val="00F943BA"/>
    <w:rsid w:val="00FA170D"/>
    <w:rsid w:val="00FA54E9"/>
    <w:rsid w:val="00FA7157"/>
    <w:rsid w:val="00FA79F1"/>
    <w:rsid w:val="00FB55B9"/>
    <w:rsid w:val="00FB6F19"/>
    <w:rsid w:val="00FC51B7"/>
    <w:rsid w:val="00FD00B6"/>
    <w:rsid w:val="00FD26E1"/>
    <w:rsid w:val="00FD584B"/>
    <w:rsid w:val="00FD7279"/>
    <w:rsid w:val="00FE00DB"/>
    <w:rsid w:val="00FE0AB6"/>
    <w:rsid w:val="00FF2F85"/>
    <w:rsid w:val="00FF3734"/>
    <w:rsid w:val="00FF393E"/>
    <w:rsid w:val="01129874"/>
    <w:rsid w:val="0115C467"/>
    <w:rsid w:val="01319565"/>
    <w:rsid w:val="0177381C"/>
    <w:rsid w:val="01BBD57B"/>
    <w:rsid w:val="01D5455D"/>
    <w:rsid w:val="01ECA8F6"/>
    <w:rsid w:val="0250B046"/>
    <w:rsid w:val="02B787D1"/>
    <w:rsid w:val="0474E6F4"/>
    <w:rsid w:val="05410B57"/>
    <w:rsid w:val="056DA631"/>
    <w:rsid w:val="05796CE6"/>
    <w:rsid w:val="05AD602F"/>
    <w:rsid w:val="05BA2AB0"/>
    <w:rsid w:val="05D5DB56"/>
    <w:rsid w:val="068DD85D"/>
    <w:rsid w:val="06F17465"/>
    <w:rsid w:val="085C0EAC"/>
    <w:rsid w:val="087729D6"/>
    <w:rsid w:val="08B9A982"/>
    <w:rsid w:val="0921E997"/>
    <w:rsid w:val="0960C6BA"/>
    <w:rsid w:val="09D11EB8"/>
    <w:rsid w:val="0A21C1BA"/>
    <w:rsid w:val="0AF5B2AE"/>
    <w:rsid w:val="0B81E0A9"/>
    <w:rsid w:val="0BC8C2AE"/>
    <w:rsid w:val="0C964843"/>
    <w:rsid w:val="0CAE85BB"/>
    <w:rsid w:val="0CDFF11B"/>
    <w:rsid w:val="0DA2A498"/>
    <w:rsid w:val="0E9C8AC6"/>
    <w:rsid w:val="0FF34E56"/>
    <w:rsid w:val="0FFB40D1"/>
    <w:rsid w:val="102336D6"/>
    <w:rsid w:val="1041BBC2"/>
    <w:rsid w:val="10921962"/>
    <w:rsid w:val="10CC8BB3"/>
    <w:rsid w:val="11551A76"/>
    <w:rsid w:val="11B6F376"/>
    <w:rsid w:val="11F57139"/>
    <w:rsid w:val="128346C4"/>
    <w:rsid w:val="12A5E180"/>
    <w:rsid w:val="12CE6756"/>
    <w:rsid w:val="136B2303"/>
    <w:rsid w:val="1377A34D"/>
    <w:rsid w:val="14B05044"/>
    <w:rsid w:val="14B06E0D"/>
    <w:rsid w:val="14CD00DD"/>
    <w:rsid w:val="16119BE8"/>
    <w:rsid w:val="17C58DE7"/>
    <w:rsid w:val="19058796"/>
    <w:rsid w:val="19927120"/>
    <w:rsid w:val="1AD53C9F"/>
    <w:rsid w:val="1B3E0F84"/>
    <w:rsid w:val="1B476A86"/>
    <w:rsid w:val="1CC100A0"/>
    <w:rsid w:val="1CCE57D8"/>
    <w:rsid w:val="1D584821"/>
    <w:rsid w:val="1E7F715F"/>
    <w:rsid w:val="1F0C704D"/>
    <w:rsid w:val="21B1B938"/>
    <w:rsid w:val="22999FE4"/>
    <w:rsid w:val="22B47988"/>
    <w:rsid w:val="22D3CB1B"/>
    <w:rsid w:val="22E89A04"/>
    <w:rsid w:val="23781609"/>
    <w:rsid w:val="245A4539"/>
    <w:rsid w:val="24846A44"/>
    <w:rsid w:val="24A00CE9"/>
    <w:rsid w:val="251436C1"/>
    <w:rsid w:val="2518B5F5"/>
    <w:rsid w:val="25740D47"/>
    <w:rsid w:val="2646C942"/>
    <w:rsid w:val="2732381D"/>
    <w:rsid w:val="27902F9C"/>
    <w:rsid w:val="27F20A86"/>
    <w:rsid w:val="2829B795"/>
    <w:rsid w:val="28554E89"/>
    <w:rsid w:val="2857BD66"/>
    <w:rsid w:val="2895871C"/>
    <w:rsid w:val="28F38272"/>
    <w:rsid w:val="293F4551"/>
    <w:rsid w:val="295A403C"/>
    <w:rsid w:val="29DA8027"/>
    <w:rsid w:val="29DC1AD5"/>
    <w:rsid w:val="2B0B729B"/>
    <w:rsid w:val="2B4A2ECF"/>
    <w:rsid w:val="2B5A4FE8"/>
    <w:rsid w:val="2D813269"/>
    <w:rsid w:val="2D9B3F25"/>
    <w:rsid w:val="2E405754"/>
    <w:rsid w:val="2EBC8325"/>
    <w:rsid w:val="2EC450A2"/>
    <w:rsid w:val="2F2A476A"/>
    <w:rsid w:val="2FC2D576"/>
    <w:rsid w:val="2FDC1598"/>
    <w:rsid w:val="2FECE341"/>
    <w:rsid w:val="31DB2EFE"/>
    <w:rsid w:val="3331BF66"/>
    <w:rsid w:val="34FF4AAF"/>
    <w:rsid w:val="35211A24"/>
    <w:rsid w:val="36296BFF"/>
    <w:rsid w:val="36697C2B"/>
    <w:rsid w:val="369B3FC6"/>
    <w:rsid w:val="36A9899A"/>
    <w:rsid w:val="371C399B"/>
    <w:rsid w:val="37DCBFF7"/>
    <w:rsid w:val="3810A52F"/>
    <w:rsid w:val="38897397"/>
    <w:rsid w:val="38925DBF"/>
    <w:rsid w:val="38C9C3D1"/>
    <w:rsid w:val="3BBCF271"/>
    <w:rsid w:val="3BF2687F"/>
    <w:rsid w:val="3C202FF8"/>
    <w:rsid w:val="3C7E36AE"/>
    <w:rsid w:val="3CA126A8"/>
    <w:rsid w:val="3E76E071"/>
    <w:rsid w:val="3EA67B47"/>
    <w:rsid w:val="3FEF385E"/>
    <w:rsid w:val="406EF359"/>
    <w:rsid w:val="41538BF4"/>
    <w:rsid w:val="41D637E2"/>
    <w:rsid w:val="420B2126"/>
    <w:rsid w:val="4263938C"/>
    <w:rsid w:val="429F0446"/>
    <w:rsid w:val="42DB8DFC"/>
    <w:rsid w:val="43442EDF"/>
    <w:rsid w:val="43514F4A"/>
    <w:rsid w:val="440E344A"/>
    <w:rsid w:val="442ED2C0"/>
    <w:rsid w:val="4462486C"/>
    <w:rsid w:val="4465BA34"/>
    <w:rsid w:val="4483E75D"/>
    <w:rsid w:val="4487418A"/>
    <w:rsid w:val="44D06DFD"/>
    <w:rsid w:val="4561AF01"/>
    <w:rsid w:val="45D0FCFA"/>
    <w:rsid w:val="46378939"/>
    <w:rsid w:val="467DA920"/>
    <w:rsid w:val="4837A0FE"/>
    <w:rsid w:val="48B0219A"/>
    <w:rsid w:val="4A03AA9B"/>
    <w:rsid w:val="4A5C4E10"/>
    <w:rsid w:val="4A9BFAE4"/>
    <w:rsid w:val="4CAC7589"/>
    <w:rsid w:val="4D499D52"/>
    <w:rsid w:val="4D88B027"/>
    <w:rsid w:val="4DF03D96"/>
    <w:rsid w:val="4E6752E6"/>
    <w:rsid w:val="4EEAC710"/>
    <w:rsid w:val="4FA98BC7"/>
    <w:rsid w:val="4FBA93D7"/>
    <w:rsid w:val="501396E8"/>
    <w:rsid w:val="503D1F46"/>
    <w:rsid w:val="504805C2"/>
    <w:rsid w:val="5135F484"/>
    <w:rsid w:val="5282E923"/>
    <w:rsid w:val="52C49206"/>
    <w:rsid w:val="52D61A73"/>
    <w:rsid w:val="5311E0F2"/>
    <w:rsid w:val="538F12B7"/>
    <w:rsid w:val="53A2E007"/>
    <w:rsid w:val="53B30BC8"/>
    <w:rsid w:val="546D69B7"/>
    <w:rsid w:val="54B66B3C"/>
    <w:rsid w:val="55221CA0"/>
    <w:rsid w:val="5526354F"/>
    <w:rsid w:val="55ED0BAF"/>
    <w:rsid w:val="57346BF3"/>
    <w:rsid w:val="57A52882"/>
    <w:rsid w:val="590BB6C9"/>
    <w:rsid w:val="5947FF4F"/>
    <w:rsid w:val="59CAE4E9"/>
    <w:rsid w:val="5A007CF8"/>
    <w:rsid w:val="5A0D8483"/>
    <w:rsid w:val="5AB9F0F1"/>
    <w:rsid w:val="5AF14E40"/>
    <w:rsid w:val="5CCEC619"/>
    <w:rsid w:val="5DE0BCF4"/>
    <w:rsid w:val="5F71A00B"/>
    <w:rsid w:val="60CC1125"/>
    <w:rsid w:val="60D5E1F7"/>
    <w:rsid w:val="611DBA15"/>
    <w:rsid w:val="614A8A7B"/>
    <w:rsid w:val="622A7CA9"/>
    <w:rsid w:val="628C998E"/>
    <w:rsid w:val="62E745CF"/>
    <w:rsid w:val="63B831EB"/>
    <w:rsid w:val="63BBCE7A"/>
    <w:rsid w:val="63DC6369"/>
    <w:rsid w:val="651EAAE6"/>
    <w:rsid w:val="6529C592"/>
    <w:rsid w:val="653AD1B5"/>
    <w:rsid w:val="65A95EEE"/>
    <w:rsid w:val="65D909C7"/>
    <w:rsid w:val="6718AD7E"/>
    <w:rsid w:val="68BB0E65"/>
    <w:rsid w:val="69343EBE"/>
    <w:rsid w:val="6951AF32"/>
    <w:rsid w:val="695C7BA7"/>
    <w:rsid w:val="69A1E9B6"/>
    <w:rsid w:val="6A2030CE"/>
    <w:rsid w:val="6A7085F4"/>
    <w:rsid w:val="6B4290CD"/>
    <w:rsid w:val="6B7FEE23"/>
    <w:rsid w:val="6B9DB416"/>
    <w:rsid w:val="6BF8CE8A"/>
    <w:rsid w:val="6CB3CA3D"/>
    <w:rsid w:val="6D21C76A"/>
    <w:rsid w:val="6D5BEA23"/>
    <w:rsid w:val="6D81EBA7"/>
    <w:rsid w:val="6E2E3F64"/>
    <w:rsid w:val="6F8079B1"/>
    <w:rsid w:val="70161DF4"/>
    <w:rsid w:val="708E98C9"/>
    <w:rsid w:val="7144F491"/>
    <w:rsid w:val="716F0297"/>
    <w:rsid w:val="71D1504E"/>
    <w:rsid w:val="71FCB8FF"/>
    <w:rsid w:val="72356520"/>
    <w:rsid w:val="72BB15A9"/>
    <w:rsid w:val="72D5D4E9"/>
    <w:rsid w:val="739FF0D9"/>
    <w:rsid w:val="744E636D"/>
    <w:rsid w:val="748C83D9"/>
    <w:rsid w:val="75883FEC"/>
    <w:rsid w:val="75C3F15F"/>
    <w:rsid w:val="7623343F"/>
    <w:rsid w:val="765785A4"/>
    <w:rsid w:val="77606FCD"/>
    <w:rsid w:val="777C7ECB"/>
    <w:rsid w:val="77BC89B3"/>
    <w:rsid w:val="78AB2343"/>
    <w:rsid w:val="78E8F6A4"/>
    <w:rsid w:val="7908AA31"/>
    <w:rsid w:val="793A4A75"/>
    <w:rsid w:val="79E92016"/>
    <w:rsid w:val="7A2D1640"/>
    <w:rsid w:val="7A7A239E"/>
    <w:rsid w:val="7B0C0C6B"/>
    <w:rsid w:val="7BCAF184"/>
    <w:rsid w:val="7BF7B373"/>
    <w:rsid w:val="7C3DC116"/>
    <w:rsid w:val="7C85981D"/>
    <w:rsid w:val="7D16BB3B"/>
    <w:rsid w:val="7D541C55"/>
    <w:rsid w:val="7D5F23B7"/>
    <w:rsid w:val="7D7B24B7"/>
    <w:rsid w:val="7D9C3845"/>
    <w:rsid w:val="7DDA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DCCAD5"/>
  <w15:docId w15:val="{3CB63588-EDD2-4B30-9FAC-300CE7CD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6C8"/>
    <w:pPr>
      <w:spacing w:after="12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220156"/>
    <w:pPr>
      <w:keepNext/>
      <w:keepLines/>
      <w:numPr>
        <w:numId w:val="3"/>
      </w:numPr>
      <w:spacing w:before="360" w:after="240"/>
      <w:outlineLvl w:val="0"/>
    </w:pPr>
    <w:rPr>
      <w:rFonts w:eastAsia="Times New Roman" w:cs="Times New Roman"/>
      <w:b/>
      <w:bCs/>
      <w:color w:val="0D3B5E" w:themeColor="accent1"/>
      <w:kern w:val="32"/>
      <w:sz w:val="44"/>
      <w:szCs w:val="5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4154"/>
    <w:pPr>
      <w:keepNext/>
      <w:keepLines/>
      <w:pageBreakBefore/>
      <w:numPr>
        <w:ilvl w:val="1"/>
        <w:numId w:val="3"/>
      </w:numPr>
      <w:spacing w:before="360" w:after="240"/>
      <w:ind w:left="2421" w:hanging="578"/>
      <w:outlineLvl w:val="1"/>
    </w:pPr>
    <w:rPr>
      <w:rFonts w:eastAsiaTheme="majorEastAsia" w:cstheme="minorHAnsi"/>
      <w:b/>
      <w:bCs/>
      <w:color w:val="0D3B5E"/>
      <w:sz w:val="3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3679"/>
    <w:pPr>
      <w:keepNext/>
      <w:keepLines/>
      <w:numPr>
        <w:ilvl w:val="2"/>
        <w:numId w:val="3"/>
      </w:numPr>
      <w:spacing w:before="240" w:after="200"/>
      <w:ind w:left="993" w:hanging="993"/>
      <w:outlineLvl w:val="2"/>
    </w:pPr>
    <w:rPr>
      <w:rFonts w:eastAsia="Calibri" w:cstheme="minorHAnsi"/>
      <w:color w:val="71B6EB" w:themeColor="accent1" w:themeTint="66"/>
      <w:sz w:val="32"/>
    </w:rPr>
  </w:style>
  <w:style w:type="paragraph" w:styleId="Nadpis4">
    <w:name w:val="heading 4"/>
    <w:aliases w:val="Podnadpis M"/>
    <w:basedOn w:val="Normln"/>
    <w:next w:val="Normln"/>
    <w:link w:val="Nadpis4Char"/>
    <w:uiPriority w:val="9"/>
    <w:unhideWhenUsed/>
    <w:qFormat/>
    <w:rsid w:val="00220156"/>
    <w:pPr>
      <w:keepNext/>
      <w:keepLines/>
      <w:outlineLvl w:val="3"/>
    </w:pPr>
    <w:rPr>
      <w:rFonts w:eastAsiaTheme="majorEastAsia" w:cstheme="majorBidi"/>
      <w:b/>
      <w:bCs/>
      <w:iCs/>
      <w:color w:val="71B6EB" w:themeColor="accent1" w:themeTint="66"/>
      <w:sz w:val="24"/>
    </w:rPr>
  </w:style>
  <w:style w:type="paragraph" w:styleId="Nadpis5">
    <w:name w:val="heading 5"/>
    <w:aliases w:val="Zdroj"/>
    <w:basedOn w:val="Normln"/>
    <w:next w:val="Normln"/>
    <w:link w:val="Nadpis5Char"/>
    <w:uiPriority w:val="9"/>
    <w:unhideWhenUsed/>
    <w:qFormat/>
    <w:rsid w:val="00220156"/>
    <w:pPr>
      <w:outlineLvl w:val="4"/>
    </w:pPr>
    <w:rPr>
      <w:i/>
      <w:sz w:val="20"/>
      <w:szCs w:val="20"/>
    </w:rPr>
  </w:style>
  <w:style w:type="paragraph" w:styleId="Nadpis6">
    <w:name w:val="heading 6"/>
    <w:aliases w:val="Podnadpis Č"/>
    <w:basedOn w:val="Podnadpis2"/>
    <w:next w:val="Normln"/>
    <w:link w:val="Nadpis6Char"/>
    <w:uiPriority w:val="9"/>
    <w:unhideWhenUsed/>
    <w:qFormat/>
    <w:rsid w:val="008640F0"/>
    <w:pPr>
      <w:outlineLvl w:val="5"/>
    </w:pPr>
  </w:style>
  <w:style w:type="paragraph" w:styleId="Nadpis7">
    <w:name w:val="heading 7"/>
    <w:aliases w:val="Nadpis 4 čísl."/>
    <w:basedOn w:val="Nadpis4slovan"/>
    <w:next w:val="Normln"/>
    <w:link w:val="Nadpis7Char"/>
    <w:uiPriority w:val="9"/>
    <w:unhideWhenUsed/>
    <w:qFormat/>
    <w:rsid w:val="00C83EB8"/>
    <w:pPr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AB7EBC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B7EB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0156"/>
    <w:rPr>
      <w:rFonts w:eastAsia="Times New Roman" w:cs="Times New Roman"/>
      <w:b/>
      <w:bCs/>
      <w:color w:val="0D3B5E" w:themeColor="accent1"/>
      <w:kern w:val="32"/>
      <w:sz w:val="44"/>
      <w:szCs w:val="5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84154"/>
    <w:rPr>
      <w:rFonts w:eastAsiaTheme="majorEastAsia" w:cstheme="minorHAnsi"/>
      <w:b/>
      <w:bCs/>
      <w:color w:val="0D3B5E"/>
      <w:sz w:val="3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43679"/>
    <w:rPr>
      <w:rFonts w:eastAsia="Calibri" w:cstheme="minorHAnsi"/>
      <w:color w:val="71B6EB" w:themeColor="accent1" w:themeTint="66"/>
      <w:sz w:val="32"/>
    </w:rPr>
  </w:style>
  <w:style w:type="character" w:customStyle="1" w:styleId="Nadpis4Char">
    <w:name w:val="Nadpis 4 Char"/>
    <w:aliases w:val="Podnadpis M Char"/>
    <w:basedOn w:val="Standardnpsmoodstavce"/>
    <w:link w:val="Nadpis4"/>
    <w:uiPriority w:val="9"/>
    <w:rsid w:val="00220156"/>
    <w:rPr>
      <w:rFonts w:eastAsiaTheme="majorEastAsia" w:cstheme="majorBidi"/>
      <w:b/>
      <w:bCs/>
      <w:iCs/>
      <w:color w:val="71B6EB" w:themeColor="accent1" w:themeTint="66"/>
      <w:sz w:val="24"/>
    </w:rPr>
  </w:style>
  <w:style w:type="character" w:customStyle="1" w:styleId="Nadpis5Char">
    <w:name w:val="Nadpis 5 Char"/>
    <w:aliases w:val="Zdroj Char"/>
    <w:basedOn w:val="Standardnpsmoodstavce"/>
    <w:link w:val="Nadpis5"/>
    <w:uiPriority w:val="9"/>
    <w:rsid w:val="00220156"/>
    <w:rPr>
      <w:i/>
      <w:sz w:val="20"/>
      <w:szCs w:val="20"/>
    </w:rPr>
  </w:style>
  <w:style w:type="paragraph" w:customStyle="1" w:styleId="Podnadpis2">
    <w:name w:val="Podnadpis 2"/>
    <w:basedOn w:val="Normln"/>
    <w:link w:val="Podnadpis2Char"/>
    <w:rsid w:val="00220156"/>
    <w:pPr>
      <w:keepNext/>
    </w:pPr>
    <w:rPr>
      <w:rFonts w:ascii="Calibri" w:eastAsia="Times New Roman" w:hAnsi="Calibri" w:cs="Times New Roman"/>
      <w:b/>
      <w:color w:val="EF4350"/>
      <w:sz w:val="24"/>
      <w:szCs w:val="20"/>
      <w:lang w:eastAsia="cs-CZ"/>
    </w:rPr>
  </w:style>
  <w:style w:type="character" w:customStyle="1" w:styleId="Podnadpis2Char">
    <w:name w:val="Podnadpis 2 Char"/>
    <w:basedOn w:val="Standardnpsmoodstavce"/>
    <w:link w:val="Podnadpis2"/>
    <w:rsid w:val="00220156"/>
    <w:rPr>
      <w:rFonts w:ascii="Calibri" w:eastAsia="Times New Roman" w:hAnsi="Calibri" w:cs="Times New Roman"/>
      <w:b/>
      <w:color w:val="EF4350"/>
      <w:sz w:val="24"/>
      <w:szCs w:val="20"/>
      <w:lang w:eastAsia="cs-CZ"/>
    </w:rPr>
  </w:style>
  <w:style w:type="character" w:customStyle="1" w:styleId="Nadpis6Char">
    <w:name w:val="Nadpis 6 Char"/>
    <w:aliases w:val="Podnadpis Č Char"/>
    <w:basedOn w:val="Standardnpsmoodstavce"/>
    <w:link w:val="Nadpis6"/>
    <w:uiPriority w:val="9"/>
    <w:rsid w:val="008640F0"/>
    <w:rPr>
      <w:rFonts w:ascii="Calibri" w:eastAsia="Times New Roman" w:hAnsi="Calibri" w:cs="Times New Roman"/>
      <w:b/>
      <w:color w:val="EF4350"/>
      <w:sz w:val="24"/>
      <w:szCs w:val="20"/>
      <w:lang w:eastAsia="cs-CZ"/>
    </w:rPr>
  </w:style>
  <w:style w:type="paragraph" w:customStyle="1" w:styleId="Nadpis4slovan">
    <w:name w:val="Nadpis 4 číslovaný"/>
    <w:basedOn w:val="Nadpis4"/>
    <w:link w:val="Nadpis4slovanChar"/>
    <w:rsid w:val="00C83EB8"/>
    <w:pPr>
      <w:spacing w:before="240"/>
      <w:ind w:left="862" w:hanging="295"/>
    </w:pPr>
  </w:style>
  <w:style w:type="character" w:customStyle="1" w:styleId="Nadpis4slovanChar">
    <w:name w:val="Nadpis 4 číslovaný Char"/>
    <w:basedOn w:val="Nadpis4Char"/>
    <w:link w:val="Nadpis4slovan"/>
    <w:rsid w:val="00C83EB8"/>
    <w:rPr>
      <w:rFonts w:eastAsiaTheme="majorEastAsia" w:cstheme="majorBidi"/>
      <w:b/>
      <w:bCs/>
      <w:iCs/>
      <w:color w:val="71B6EB" w:themeColor="accent1" w:themeTint="66"/>
      <w:sz w:val="24"/>
    </w:rPr>
  </w:style>
  <w:style w:type="character" w:customStyle="1" w:styleId="Nadpis7Char">
    <w:name w:val="Nadpis 7 Char"/>
    <w:aliases w:val="Nadpis 4 čísl. Char"/>
    <w:basedOn w:val="Standardnpsmoodstavce"/>
    <w:link w:val="Nadpis7"/>
    <w:uiPriority w:val="9"/>
    <w:rsid w:val="00C83EB8"/>
    <w:rPr>
      <w:rFonts w:eastAsiaTheme="majorEastAsia" w:cstheme="majorBidi"/>
      <w:b/>
      <w:bCs/>
      <w:iCs/>
      <w:color w:val="71B6EB" w:themeColor="accent1" w:themeTint="66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B7E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B7E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220156"/>
    <w:pPr>
      <w:keepNext/>
      <w:spacing w:before="240" w:after="60" w:line="240" w:lineRule="auto"/>
    </w:pPr>
    <w:rPr>
      <w:b/>
      <w:bCs/>
      <w:sz w:val="20"/>
      <w:szCs w:val="18"/>
    </w:rPr>
  </w:style>
  <w:style w:type="character" w:customStyle="1" w:styleId="TitulekChar">
    <w:name w:val="Titulek Char"/>
    <w:link w:val="Titulek"/>
    <w:uiPriority w:val="99"/>
    <w:locked/>
    <w:rsid w:val="00220156"/>
    <w:rPr>
      <w:b/>
      <w:bCs/>
      <w:sz w:val="20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85F3A"/>
    <w:pPr>
      <w:spacing w:after="240"/>
    </w:pPr>
    <w:rPr>
      <w:rFonts w:eastAsia="Times New Roman" w:cstheme="minorHAnsi"/>
      <w:b/>
      <w:noProof/>
      <w:color w:val="0F243E" w:themeColor="text2" w:themeShade="80"/>
      <w:sz w:val="52"/>
      <w:szCs w:val="48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985F3A"/>
    <w:rPr>
      <w:rFonts w:eastAsia="Times New Roman" w:cstheme="minorHAnsi"/>
      <w:b/>
      <w:noProof/>
      <w:color w:val="0F243E" w:themeColor="text2" w:themeShade="80"/>
      <w:sz w:val="52"/>
      <w:szCs w:val="48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985F3A"/>
    <w:pPr>
      <w:numPr>
        <w:ilvl w:val="1"/>
      </w:numPr>
      <w:spacing w:before="120"/>
    </w:pPr>
    <w:rPr>
      <w:rFonts w:eastAsiaTheme="majorEastAsia" w:cstheme="minorHAnsi"/>
      <w:b/>
      <w:iCs/>
      <w:caps/>
      <w:color w:val="EF4350" w:themeColor="accent2"/>
      <w:spacing w:val="15"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85F3A"/>
    <w:rPr>
      <w:rFonts w:eastAsiaTheme="majorEastAsia" w:cstheme="minorHAnsi"/>
      <w:b/>
      <w:iCs/>
      <w:caps/>
      <w:color w:val="EF4350" w:themeColor="accent2"/>
      <w:spacing w:val="15"/>
      <w:sz w:val="32"/>
      <w:szCs w:val="24"/>
    </w:rPr>
  </w:style>
  <w:style w:type="paragraph" w:styleId="Odstavecseseznamem">
    <w:name w:val="List Paragraph"/>
    <w:aliases w:val="Odstavec cíl se seznamem,Nad,Odstavec se seznamem1,Odstavec_muj,_Odstavec se seznamem,A-Odrážky1,Odstavec_muj1,Odstavec_muj2,Odstavec_muj3,Nad1,List Paragraph1,Odstavec_muj4,Nad2,List Paragraph2,Odstavec_muj5,Odstavec_muj6"/>
    <w:basedOn w:val="Normln"/>
    <w:link w:val="OdstavecseseznamemChar"/>
    <w:uiPriority w:val="35"/>
    <w:qFormat/>
    <w:rsid w:val="00AB7EBC"/>
    <w:pPr>
      <w:ind w:left="720"/>
      <w:contextualSpacing/>
    </w:pPr>
  </w:style>
  <w:style w:type="character" w:customStyle="1" w:styleId="OdstavecseseznamemChar">
    <w:name w:val="Odstavec se seznamem Char"/>
    <w:aliases w:val="Odstavec cíl se seznamem Char,Nad Char,Odstavec se seznamem1 Char,Odstavec_muj Char,_Odstavec se seznamem Char,A-Odrážky1 Char,Odstavec_muj1 Char,Odstavec_muj2 Char,Odstavec_muj3 Char,Nad1 Char,List Paragraph1 Char,Nad2 Char"/>
    <w:link w:val="Odstavecseseznamem"/>
    <w:uiPriority w:val="35"/>
    <w:locked/>
    <w:rsid w:val="00AB7EBC"/>
  </w:style>
  <w:style w:type="paragraph" w:styleId="Nadpisobsahu">
    <w:name w:val="TOC Heading"/>
    <w:basedOn w:val="Nadpis1"/>
    <w:next w:val="Normln"/>
    <w:uiPriority w:val="39"/>
    <w:unhideWhenUsed/>
    <w:qFormat/>
    <w:rsid w:val="00AB7EBC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092B46" w:themeColor="accent1" w:themeShade="BF"/>
      <w:kern w:val="0"/>
      <w:sz w:val="28"/>
      <w:szCs w:val="28"/>
    </w:rPr>
  </w:style>
  <w:style w:type="table" w:styleId="Svtlseznamzvraznn1">
    <w:name w:val="Light List Accent 1"/>
    <w:aliases w:val="Světlý seznam – zvýraznění 1 upr"/>
    <w:basedOn w:val="Normlntabulka"/>
    <w:uiPriority w:val="61"/>
    <w:rsid w:val="00D30DE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0D3B5E" w:themeColor="accent1"/>
        <w:left w:val="single" w:sz="4" w:space="0" w:color="0D3B5E" w:themeColor="accent1"/>
        <w:bottom w:val="single" w:sz="4" w:space="0" w:color="0D3B5E" w:themeColor="accent1"/>
        <w:right w:val="single" w:sz="4" w:space="0" w:color="0D3B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3B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3B5E" w:themeColor="accent1"/>
          <w:left w:val="single" w:sz="8" w:space="0" w:color="0D3B5E" w:themeColor="accent1"/>
          <w:bottom w:val="single" w:sz="8" w:space="0" w:color="0D3B5E" w:themeColor="accent1"/>
          <w:right w:val="single" w:sz="8" w:space="0" w:color="0D3B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3B5E" w:themeColor="accent1"/>
          <w:left w:val="single" w:sz="8" w:space="0" w:color="0D3B5E" w:themeColor="accent1"/>
          <w:bottom w:val="single" w:sz="8" w:space="0" w:color="0D3B5E" w:themeColor="accent1"/>
          <w:right w:val="single" w:sz="8" w:space="0" w:color="0D3B5E" w:themeColor="accent1"/>
        </w:tcBorders>
      </w:tcPr>
    </w:tblStylePr>
    <w:tblStylePr w:type="band1Horz">
      <w:tblPr/>
      <w:tcPr>
        <w:tcBorders>
          <w:top w:val="single" w:sz="8" w:space="0" w:color="0D3B5E" w:themeColor="accent1"/>
          <w:left w:val="single" w:sz="8" w:space="0" w:color="0D3B5E" w:themeColor="accent1"/>
          <w:bottom w:val="single" w:sz="8" w:space="0" w:color="0D3B5E" w:themeColor="accent1"/>
          <w:right w:val="single" w:sz="8" w:space="0" w:color="0D3B5E" w:themeColor="accent1"/>
        </w:tcBorders>
      </w:tcPr>
    </w:tblStylePr>
  </w:style>
  <w:style w:type="paragraph" w:customStyle="1" w:styleId="podnadpis">
    <w:name w:val="podnadpis"/>
    <w:basedOn w:val="Normln"/>
    <w:next w:val="Normln"/>
    <w:rsid w:val="00DC2F29"/>
    <w:pPr>
      <w:spacing w:before="60" w:after="60" w:line="264" w:lineRule="auto"/>
      <w:jc w:val="center"/>
    </w:pPr>
    <w:rPr>
      <w:rFonts w:ascii="Calibri" w:eastAsia="Times New Roman" w:hAnsi="Calibri" w:cs="Times New Roman"/>
      <w:color w:val="005289"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2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F29"/>
  </w:style>
  <w:style w:type="paragraph" w:styleId="Zpat">
    <w:name w:val="footer"/>
    <w:basedOn w:val="Normln"/>
    <w:link w:val="ZpatChar"/>
    <w:uiPriority w:val="99"/>
    <w:unhideWhenUsed/>
    <w:rsid w:val="00DC2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F29"/>
  </w:style>
  <w:style w:type="paragraph" w:styleId="Textpoznpodarou">
    <w:name w:val="footnote text"/>
    <w:aliases w:val="Fußnotentextf,Geneva 9,Font: Geneva 9,Boston 10,f,Schriftart: 9 pt,Schriftart: 10 pt,Schriftart: 8 pt,pozn. pod čarou,Text poznámky pod čiarou 007,Podrozdział,Footnote,Podrozdzia3,Text pozn. pod čarou Char2,Footnote text,o,Char1"/>
    <w:basedOn w:val="Normln"/>
    <w:link w:val="TextpoznpodarouChar"/>
    <w:unhideWhenUsed/>
    <w:qFormat/>
    <w:rsid w:val="00DC2F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ußnotentextf Char,Geneva 9 Char,Font: Geneva 9 Char,Boston 10 Char,f Char,Schriftart: 9 pt Char,Schriftart: 10 pt Char,Schriftart: 8 pt Char,pozn. pod čarou Char,Text poznámky pod čiarou 007 Char,Podrozdział Char,Footnote Char"/>
    <w:basedOn w:val="Standardnpsmoodstavce"/>
    <w:link w:val="Textpoznpodarou"/>
    <w:rsid w:val="00DC2F29"/>
    <w:rPr>
      <w:sz w:val="20"/>
      <w:szCs w:val="20"/>
    </w:rPr>
  </w:style>
  <w:style w:type="character" w:styleId="Znakapoznpodarou">
    <w:name w:val="footnote reference"/>
    <w:aliases w:val="Footnote symbol,PGI Fußnote Ziffer,BVI fnr,Footnote Reference Superscript,Appel note de bas de p,Appel note de bas de page,Légende,Char Car Car Car Car,Voetnootverwijzing,ftref,Footnotes refss,Légende;Char Car Car Car Car"/>
    <w:basedOn w:val="Standardnpsmoodstavce"/>
    <w:unhideWhenUsed/>
    <w:qFormat/>
    <w:rsid w:val="00DC2F2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F29"/>
    <w:rPr>
      <w:rFonts w:ascii="Tahoma" w:hAnsi="Tahoma" w:cs="Tahoma"/>
      <w:sz w:val="16"/>
      <w:szCs w:val="16"/>
    </w:rPr>
  </w:style>
  <w:style w:type="table" w:styleId="Stednstnovn1zvraznn1">
    <w:name w:val="Medium Shading 1 Accent 1"/>
    <w:aliases w:val="Střední stínování 1 – zvýraznění 1 upr"/>
    <w:basedOn w:val="Normlntabulka"/>
    <w:uiPriority w:val="63"/>
    <w:rsid w:val="006D16C8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0D3B5E" w:themeColor="accent1"/>
        <w:left w:val="single" w:sz="4" w:space="0" w:color="0D3B5E" w:themeColor="accent1"/>
        <w:bottom w:val="single" w:sz="4" w:space="0" w:color="0D3B5E" w:themeColor="accent1"/>
        <w:right w:val="single" w:sz="4" w:space="0" w:color="0D3B5E" w:themeColor="accent1"/>
        <w:insideH w:val="single" w:sz="4" w:space="0" w:color="0D3B5E" w:themeColor="accent1"/>
        <w:insideV w:val="single" w:sz="4" w:space="0" w:color="0D3B5E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D3B5E" w:themeColor="accent1"/>
          <w:left w:val="single" w:sz="8" w:space="0" w:color="0D3B5E" w:themeColor="accent1"/>
          <w:bottom w:val="single" w:sz="8" w:space="0" w:color="0D3B5E" w:themeColor="accent1"/>
          <w:right w:val="single" w:sz="8" w:space="0" w:color="0D3B5E" w:themeColor="accent1"/>
          <w:insideH w:val="single" w:sz="8" w:space="0" w:color="0D3B5E" w:themeColor="accent1"/>
          <w:insideV w:val="single" w:sz="8" w:space="0" w:color="0D3B5E" w:themeColor="accent1"/>
        </w:tcBorders>
        <w:shd w:val="clear" w:color="auto" w:fill="0D3B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72B6" w:themeColor="accent1" w:themeTint="BF"/>
          <w:left w:val="single" w:sz="8" w:space="0" w:color="1972B6" w:themeColor="accent1" w:themeTint="BF"/>
          <w:bottom w:val="single" w:sz="8" w:space="0" w:color="1972B6" w:themeColor="accent1" w:themeTint="BF"/>
          <w:right w:val="single" w:sz="8" w:space="0" w:color="1972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B5DAF5" w:themeFill="accent3"/>
      </w:tcPr>
    </w:tblStylePr>
  </w:style>
  <w:style w:type="table" w:styleId="Mkatabulky">
    <w:name w:val="Table Grid"/>
    <w:aliases w:val="Deloitte table 3,CV table"/>
    <w:basedOn w:val="Normlntabulka"/>
    <w:uiPriority w:val="59"/>
    <w:rsid w:val="006B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nnadpis">
    <w:name w:val="Hlavní nadpis"/>
    <w:basedOn w:val="Normln"/>
    <w:next w:val="podnadpis"/>
    <w:uiPriority w:val="99"/>
    <w:rsid w:val="00985F3A"/>
    <w:pPr>
      <w:spacing w:before="2600" w:after="100"/>
      <w:jc w:val="center"/>
    </w:pPr>
    <w:rPr>
      <w:rFonts w:ascii="Calibri" w:eastAsia="Times New Roman" w:hAnsi="Calibri" w:cs="Times New Roman"/>
      <w:b/>
      <w:color w:val="015289"/>
      <w:sz w:val="72"/>
      <w:szCs w:val="72"/>
      <w:lang w:eastAsia="cs-CZ"/>
    </w:rPr>
  </w:style>
  <w:style w:type="table" w:styleId="Svtlseznam">
    <w:name w:val="Light List"/>
    <w:basedOn w:val="Normlntabulka"/>
    <w:uiPriority w:val="61"/>
    <w:rsid w:val="00D2737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tednmka3zvraznn1">
    <w:name w:val="Medium Grid 3 Accent 1"/>
    <w:aliases w:val="Střední mřížka 3 – zvýraznění 1 upr"/>
    <w:basedOn w:val="Normlntabulka"/>
    <w:uiPriority w:val="69"/>
    <w:rsid w:val="00D30DE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5" w:themeFill="accent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3B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3B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3B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3B5E" w:themeFill="accent1"/>
      </w:tcPr>
    </w:tblStylePr>
    <w:tblStylePr w:type="band1Vert">
      <w:tblPr/>
      <w:tcPr>
        <w:shd w:val="clear" w:color="auto" w:fill="B5DAF5" w:themeFill="accent3"/>
      </w:tcPr>
    </w:tblStylePr>
    <w:tblStylePr w:type="band1Horz">
      <w:tblPr/>
      <w:tcPr>
        <w:shd w:val="clear" w:color="auto" w:fill="B5DAF5" w:themeFill="accent3"/>
      </w:tcPr>
    </w:tblStylePr>
    <w:tblStylePr w:type="band2Horz">
      <w:tblPr/>
      <w:tcPr>
        <w:shd w:val="clear" w:color="auto" w:fill="B5DAF5" w:themeFill="accent3"/>
      </w:tcPr>
    </w:tblStylePr>
  </w:style>
  <w:style w:type="table" w:styleId="Stednstnovn2zvraznn1">
    <w:name w:val="Medium Shading 2 Accent 1"/>
    <w:basedOn w:val="Normlntabulka"/>
    <w:uiPriority w:val="64"/>
    <w:rsid w:val="009D0A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3B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3B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3B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mka3zvraznn3">
    <w:name w:val="Medium Grid 3 Accent 3"/>
    <w:basedOn w:val="Normlntabulka"/>
    <w:uiPriority w:val="69"/>
    <w:rsid w:val="009D0A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5F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DAF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DAF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DAF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DAF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CF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CFA" w:themeFill="accent3" w:themeFillTint="7F"/>
      </w:tcPr>
    </w:tblStylePr>
  </w:style>
  <w:style w:type="table" w:styleId="Stednmka3zvraznn2">
    <w:name w:val="Medium Grid 3 Accent 2"/>
    <w:basedOn w:val="Normlntabulka"/>
    <w:uiPriority w:val="69"/>
    <w:rsid w:val="009D0A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0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35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35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35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35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1A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1A7" w:themeFill="accent2" w:themeFillTint="7F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85325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5325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853258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853258"/>
    <w:rPr>
      <w:color w:val="0070C0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44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44C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4C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C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C10"/>
    <w:rPr>
      <w:b/>
      <w:bCs/>
      <w:sz w:val="20"/>
      <w:szCs w:val="20"/>
    </w:rPr>
  </w:style>
  <w:style w:type="paragraph" w:customStyle="1" w:styleId="Odrky1">
    <w:name w:val="Odrážky 1"/>
    <w:basedOn w:val="Normln"/>
    <w:qFormat/>
    <w:rsid w:val="00A3577B"/>
    <w:pPr>
      <w:numPr>
        <w:numId w:val="4"/>
      </w:numPr>
    </w:pPr>
  </w:style>
  <w:style w:type="character" w:customStyle="1" w:styleId="BezmezerChar">
    <w:name w:val="Bez mezer Char"/>
    <w:link w:val="Bezmezer"/>
    <w:uiPriority w:val="1"/>
    <w:locked/>
    <w:rsid w:val="005F762C"/>
    <w:rPr>
      <w:rFonts w:ascii="Calibri" w:eastAsia="Calibri" w:hAnsi="Calibri" w:cs="Times New Roman"/>
    </w:rPr>
  </w:style>
  <w:style w:type="paragraph" w:styleId="Bezmezer">
    <w:name w:val="No Spacing"/>
    <w:link w:val="BezmezerChar"/>
    <w:uiPriority w:val="1"/>
    <w:qFormat/>
    <w:rsid w:val="005F762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Svtlseznamzvraznn13">
    <w:name w:val="Světlý seznam – zvýraznění 13"/>
    <w:basedOn w:val="Normlntabulka"/>
    <w:uiPriority w:val="61"/>
    <w:rsid w:val="005F762C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nil"/>
      <w:tblBorders>
        <w:top w:val="single" w:sz="4" w:space="0" w:color="005288"/>
        <w:left w:val="single" w:sz="4" w:space="0" w:color="005288"/>
        <w:bottom w:val="single" w:sz="4" w:space="0" w:color="005288"/>
        <w:right w:val="single" w:sz="4" w:space="0" w:color="005288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5288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5288"/>
          <w:left w:val="single" w:sz="8" w:space="0" w:color="005288"/>
          <w:bottom w:val="single" w:sz="8" w:space="0" w:color="005288"/>
          <w:right w:val="single" w:sz="8" w:space="0" w:color="0052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288"/>
          <w:left w:val="single" w:sz="8" w:space="0" w:color="005288"/>
          <w:bottom w:val="single" w:sz="8" w:space="0" w:color="005288"/>
          <w:right w:val="single" w:sz="8" w:space="0" w:color="005288"/>
        </w:tcBorders>
      </w:tcPr>
    </w:tblStylePr>
    <w:tblStylePr w:type="band1Horz">
      <w:tblPr/>
      <w:tcPr>
        <w:tcBorders>
          <w:top w:val="single" w:sz="8" w:space="0" w:color="005288"/>
          <w:left w:val="single" w:sz="8" w:space="0" w:color="005288"/>
          <w:bottom w:val="single" w:sz="8" w:space="0" w:color="005288"/>
          <w:right w:val="single" w:sz="8" w:space="0" w:color="005288"/>
        </w:tcBorders>
      </w:tcPr>
    </w:tblStylePr>
  </w:style>
  <w:style w:type="paragraph" w:customStyle="1" w:styleId="Shrnut1">
    <w:name w:val="Shrnutí 1"/>
    <w:basedOn w:val="Normln"/>
    <w:qFormat/>
    <w:rsid w:val="00C36B43"/>
    <w:pPr>
      <w:pBdr>
        <w:top w:val="single" w:sz="18" w:space="1" w:color="0D3B5E" w:themeColor="accent1"/>
        <w:left w:val="single" w:sz="18" w:space="4" w:color="0D3B5E" w:themeColor="accent1"/>
        <w:bottom w:val="single" w:sz="18" w:space="1" w:color="0D3B5E" w:themeColor="accent1"/>
        <w:right w:val="single" w:sz="18" w:space="4" w:color="0D3B5E" w:themeColor="accent1"/>
      </w:pBdr>
      <w:shd w:val="clear" w:color="auto" w:fill="0D3B5E" w:themeFill="accent1"/>
      <w:spacing w:before="80" w:after="20" w:line="360" w:lineRule="auto"/>
      <w:ind w:left="142" w:right="142"/>
    </w:pPr>
    <w:rPr>
      <w:b/>
      <w:sz w:val="18"/>
    </w:rPr>
  </w:style>
  <w:style w:type="paragraph" w:customStyle="1" w:styleId="Shrnut2">
    <w:name w:val="Shrnutí 2"/>
    <w:basedOn w:val="Normln"/>
    <w:next w:val="Normln"/>
    <w:qFormat/>
    <w:rsid w:val="00C36B43"/>
    <w:pPr>
      <w:pBdr>
        <w:top w:val="single" w:sz="18" w:space="1" w:color="0D3B5E" w:themeColor="accent1"/>
        <w:left w:val="single" w:sz="18" w:space="4" w:color="0D3B5E" w:themeColor="accent1"/>
        <w:bottom w:val="single" w:sz="18" w:space="1" w:color="0D3B5E" w:themeColor="accent1"/>
        <w:right w:val="single" w:sz="18" w:space="4" w:color="0D3B5E" w:themeColor="accent1"/>
      </w:pBdr>
      <w:shd w:val="clear" w:color="auto" w:fill="0D3B5E" w:themeFill="accent1"/>
      <w:spacing w:before="80" w:after="200" w:line="360" w:lineRule="auto"/>
      <w:ind w:left="142" w:right="142"/>
    </w:pPr>
    <w:rPr>
      <w:sz w:val="18"/>
    </w:rPr>
  </w:style>
  <w:style w:type="paragraph" w:customStyle="1" w:styleId="Odrvtab">
    <w:name w:val="Odr.v tab."/>
    <w:basedOn w:val="Odstavecseseznamem"/>
    <w:qFormat/>
    <w:rsid w:val="00C36B43"/>
    <w:pPr>
      <w:numPr>
        <w:numId w:val="5"/>
      </w:numPr>
      <w:tabs>
        <w:tab w:val="num" w:pos="360"/>
      </w:tabs>
      <w:spacing w:after="0" w:line="240" w:lineRule="auto"/>
      <w:ind w:left="720"/>
    </w:pPr>
    <w:rPr>
      <w:sz w:val="18"/>
    </w:rPr>
  </w:style>
  <w:style w:type="table" w:customStyle="1" w:styleId="Tmavtabulkasmkou5zvraznn11">
    <w:name w:val="Tmavá tabulka s mřížkou 5 – zvýraznění 11"/>
    <w:basedOn w:val="Normlntabulka"/>
    <w:uiPriority w:val="50"/>
    <w:rsid w:val="00C36B4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A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3B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3B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3B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3B5E" w:themeFill="accent1"/>
      </w:tcPr>
    </w:tblStylePr>
    <w:tblStylePr w:type="band1Vert">
      <w:tblPr/>
      <w:tcPr>
        <w:shd w:val="clear" w:color="auto" w:fill="71B6EB" w:themeFill="accent1" w:themeFillTint="66"/>
      </w:tcPr>
    </w:tblStylePr>
    <w:tblStylePr w:type="band1Horz">
      <w:tblPr/>
      <w:tcPr>
        <w:shd w:val="clear" w:color="auto" w:fill="71B6EB" w:themeFill="accent1" w:themeFillTint="66"/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69539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2A91E1" w:themeColor="accent1" w:themeTint="99"/>
        <w:left w:val="single" w:sz="4" w:space="0" w:color="2A91E1" w:themeColor="accent1" w:themeTint="99"/>
        <w:bottom w:val="single" w:sz="4" w:space="0" w:color="2A91E1" w:themeColor="accent1" w:themeTint="99"/>
        <w:right w:val="single" w:sz="4" w:space="0" w:color="2A91E1" w:themeColor="accent1" w:themeTint="99"/>
        <w:insideH w:val="single" w:sz="4" w:space="0" w:color="2A91E1" w:themeColor="accent1" w:themeTint="99"/>
        <w:insideV w:val="single" w:sz="4" w:space="0" w:color="2A91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</w:tcBorders>
        <w:shd w:val="clear" w:color="auto" w:fill="0D3B5E" w:themeFill="accent1"/>
      </w:tcPr>
    </w:tblStylePr>
    <w:tblStylePr w:type="lastRow">
      <w:rPr>
        <w:b/>
        <w:bCs/>
      </w:rPr>
      <w:tblPr/>
      <w:tcPr>
        <w:tcBorders>
          <w:top w:val="double" w:sz="4" w:space="0" w:color="0D3B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AF5" w:themeFill="accent1" w:themeFillTint="33"/>
      </w:tcPr>
    </w:tblStylePr>
    <w:tblStylePr w:type="band1Horz">
      <w:tblPr/>
      <w:tcPr>
        <w:shd w:val="clear" w:color="auto" w:fill="B8DAF5" w:themeFill="accent1" w:themeFillTint="33"/>
      </w:tcPr>
    </w:tblStylePr>
  </w:style>
  <w:style w:type="character" w:styleId="Siln">
    <w:name w:val="Strong"/>
    <w:basedOn w:val="Standardnpsmoodstavce"/>
    <w:uiPriority w:val="22"/>
    <w:qFormat/>
    <w:rsid w:val="00C36B43"/>
    <w:rPr>
      <w:b/>
      <w:bCs/>
    </w:rPr>
  </w:style>
  <w:style w:type="character" w:customStyle="1" w:styleId="CnormlnChar">
    <w:name w:val="Cnormální Char"/>
    <w:link w:val="Cnormln"/>
    <w:locked/>
    <w:rsid w:val="008F1725"/>
    <w:rPr>
      <w:rFonts w:ascii="Arial" w:hAnsi="Arial" w:cs="Arial"/>
    </w:rPr>
  </w:style>
  <w:style w:type="paragraph" w:customStyle="1" w:styleId="Cnormln">
    <w:name w:val="Cnormální"/>
    <w:basedOn w:val="Normln"/>
    <w:link w:val="CnormlnChar"/>
    <w:qFormat/>
    <w:rsid w:val="008F1725"/>
    <w:pPr>
      <w:jc w:val="left"/>
    </w:pPr>
    <w:rPr>
      <w:rFonts w:ascii="Arial" w:hAnsi="Arial" w:cs="Arial"/>
    </w:rPr>
  </w:style>
  <w:style w:type="table" w:customStyle="1" w:styleId="Tabulkaseznamu3zvraznn12">
    <w:name w:val="Tabulka seznamu 3 – zvýraznění 12"/>
    <w:basedOn w:val="Normlntabulka"/>
    <w:uiPriority w:val="48"/>
    <w:rsid w:val="00335AA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D3B5E" w:themeColor="accent1"/>
        <w:left w:val="single" w:sz="4" w:space="0" w:color="0D3B5E" w:themeColor="accent1"/>
        <w:bottom w:val="single" w:sz="4" w:space="0" w:color="0D3B5E" w:themeColor="accent1"/>
        <w:right w:val="single" w:sz="4" w:space="0" w:color="0D3B5E" w:themeColor="accent1"/>
      </w:tblBorders>
    </w:tblPr>
    <w:tblStylePr w:type="firstRow">
      <w:rPr>
        <w:b/>
        <w:bCs/>
        <w:color w:val="FFFFFF" w:themeColor="background1"/>
      </w:rPr>
      <w:tblPr/>
      <w:tcPr>
        <w:tcBorders>
          <w:insideV w:val="nil"/>
        </w:tcBorders>
        <w:shd w:val="clear" w:color="auto" w:fill="0D3B5E" w:themeFill="accent1"/>
      </w:tcPr>
    </w:tblStylePr>
    <w:tblStylePr w:type="lastRow">
      <w:rPr>
        <w:b/>
        <w:bCs/>
      </w:rPr>
      <w:tblPr/>
      <w:tcPr>
        <w:tcBorders>
          <w:top w:val="double" w:sz="4" w:space="0" w:color="0D3B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3B5E" w:themeColor="accent1"/>
          <w:right w:val="single" w:sz="4" w:space="0" w:color="0D3B5E" w:themeColor="accent1"/>
        </w:tcBorders>
      </w:tcPr>
    </w:tblStylePr>
    <w:tblStylePr w:type="band1Horz">
      <w:tblPr/>
      <w:tcPr>
        <w:tcBorders>
          <w:top w:val="single" w:sz="4" w:space="0" w:color="0D3B5E" w:themeColor="accent1"/>
          <w:bottom w:val="single" w:sz="4" w:space="0" w:color="0D3B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3B5E" w:themeColor="accent1"/>
          <w:left w:val="nil"/>
        </w:tcBorders>
      </w:tcPr>
    </w:tblStylePr>
    <w:tblStylePr w:type="swCell">
      <w:tblPr/>
      <w:tcPr>
        <w:tcBorders>
          <w:top w:val="double" w:sz="4" w:space="0" w:color="0D3B5E" w:themeColor="accent1"/>
          <w:right w:val="nil"/>
        </w:tcBorders>
      </w:tcPr>
    </w:tblStylePr>
  </w:style>
  <w:style w:type="character" w:customStyle="1" w:styleId="Bodytext">
    <w:name w:val="Body text_"/>
    <w:link w:val="BodyText1"/>
    <w:locked/>
    <w:rsid w:val="0096344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1">
    <w:name w:val="Body Text1"/>
    <w:basedOn w:val="Normln"/>
    <w:link w:val="Bodytext"/>
    <w:rsid w:val="0096344C"/>
    <w:pPr>
      <w:shd w:val="clear" w:color="auto" w:fill="FFFFFF"/>
      <w:spacing w:before="540" w:after="60" w:line="0" w:lineRule="atLeast"/>
      <w:ind w:hanging="400"/>
      <w:jc w:val="left"/>
    </w:pPr>
    <w:rPr>
      <w:rFonts w:ascii="Calibri" w:eastAsia="Calibri" w:hAnsi="Calibri" w:cs="Calibri"/>
      <w:sz w:val="21"/>
      <w:szCs w:val="21"/>
    </w:rPr>
  </w:style>
  <w:style w:type="character" w:customStyle="1" w:styleId="StandardntextChar">
    <w:name w:val="Standardní text Char"/>
    <w:link w:val="Standardntext"/>
    <w:locked/>
    <w:rsid w:val="00523260"/>
    <w:rPr>
      <w:sz w:val="24"/>
      <w:szCs w:val="24"/>
      <w:lang w:val="x-none" w:eastAsia="x-none"/>
    </w:rPr>
  </w:style>
  <w:style w:type="paragraph" w:customStyle="1" w:styleId="Standardntext">
    <w:name w:val="Standardní text"/>
    <w:basedOn w:val="Normln"/>
    <w:link w:val="StandardntextChar"/>
    <w:qFormat/>
    <w:rsid w:val="00523260"/>
    <w:pPr>
      <w:overflowPunct w:val="0"/>
      <w:autoSpaceDE w:val="0"/>
      <w:autoSpaceDN w:val="0"/>
      <w:adjustRightInd w:val="0"/>
      <w:spacing w:line="240" w:lineRule="auto"/>
    </w:pPr>
    <w:rPr>
      <w:sz w:val="24"/>
      <w:szCs w:val="24"/>
      <w:lang w:val="x-none" w:eastAsia="x-none"/>
    </w:rPr>
  </w:style>
  <w:style w:type="paragraph" w:styleId="Revize">
    <w:name w:val="Revision"/>
    <w:hidden/>
    <w:uiPriority w:val="99"/>
    <w:semiHidden/>
    <w:rsid w:val="009107E5"/>
    <w:pPr>
      <w:spacing w:after="0" w:line="240" w:lineRule="auto"/>
    </w:pPr>
  </w:style>
  <w:style w:type="table" w:customStyle="1" w:styleId="Svtlmkatabulky1">
    <w:name w:val="Světlá mřížka tabulky1"/>
    <w:basedOn w:val="Normlntabulka"/>
    <w:uiPriority w:val="40"/>
    <w:rsid w:val="00A03B8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1">
    <w:name w:val="Styl1"/>
    <w:basedOn w:val="Tabulkaseznamu3zvraznn12"/>
    <w:uiPriority w:val="99"/>
    <w:rsid w:val="0069539F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D3B5E" w:themeColor="accent1"/>
        <w:insideV w:val="single" w:sz="4" w:space="0" w:color="0D3B5E" w:themeColor="accent1"/>
      </w:tblBorders>
    </w:tblPr>
    <w:tblStylePr w:type="firstRow">
      <w:rPr>
        <w:b/>
        <w:bCs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0D3B5E" w:themeFill="accent1"/>
      </w:tcPr>
    </w:tblStylePr>
    <w:tblStylePr w:type="lastRow">
      <w:rPr>
        <w:b/>
        <w:bCs/>
      </w:rPr>
      <w:tblPr/>
      <w:tcPr>
        <w:tcBorders>
          <w:top w:val="double" w:sz="4" w:space="0" w:color="0D3B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3B5E" w:themeColor="accent1"/>
          <w:right w:val="single" w:sz="4" w:space="0" w:color="0D3B5E" w:themeColor="accent1"/>
        </w:tcBorders>
      </w:tcPr>
    </w:tblStylePr>
    <w:tblStylePr w:type="band1Horz">
      <w:tblPr/>
      <w:tcPr>
        <w:tcBorders>
          <w:top w:val="single" w:sz="4" w:space="0" w:color="0D3B5E" w:themeColor="accent1"/>
          <w:bottom w:val="single" w:sz="4" w:space="0" w:color="0D3B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3B5E" w:themeColor="accent1"/>
          <w:left w:val="nil"/>
        </w:tcBorders>
      </w:tcPr>
    </w:tblStylePr>
    <w:tblStylePr w:type="swCell">
      <w:tblPr/>
      <w:tcPr>
        <w:tcBorders>
          <w:top w:val="double" w:sz="4" w:space="0" w:color="0D3B5E" w:themeColor="accent1"/>
          <w:right w:val="nil"/>
        </w:tcBorders>
      </w:tcPr>
    </w:tblStylePr>
  </w:style>
  <w:style w:type="table" w:customStyle="1" w:styleId="Prosttabulka11">
    <w:name w:val="Prostá tabulka 11"/>
    <w:basedOn w:val="Normlntabulka"/>
    <w:uiPriority w:val="41"/>
    <w:rsid w:val="004766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table" w:customStyle="1" w:styleId="Prosttabulka111">
    <w:name w:val="Prostá tabulka 111"/>
    <w:basedOn w:val="Normlntabulka"/>
    <w:next w:val="Normlntabulka"/>
    <w:uiPriority w:val="41"/>
    <w:rsid w:val="00B31377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Obsah4">
    <w:name w:val="toc 4"/>
    <w:basedOn w:val="Normln"/>
    <w:next w:val="Normln"/>
    <w:autoRedefine/>
    <w:uiPriority w:val="39"/>
    <w:unhideWhenUsed/>
    <w:rsid w:val="000463A4"/>
    <w:pPr>
      <w:spacing w:after="100" w:line="259" w:lineRule="auto"/>
      <w:ind w:left="660"/>
      <w:jc w:val="left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0463A4"/>
    <w:pPr>
      <w:spacing w:after="100" w:line="259" w:lineRule="auto"/>
      <w:ind w:left="880"/>
      <w:jc w:val="left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0463A4"/>
    <w:pPr>
      <w:spacing w:after="100" w:line="259" w:lineRule="auto"/>
      <w:ind w:left="1100"/>
      <w:jc w:val="left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0463A4"/>
    <w:pPr>
      <w:spacing w:after="100" w:line="259" w:lineRule="auto"/>
      <w:ind w:left="1320"/>
      <w:jc w:val="left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0463A4"/>
    <w:pPr>
      <w:spacing w:after="100" w:line="259" w:lineRule="auto"/>
      <w:ind w:left="1540"/>
      <w:jc w:val="left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0463A4"/>
    <w:pPr>
      <w:spacing w:after="100" w:line="259" w:lineRule="auto"/>
      <w:ind w:left="1760"/>
      <w:jc w:val="left"/>
    </w:pPr>
    <w:rPr>
      <w:rFonts w:eastAsiaTheme="minorEastAsia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463A4"/>
    <w:rPr>
      <w:color w:val="605E5C"/>
      <w:shd w:val="clear" w:color="auto" w:fill="E1DFDD"/>
    </w:rPr>
  </w:style>
  <w:style w:type="paragraph" w:styleId="Seznamobrzk">
    <w:name w:val="table of figures"/>
    <w:basedOn w:val="Normln"/>
    <w:next w:val="Normln"/>
    <w:uiPriority w:val="99"/>
    <w:unhideWhenUsed/>
    <w:rsid w:val="00E45FE8"/>
    <w:pPr>
      <w:spacing w:after="0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26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435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688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3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7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EA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D3B5E"/>
      </a:accent1>
      <a:accent2>
        <a:srgbClr val="EF4350"/>
      </a:accent2>
      <a:accent3>
        <a:srgbClr val="B5DAF5"/>
      </a:accent3>
      <a:accent4>
        <a:srgbClr val="F9B5BA"/>
      </a:accent4>
      <a:accent5>
        <a:srgbClr val="9BBB59"/>
      </a:accent5>
      <a:accent6>
        <a:srgbClr val="8064A2"/>
      </a:accent6>
      <a:hlink>
        <a:srgbClr val="0070C0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067E01FDBAC444992DFA5CFF64E415" ma:contentTypeVersion="2" ma:contentTypeDescription="Vytvoří nový dokument" ma:contentTypeScope="" ma:versionID="81d8fbab4958064b72e8de3c0f3654f3">
  <xsd:schema xmlns:xsd="http://www.w3.org/2001/XMLSchema" xmlns:xs="http://www.w3.org/2001/XMLSchema" xmlns:p="http://schemas.microsoft.com/office/2006/metadata/properties" xmlns:ns2="ae73d3dd-7ff5-4d07-a283-895fabf0a392" targetNamespace="http://schemas.microsoft.com/office/2006/metadata/properties" ma:root="true" ma:fieldsID="e577129582a2aef77bfb0f2c4683cc5b" ns2:_="">
    <xsd:import namespace="ae73d3dd-7ff5-4d07-a283-895fabf0a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3d3dd-7ff5-4d07-a283-895fabf0a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370B-4E2B-4222-A7BF-29B548F567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79AB6-3B9A-4AA2-AE02-F8FE95E973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AC355-9637-4FF4-B0C1-3625AF55A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3d3dd-7ff5-4d07-a283-895fabf0a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2D489D-E09E-4BFE-B8E3-C6F7E8CC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7</Pages>
  <Words>3241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Jílková</dc:creator>
  <cp:lastModifiedBy>vaclavspetlik@centrum.cz</cp:lastModifiedBy>
  <cp:revision>11</cp:revision>
  <cp:lastPrinted>2019-10-03T05:50:00Z</cp:lastPrinted>
  <dcterms:created xsi:type="dcterms:W3CDTF">2020-09-09T10:51:00Z</dcterms:created>
  <dcterms:modified xsi:type="dcterms:W3CDTF">2020-10-01T09:27:00Z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0x010100AB067E01FDBAC444992DFA5CFF64E415</vt:lpwstr>
  </property>
</Properties>
</file>