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cs-CZ"/>
        </w:rPr>
        <w:id w:val="2080625881"/>
        <w:docPartObj>
          <w:docPartGallery w:val="Cover Pages"/>
          <w:docPartUnique/>
        </w:docPartObj>
      </w:sdtPr>
      <w:sdtEndPr>
        <w:rPr>
          <w:sz w:val="6"/>
          <w:szCs w:val="6"/>
        </w:rPr>
      </w:sdtEndPr>
      <w:sdtContent>
        <w:p w14:paraId="1CCF14F6" w14:textId="77777777" w:rsidR="00061444" w:rsidRPr="00995275" w:rsidRDefault="001F090B" w:rsidP="00F46FDA">
          <w:pPr>
            <w:pStyle w:val="Documentdate"/>
            <w:spacing w:line="240" w:lineRule="auto"/>
            <w:rPr>
              <w:lang w:val="cs-CZ"/>
            </w:rPr>
          </w:pPr>
          <w:r>
            <w:rPr>
              <w:noProof/>
              <w:lang w:val="cs-CZ" w:eastAsia="cs-CZ"/>
            </w:rPr>
            <w:drawing>
              <wp:anchor distT="0" distB="0" distL="114300" distR="114300" simplePos="0" relativeHeight="251658243" behindDoc="0" locked="0" layoutInCell="1" allowOverlap="1" wp14:anchorId="7F98EB08" wp14:editId="287D8CDE">
                <wp:simplePos x="0" y="0"/>
                <wp:positionH relativeFrom="margin">
                  <wp:posOffset>-63831</wp:posOffset>
                </wp:positionH>
                <wp:positionV relativeFrom="paragraph">
                  <wp:posOffset>-801370</wp:posOffset>
                </wp:positionV>
                <wp:extent cx="5832475" cy="685800"/>
                <wp:effectExtent l="0" t="0" r="0" b="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BBC" w:rsidRPr="008A747E">
            <w:rPr>
              <w:noProof/>
              <w:sz w:val="6"/>
              <w:szCs w:val="6"/>
              <w:lang w:val="cs-CZ" w:eastAsia="cs-CZ"/>
            </w:rPr>
            <w:drawing>
              <wp:anchor distT="0" distB="0" distL="114300" distR="114300" simplePos="0" relativeHeight="251658241" behindDoc="1" locked="0" layoutInCell="1" allowOverlap="1" wp14:anchorId="7391D6F8" wp14:editId="3CF0DC62">
                <wp:simplePos x="0" y="0"/>
                <wp:positionH relativeFrom="margin">
                  <wp:posOffset>1270</wp:posOffset>
                </wp:positionH>
                <wp:positionV relativeFrom="paragraph">
                  <wp:posOffset>-341630</wp:posOffset>
                </wp:positionV>
                <wp:extent cx="6335395" cy="6335395"/>
                <wp:effectExtent l="0" t="0" r="8255" b="8255"/>
                <wp:wrapNone/>
                <wp:docPr id="12" name="Picture 12" descr="\\CZPRG0007\Office\Brochures_Events\Images\Gallery_of_images\circular\photos\1bzi_cho_glb_ve_591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PRG0007\Office\Brochures_Events\Images\Gallery_of_images\circular\photos\1bzi_cho_glb_ve_591_h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5395" cy="6335395"/>
                        </a:xfrm>
                        <a:prstGeom prst="rect">
                          <a:avLst/>
                        </a:prstGeom>
                        <a:noFill/>
                        <a:ln>
                          <a:noFill/>
                        </a:ln>
                      </pic:spPr>
                    </pic:pic>
                  </a:graphicData>
                </a:graphic>
              </wp:anchor>
            </w:drawing>
          </w:r>
          <w:r w:rsidR="00061444" w:rsidRPr="00995275">
            <w:rPr>
              <w:noProof/>
              <w:lang w:val="cs-CZ" w:eastAsia="cs-CZ"/>
            </w:rPr>
            <w:drawing>
              <wp:anchor distT="0" distB="0" distL="114300" distR="114300" simplePos="0" relativeHeight="251658242" behindDoc="0" locked="1" layoutInCell="1" allowOverlap="1" wp14:anchorId="7F4371D7" wp14:editId="597347EE">
                <wp:simplePos x="0" y="0"/>
                <wp:positionH relativeFrom="page">
                  <wp:posOffset>5299710</wp:posOffset>
                </wp:positionH>
                <wp:positionV relativeFrom="page">
                  <wp:posOffset>9185910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p>
        <w:p w14:paraId="4F63DFC8" w14:textId="77777777" w:rsidR="00061444" w:rsidRPr="00995275" w:rsidRDefault="00370CEA" w:rsidP="00F46FDA">
          <w:pPr>
            <w:spacing w:after="200" w:line="240" w:lineRule="auto"/>
            <w:rPr>
              <w:sz w:val="6"/>
              <w:szCs w:val="6"/>
            </w:rPr>
          </w:pPr>
          <w:r w:rsidRPr="00995275">
            <w:rPr>
              <w:noProof/>
              <w:sz w:val="6"/>
              <w:szCs w:val="6"/>
              <w:lang w:eastAsia="cs-CZ"/>
            </w:rPr>
            <mc:AlternateContent>
              <mc:Choice Requires="wps">
                <w:drawing>
                  <wp:anchor distT="45720" distB="45720" distL="114300" distR="114300" simplePos="0" relativeHeight="251658240" behindDoc="0" locked="0" layoutInCell="1" allowOverlap="1" wp14:anchorId="369B54FF" wp14:editId="001884D2">
                    <wp:simplePos x="0" y="0"/>
                    <wp:positionH relativeFrom="column">
                      <wp:posOffset>-557530</wp:posOffset>
                    </wp:positionH>
                    <wp:positionV relativeFrom="paragraph">
                      <wp:posOffset>5396230</wp:posOffset>
                    </wp:positionV>
                    <wp:extent cx="6819900" cy="3345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45180"/>
                            </a:xfrm>
                            <a:prstGeom prst="rect">
                              <a:avLst/>
                            </a:prstGeom>
                            <a:solidFill>
                              <a:srgbClr val="FFFFFF"/>
                            </a:solidFill>
                            <a:ln w="9525">
                              <a:noFill/>
                              <a:miter lim="800000"/>
                              <a:headEnd/>
                              <a:tailEnd/>
                            </a:ln>
                          </wps:spPr>
                          <wps:txbx>
                            <w:txbxContent>
                              <w:p w14:paraId="1C0688DC" w14:textId="77777777" w:rsidR="005B5874" w:rsidRDefault="005B5874" w:rsidP="00995275">
                                <w:pPr>
                                  <w:pStyle w:val="Documenttitle"/>
                                  <w:rPr>
                                    <w:lang w:val="cs-CZ"/>
                                  </w:rPr>
                                </w:pPr>
                                <w:r w:rsidRPr="00370CEA">
                                  <w:rPr>
                                    <w:lang w:val="cs-CZ"/>
                                  </w:rPr>
                                  <w:t>Analýz</w:t>
                                </w:r>
                                <w:r>
                                  <w:rPr>
                                    <w:lang w:val="cs-CZ"/>
                                  </w:rPr>
                                  <w:t>a</w:t>
                                </w:r>
                                <w:r w:rsidRPr="00370CEA">
                                  <w:rPr>
                                    <w:lang w:val="cs-CZ"/>
                                  </w:rPr>
                                  <w:t xml:space="preserve"> tržní situace a specifikace vhodných forem podpory pro účely přípravy priority </w:t>
                                </w:r>
                                <w:r>
                                  <w:rPr>
                                    <w:lang w:val="cs-CZ"/>
                                  </w:rPr>
                                  <w:t>3</w:t>
                                </w:r>
                                <w:r w:rsidRPr="00370CEA">
                                  <w:rPr>
                                    <w:lang w:val="cs-CZ"/>
                                  </w:rPr>
                                  <w:t xml:space="preserve"> OP K - </w:t>
                                </w:r>
                                <w:r w:rsidRPr="009E69C2">
                                  <w:rPr>
                                    <w:lang w:val="cs-CZ"/>
                                  </w:rPr>
                                  <w:t>Posun k nízkouhlíkovému hospodářství</w:t>
                                </w:r>
                                <w:r w:rsidRPr="009E69C2" w:rsidDel="009E69C2">
                                  <w:rPr>
                                    <w:lang w:val="cs-CZ"/>
                                  </w:rPr>
                                  <w:t xml:space="preserve"> </w:t>
                                </w:r>
                                <w:r w:rsidRPr="00370CEA">
                                  <w:rPr>
                                    <w:lang w:val="cs-CZ"/>
                                  </w:rPr>
                                  <w:t xml:space="preserve">operačního programu zaměřeného na konkurenceschopnost pro období 2021 </w:t>
                                </w:r>
                                <w:r>
                                  <w:rPr>
                                    <w:lang w:val="cs-CZ"/>
                                  </w:rPr>
                                  <w:t>–</w:t>
                                </w:r>
                                <w:r w:rsidRPr="00370CEA">
                                  <w:rPr>
                                    <w:lang w:val="cs-CZ"/>
                                  </w:rPr>
                                  <w:t xml:space="preserve"> 2027</w:t>
                                </w:r>
                              </w:p>
                              <w:p w14:paraId="41BD2681" w14:textId="77777777" w:rsidR="005B5874" w:rsidRDefault="005B5874" w:rsidP="001F090B">
                                <w:pPr>
                                  <w:pStyle w:val="Documentsubtitle"/>
                                  <w:spacing w:before="240" w:after="240" w:line="240" w:lineRule="auto"/>
                                </w:pPr>
                                <w:r w:rsidRPr="00DA32C3">
                                  <w:t>Česká republika – Ministerstvo průmyslu a obchodu</w:t>
                                </w:r>
                                <w:r>
                                  <w:t xml:space="preserve"> ČR</w:t>
                                </w:r>
                              </w:p>
                              <w:p w14:paraId="107B00C0" w14:textId="77777777" w:rsidR="005B5874" w:rsidRPr="001F090B" w:rsidRDefault="005B5874" w:rsidP="001F090B">
                                <w:pPr>
                                  <w:pStyle w:val="Documentsubtitle"/>
                                  <w:spacing w:after="240" w:line="240" w:lineRule="auto"/>
                                  <w:rPr>
                                    <w:b/>
                                  </w:rPr>
                                </w:pPr>
                                <w:r w:rsidRPr="001F090B">
                                  <w:rPr>
                                    <w:b/>
                                  </w:rPr>
                                  <w:t>Vstupní zpráva projektu</w:t>
                                </w:r>
                              </w:p>
                              <w:p w14:paraId="59D89014" w14:textId="77777777" w:rsidR="005B5874" w:rsidRPr="00DA32C3" w:rsidRDefault="005B5874" w:rsidP="00995275">
                                <w:r>
                                  <w:t>Únor</w:t>
                                </w:r>
                                <w:r w:rsidRPr="00DA32C3">
                                  <w:t xml:space="preserve"> 20</w:t>
                                </w: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B54FF" id="_x0000_t202" coordsize="21600,21600" o:spt="202" path="m,l,21600r21600,l21600,xe">
                    <v:stroke joinstyle="miter"/>
                    <v:path gradientshapeok="t" o:connecttype="rect"/>
                  </v:shapetype>
                  <v:shape id="_x0000_s1026" type="#_x0000_t202" style="position:absolute;margin-left:-43.9pt;margin-top:424.9pt;width:537pt;height:26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" stroked="f">
                    <v:textbox>
                      <w:txbxContent>
                        <w:p w14:paraId="1C0688DC" w14:textId="77777777" w:rsidR="005B5874" w:rsidRDefault="005B5874" w:rsidP="00995275">
                          <w:pPr>
                            <w:pStyle w:val="Documenttitle"/>
                            <w:rPr>
                              <w:lang w:val="cs-CZ"/>
                            </w:rPr>
                          </w:pPr>
                          <w:r w:rsidRPr="00370CEA">
                            <w:rPr>
                              <w:lang w:val="cs-CZ"/>
                            </w:rPr>
                            <w:t>Analýz</w:t>
                          </w:r>
                          <w:r>
                            <w:rPr>
                              <w:lang w:val="cs-CZ"/>
                            </w:rPr>
                            <w:t>a</w:t>
                          </w:r>
                          <w:r w:rsidRPr="00370CEA">
                            <w:rPr>
                              <w:lang w:val="cs-CZ"/>
                            </w:rPr>
                            <w:t xml:space="preserve"> tržní situace a specifikace vhodných forem podpory pro účely přípravy priority </w:t>
                          </w:r>
                          <w:r>
                            <w:rPr>
                              <w:lang w:val="cs-CZ"/>
                            </w:rPr>
                            <w:t>3</w:t>
                          </w:r>
                          <w:r w:rsidRPr="00370CEA">
                            <w:rPr>
                              <w:lang w:val="cs-CZ"/>
                            </w:rPr>
                            <w:t xml:space="preserve"> OP K - </w:t>
                          </w:r>
                          <w:r w:rsidRPr="009E69C2">
                            <w:rPr>
                              <w:lang w:val="cs-CZ"/>
                            </w:rPr>
                            <w:t>Posun k nízkouhlíkovému hospodářství</w:t>
                          </w:r>
                          <w:r w:rsidRPr="009E69C2" w:rsidDel="009E69C2">
                            <w:rPr>
                              <w:lang w:val="cs-CZ"/>
                            </w:rPr>
                            <w:t xml:space="preserve"> </w:t>
                          </w:r>
                          <w:r w:rsidRPr="00370CEA">
                            <w:rPr>
                              <w:lang w:val="cs-CZ"/>
                            </w:rPr>
                            <w:t xml:space="preserve">operačního programu zaměřeného na konkurenceschopnost pro období 2021 </w:t>
                          </w:r>
                          <w:r>
                            <w:rPr>
                              <w:lang w:val="cs-CZ"/>
                            </w:rPr>
                            <w:t>–</w:t>
                          </w:r>
                          <w:r w:rsidRPr="00370CEA">
                            <w:rPr>
                              <w:lang w:val="cs-CZ"/>
                            </w:rPr>
                            <w:t xml:space="preserve"> 2027</w:t>
                          </w:r>
                        </w:p>
                        <w:p w14:paraId="41BD2681" w14:textId="77777777" w:rsidR="005B5874" w:rsidRDefault="005B5874" w:rsidP="001F090B">
                          <w:pPr>
                            <w:pStyle w:val="Documentsubtitle"/>
                            <w:spacing w:before="240" w:after="240" w:line="240" w:lineRule="auto"/>
                          </w:pPr>
                          <w:r w:rsidRPr="00DA32C3">
                            <w:t>Česká republika – Ministerstvo průmyslu a obchodu</w:t>
                          </w:r>
                          <w:r>
                            <w:t xml:space="preserve"> ČR</w:t>
                          </w:r>
                        </w:p>
                        <w:p w14:paraId="107B00C0" w14:textId="77777777" w:rsidR="005B5874" w:rsidRPr="001F090B" w:rsidRDefault="005B5874" w:rsidP="001F090B">
                          <w:pPr>
                            <w:pStyle w:val="Documentsubtitle"/>
                            <w:spacing w:after="240" w:line="240" w:lineRule="auto"/>
                            <w:rPr>
                              <w:b/>
                            </w:rPr>
                          </w:pPr>
                          <w:r w:rsidRPr="001F090B">
                            <w:rPr>
                              <w:b/>
                            </w:rPr>
                            <w:t>Vstupní zpráva projektu</w:t>
                          </w:r>
                        </w:p>
                        <w:p w14:paraId="59D89014" w14:textId="77777777" w:rsidR="005B5874" w:rsidRPr="00DA32C3" w:rsidRDefault="005B5874" w:rsidP="00995275">
                          <w:r>
                            <w:t>Únor</w:t>
                          </w:r>
                          <w:r w:rsidRPr="00DA32C3">
                            <w:t xml:space="preserve"> 20</w:t>
                          </w:r>
                          <w:r>
                            <w:t>20</w:t>
                          </w:r>
                        </w:p>
                      </w:txbxContent>
                    </v:textbox>
                    <w10:wrap type="square"/>
                  </v:shape>
                </w:pict>
              </mc:Fallback>
            </mc:AlternateContent>
          </w:r>
          <w:r w:rsidR="00061444" w:rsidRPr="00995275">
            <w:rPr>
              <w:sz w:val="6"/>
              <w:szCs w:val="6"/>
            </w:rPr>
            <w:br w:type="page"/>
          </w:r>
        </w:p>
      </w:sdtContent>
    </w:sdt>
    <w:p w14:paraId="458CE142" w14:textId="77777777" w:rsidR="000157D2" w:rsidRPr="00C07596" w:rsidRDefault="000157D2" w:rsidP="00F46FDA">
      <w:pPr>
        <w:spacing w:after="120" w:line="240" w:lineRule="auto"/>
        <w:jc w:val="both"/>
        <w:rPr>
          <w:sz w:val="60"/>
          <w:szCs w:val="60"/>
        </w:rPr>
      </w:pPr>
      <w:bookmarkStart w:id="0" w:name="_Toc26542581"/>
      <w:r w:rsidRPr="00C07596">
        <w:rPr>
          <w:sz w:val="60"/>
          <w:szCs w:val="60"/>
        </w:rPr>
        <w:lastRenderedPageBreak/>
        <w:t>Obsah</w:t>
      </w:r>
    </w:p>
    <w:sdt>
      <w:sdtPr>
        <w:rPr>
          <w:rFonts w:asciiTheme="minorHAnsi" w:eastAsiaTheme="minorHAnsi" w:hAnsiTheme="minorHAnsi" w:cstheme="minorBidi"/>
          <w:b w:val="0"/>
          <w:bCs w:val="0"/>
          <w:color w:val="auto"/>
          <w:sz w:val="18"/>
          <w:szCs w:val="22"/>
          <w:lang w:eastAsia="en-US"/>
        </w:rPr>
        <w:id w:val="-533724187"/>
        <w:docPartObj>
          <w:docPartGallery w:val="Table of Contents"/>
          <w:docPartUnique/>
        </w:docPartObj>
      </w:sdtPr>
      <w:sdtEndPr/>
      <w:sdtContent>
        <w:p w14:paraId="48AA8681" w14:textId="77777777" w:rsidR="00E76DFB" w:rsidRDefault="00E76DFB" w:rsidP="00F46FDA">
          <w:pPr>
            <w:pStyle w:val="TOCHeading"/>
            <w:spacing w:line="240" w:lineRule="auto"/>
          </w:pPr>
        </w:p>
        <w:p w14:paraId="472AC3FC" w14:textId="131EFB2A" w:rsidR="00C15782" w:rsidRDefault="00E76DFB">
          <w:pPr>
            <w:pStyle w:val="TOC1"/>
            <w:rPr>
              <w:rFonts w:eastAsiaTheme="minorEastAsia"/>
              <w:noProof/>
              <w:sz w:val="22"/>
              <w:lang w:eastAsia="cs-CZ"/>
            </w:rPr>
          </w:pPr>
          <w:r>
            <w:fldChar w:fldCharType="begin"/>
          </w:r>
          <w:r>
            <w:instrText xml:space="preserve"> TOC \o "1-3" \h \z \u </w:instrText>
          </w:r>
          <w:r>
            <w:fldChar w:fldCharType="separate"/>
          </w:r>
          <w:hyperlink w:anchor="_Toc37248813" w:history="1">
            <w:r w:rsidR="00C15782" w:rsidRPr="000A0A67">
              <w:rPr>
                <w:rStyle w:val="Hyperlink"/>
                <w:noProof/>
              </w:rPr>
              <w:t>1</w:t>
            </w:r>
            <w:r w:rsidR="00C15782">
              <w:rPr>
                <w:rFonts w:eastAsiaTheme="minorEastAsia"/>
                <w:noProof/>
                <w:sz w:val="22"/>
                <w:lang w:eastAsia="cs-CZ"/>
              </w:rPr>
              <w:tab/>
            </w:r>
            <w:r w:rsidR="00C15782" w:rsidRPr="000A0A67">
              <w:rPr>
                <w:rStyle w:val="Hyperlink"/>
                <w:noProof/>
              </w:rPr>
              <w:t>Seznam zkratek a tabulek</w:t>
            </w:r>
            <w:r w:rsidR="00C15782">
              <w:rPr>
                <w:noProof/>
                <w:webHidden/>
              </w:rPr>
              <w:tab/>
            </w:r>
            <w:r w:rsidR="00C15782">
              <w:rPr>
                <w:noProof/>
                <w:webHidden/>
              </w:rPr>
              <w:fldChar w:fldCharType="begin"/>
            </w:r>
            <w:r w:rsidR="00C15782">
              <w:rPr>
                <w:noProof/>
                <w:webHidden/>
              </w:rPr>
              <w:instrText xml:space="preserve"> PAGEREF _Toc37248813 \h </w:instrText>
            </w:r>
            <w:r w:rsidR="00C15782">
              <w:rPr>
                <w:noProof/>
                <w:webHidden/>
              </w:rPr>
            </w:r>
            <w:r w:rsidR="00C15782">
              <w:rPr>
                <w:noProof/>
                <w:webHidden/>
              </w:rPr>
              <w:fldChar w:fldCharType="separate"/>
            </w:r>
            <w:r w:rsidR="00C15782">
              <w:rPr>
                <w:noProof/>
                <w:webHidden/>
              </w:rPr>
              <w:t>2</w:t>
            </w:r>
            <w:r w:rsidR="00C15782">
              <w:rPr>
                <w:noProof/>
                <w:webHidden/>
              </w:rPr>
              <w:fldChar w:fldCharType="end"/>
            </w:r>
          </w:hyperlink>
        </w:p>
        <w:p w14:paraId="4EAD6925" w14:textId="31E83DBD" w:rsidR="00C15782" w:rsidRDefault="00C15782">
          <w:pPr>
            <w:pStyle w:val="TOC1"/>
            <w:rPr>
              <w:rFonts w:eastAsiaTheme="minorEastAsia"/>
              <w:noProof/>
              <w:sz w:val="22"/>
              <w:lang w:eastAsia="cs-CZ"/>
            </w:rPr>
          </w:pPr>
          <w:hyperlink w:anchor="_Toc37248814" w:history="1">
            <w:r w:rsidRPr="000A0A67">
              <w:rPr>
                <w:rStyle w:val="Hyperlink"/>
                <w:noProof/>
              </w:rPr>
              <w:t>2</w:t>
            </w:r>
            <w:r>
              <w:rPr>
                <w:rFonts w:eastAsiaTheme="minorEastAsia"/>
                <w:noProof/>
                <w:sz w:val="22"/>
                <w:lang w:eastAsia="cs-CZ"/>
              </w:rPr>
              <w:tab/>
            </w:r>
            <w:r w:rsidRPr="000A0A67">
              <w:rPr>
                <w:rStyle w:val="Hyperlink"/>
                <w:noProof/>
              </w:rPr>
              <w:t>Předmět zprávy</w:t>
            </w:r>
            <w:r>
              <w:rPr>
                <w:noProof/>
                <w:webHidden/>
              </w:rPr>
              <w:tab/>
            </w:r>
            <w:r>
              <w:rPr>
                <w:noProof/>
                <w:webHidden/>
              </w:rPr>
              <w:fldChar w:fldCharType="begin"/>
            </w:r>
            <w:r>
              <w:rPr>
                <w:noProof/>
                <w:webHidden/>
              </w:rPr>
              <w:instrText xml:space="preserve"> PAGEREF _Toc37248814 \h </w:instrText>
            </w:r>
            <w:r>
              <w:rPr>
                <w:noProof/>
                <w:webHidden/>
              </w:rPr>
            </w:r>
            <w:r>
              <w:rPr>
                <w:noProof/>
                <w:webHidden/>
              </w:rPr>
              <w:fldChar w:fldCharType="separate"/>
            </w:r>
            <w:r>
              <w:rPr>
                <w:noProof/>
                <w:webHidden/>
              </w:rPr>
              <w:t>3</w:t>
            </w:r>
            <w:r>
              <w:rPr>
                <w:noProof/>
                <w:webHidden/>
              </w:rPr>
              <w:fldChar w:fldCharType="end"/>
            </w:r>
          </w:hyperlink>
        </w:p>
        <w:p w14:paraId="6DA79F08" w14:textId="76781E76" w:rsidR="00C15782" w:rsidRDefault="00C15782">
          <w:pPr>
            <w:pStyle w:val="TOC1"/>
            <w:rPr>
              <w:rFonts w:eastAsiaTheme="minorEastAsia"/>
              <w:noProof/>
              <w:sz w:val="22"/>
              <w:lang w:eastAsia="cs-CZ"/>
            </w:rPr>
          </w:pPr>
          <w:hyperlink w:anchor="_Toc37248815" w:history="1">
            <w:r w:rsidRPr="000A0A67">
              <w:rPr>
                <w:rStyle w:val="Hyperlink"/>
                <w:noProof/>
              </w:rPr>
              <w:t>3</w:t>
            </w:r>
            <w:r>
              <w:rPr>
                <w:rFonts w:eastAsiaTheme="minorEastAsia"/>
                <w:noProof/>
                <w:sz w:val="22"/>
                <w:lang w:eastAsia="cs-CZ"/>
              </w:rPr>
              <w:tab/>
            </w:r>
            <w:r w:rsidRPr="000A0A67">
              <w:rPr>
                <w:rStyle w:val="Hyperlink"/>
                <w:noProof/>
              </w:rPr>
              <w:t>Metodický postup</w:t>
            </w:r>
            <w:r>
              <w:rPr>
                <w:noProof/>
                <w:webHidden/>
              </w:rPr>
              <w:tab/>
            </w:r>
            <w:r>
              <w:rPr>
                <w:noProof/>
                <w:webHidden/>
              </w:rPr>
              <w:fldChar w:fldCharType="begin"/>
            </w:r>
            <w:r>
              <w:rPr>
                <w:noProof/>
                <w:webHidden/>
              </w:rPr>
              <w:instrText xml:space="preserve"> PAGEREF _Toc37248815 \h </w:instrText>
            </w:r>
            <w:r>
              <w:rPr>
                <w:noProof/>
                <w:webHidden/>
              </w:rPr>
            </w:r>
            <w:r>
              <w:rPr>
                <w:noProof/>
                <w:webHidden/>
              </w:rPr>
              <w:fldChar w:fldCharType="separate"/>
            </w:r>
            <w:r>
              <w:rPr>
                <w:noProof/>
                <w:webHidden/>
              </w:rPr>
              <w:t>4</w:t>
            </w:r>
            <w:r>
              <w:rPr>
                <w:noProof/>
                <w:webHidden/>
              </w:rPr>
              <w:fldChar w:fldCharType="end"/>
            </w:r>
          </w:hyperlink>
        </w:p>
        <w:p w14:paraId="528CFA01" w14:textId="69DC36BE" w:rsidR="00C15782" w:rsidRDefault="00C15782">
          <w:pPr>
            <w:pStyle w:val="TOC2"/>
            <w:rPr>
              <w:rFonts w:eastAsiaTheme="minorEastAsia"/>
              <w:noProof/>
              <w:sz w:val="22"/>
              <w:lang w:eastAsia="cs-CZ"/>
            </w:rPr>
          </w:pPr>
          <w:hyperlink w:anchor="_Toc37248816" w:history="1">
            <w:r w:rsidRPr="000A0A67">
              <w:rPr>
                <w:rStyle w:val="Hyperlink"/>
                <w:noProof/>
              </w:rPr>
              <w:t>3.1</w:t>
            </w:r>
            <w:r>
              <w:rPr>
                <w:rFonts w:eastAsiaTheme="minorEastAsia"/>
                <w:noProof/>
                <w:sz w:val="22"/>
                <w:lang w:eastAsia="cs-CZ"/>
              </w:rPr>
              <w:tab/>
            </w:r>
            <w:r w:rsidRPr="000A0A67">
              <w:rPr>
                <w:rStyle w:val="Hyperlink"/>
                <w:noProof/>
              </w:rPr>
              <w:t>Věcný přístup k identifikaci tržního selhání</w:t>
            </w:r>
            <w:r>
              <w:rPr>
                <w:noProof/>
                <w:webHidden/>
              </w:rPr>
              <w:tab/>
            </w:r>
            <w:r>
              <w:rPr>
                <w:noProof/>
                <w:webHidden/>
              </w:rPr>
              <w:fldChar w:fldCharType="begin"/>
            </w:r>
            <w:r>
              <w:rPr>
                <w:noProof/>
                <w:webHidden/>
              </w:rPr>
              <w:instrText xml:space="preserve"> PAGEREF _Toc37248816 \h </w:instrText>
            </w:r>
            <w:r>
              <w:rPr>
                <w:noProof/>
                <w:webHidden/>
              </w:rPr>
            </w:r>
            <w:r>
              <w:rPr>
                <w:noProof/>
                <w:webHidden/>
              </w:rPr>
              <w:fldChar w:fldCharType="separate"/>
            </w:r>
            <w:r>
              <w:rPr>
                <w:noProof/>
                <w:webHidden/>
              </w:rPr>
              <w:t>5</w:t>
            </w:r>
            <w:r>
              <w:rPr>
                <w:noProof/>
                <w:webHidden/>
              </w:rPr>
              <w:fldChar w:fldCharType="end"/>
            </w:r>
          </w:hyperlink>
        </w:p>
        <w:p w14:paraId="055FDB33" w14:textId="2F6B2826" w:rsidR="00C15782" w:rsidRDefault="00C15782">
          <w:pPr>
            <w:pStyle w:val="TOC2"/>
            <w:rPr>
              <w:rFonts w:eastAsiaTheme="minorEastAsia"/>
              <w:noProof/>
              <w:sz w:val="22"/>
              <w:lang w:eastAsia="cs-CZ"/>
            </w:rPr>
          </w:pPr>
          <w:hyperlink w:anchor="_Toc37248817" w:history="1">
            <w:r w:rsidRPr="000A0A67">
              <w:rPr>
                <w:rStyle w:val="Hyperlink"/>
                <w:noProof/>
              </w:rPr>
              <w:t>3.2</w:t>
            </w:r>
            <w:r>
              <w:rPr>
                <w:rFonts w:eastAsiaTheme="minorEastAsia"/>
                <w:noProof/>
                <w:sz w:val="22"/>
                <w:lang w:eastAsia="cs-CZ"/>
              </w:rPr>
              <w:tab/>
            </w:r>
            <w:r w:rsidRPr="000A0A67">
              <w:rPr>
                <w:rStyle w:val="Hyperlink"/>
                <w:noProof/>
              </w:rPr>
              <w:t>Výběr evaluačních metod pro realizaci Projektu</w:t>
            </w:r>
            <w:r>
              <w:rPr>
                <w:noProof/>
                <w:webHidden/>
              </w:rPr>
              <w:tab/>
            </w:r>
            <w:r>
              <w:rPr>
                <w:noProof/>
                <w:webHidden/>
              </w:rPr>
              <w:fldChar w:fldCharType="begin"/>
            </w:r>
            <w:r>
              <w:rPr>
                <w:noProof/>
                <w:webHidden/>
              </w:rPr>
              <w:instrText xml:space="preserve"> PAGEREF _Toc37248817 \h </w:instrText>
            </w:r>
            <w:r>
              <w:rPr>
                <w:noProof/>
                <w:webHidden/>
              </w:rPr>
            </w:r>
            <w:r>
              <w:rPr>
                <w:noProof/>
                <w:webHidden/>
              </w:rPr>
              <w:fldChar w:fldCharType="separate"/>
            </w:r>
            <w:r>
              <w:rPr>
                <w:noProof/>
                <w:webHidden/>
              </w:rPr>
              <w:t>6</w:t>
            </w:r>
            <w:r>
              <w:rPr>
                <w:noProof/>
                <w:webHidden/>
              </w:rPr>
              <w:fldChar w:fldCharType="end"/>
            </w:r>
          </w:hyperlink>
        </w:p>
        <w:p w14:paraId="4968D70B" w14:textId="6B80DF8D" w:rsidR="00C15782" w:rsidRDefault="00C15782">
          <w:pPr>
            <w:pStyle w:val="TOC1"/>
            <w:rPr>
              <w:rFonts w:eastAsiaTheme="minorEastAsia"/>
              <w:noProof/>
              <w:sz w:val="22"/>
              <w:lang w:eastAsia="cs-CZ"/>
            </w:rPr>
          </w:pPr>
          <w:hyperlink w:anchor="_Toc37248818" w:history="1">
            <w:r w:rsidRPr="000A0A67">
              <w:rPr>
                <w:rStyle w:val="Hyperlink"/>
                <w:noProof/>
              </w:rPr>
              <w:t>4</w:t>
            </w:r>
            <w:r>
              <w:rPr>
                <w:rFonts w:eastAsiaTheme="minorEastAsia"/>
                <w:noProof/>
                <w:sz w:val="22"/>
                <w:lang w:eastAsia="cs-CZ"/>
              </w:rPr>
              <w:tab/>
            </w:r>
            <w:r w:rsidRPr="000A0A67">
              <w:rPr>
                <w:rStyle w:val="Hyperlink"/>
                <w:noProof/>
              </w:rPr>
              <w:t>Detailní postup realizace jednotlivých evaluačních metod</w:t>
            </w:r>
            <w:r>
              <w:rPr>
                <w:noProof/>
                <w:webHidden/>
              </w:rPr>
              <w:tab/>
            </w:r>
            <w:r>
              <w:rPr>
                <w:noProof/>
                <w:webHidden/>
              </w:rPr>
              <w:fldChar w:fldCharType="begin"/>
            </w:r>
            <w:r>
              <w:rPr>
                <w:noProof/>
                <w:webHidden/>
              </w:rPr>
              <w:instrText xml:space="preserve"> PAGEREF _Toc37248818 \h </w:instrText>
            </w:r>
            <w:r>
              <w:rPr>
                <w:noProof/>
                <w:webHidden/>
              </w:rPr>
            </w:r>
            <w:r>
              <w:rPr>
                <w:noProof/>
                <w:webHidden/>
              </w:rPr>
              <w:fldChar w:fldCharType="separate"/>
            </w:r>
            <w:r>
              <w:rPr>
                <w:noProof/>
                <w:webHidden/>
              </w:rPr>
              <w:t>7</w:t>
            </w:r>
            <w:r>
              <w:rPr>
                <w:noProof/>
                <w:webHidden/>
              </w:rPr>
              <w:fldChar w:fldCharType="end"/>
            </w:r>
          </w:hyperlink>
        </w:p>
        <w:p w14:paraId="560E9E95" w14:textId="31BD010C" w:rsidR="00C15782" w:rsidRDefault="00C15782">
          <w:pPr>
            <w:pStyle w:val="TOC2"/>
            <w:rPr>
              <w:rFonts w:eastAsiaTheme="minorEastAsia"/>
              <w:noProof/>
              <w:sz w:val="22"/>
              <w:lang w:eastAsia="cs-CZ"/>
            </w:rPr>
          </w:pPr>
          <w:hyperlink w:anchor="_Toc37248819" w:history="1">
            <w:r w:rsidRPr="000A0A67">
              <w:rPr>
                <w:rStyle w:val="Hyperlink"/>
                <w:noProof/>
              </w:rPr>
              <w:t>4.1</w:t>
            </w:r>
            <w:r>
              <w:rPr>
                <w:rFonts w:eastAsiaTheme="minorEastAsia"/>
                <w:noProof/>
                <w:sz w:val="22"/>
                <w:lang w:eastAsia="cs-CZ"/>
              </w:rPr>
              <w:tab/>
            </w:r>
            <w:r w:rsidRPr="000A0A67">
              <w:rPr>
                <w:rStyle w:val="Hyperlink"/>
                <w:noProof/>
              </w:rPr>
              <w:t>Analýza sekundárních zdrojů a dat</w:t>
            </w:r>
            <w:r>
              <w:rPr>
                <w:noProof/>
                <w:webHidden/>
              </w:rPr>
              <w:tab/>
            </w:r>
            <w:r>
              <w:rPr>
                <w:noProof/>
                <w:webHidden/>
              </w:rPr>
              <w:fldChar w:fldCharType="begin"/>
            </w:r>
            <w:r>
              <w:rPr>
                <w:noProof/>
                <w:webHidden/>
              </w:rPr>
              <w:instrText xml:space="preserve"> PAGEREF _Toc37248819 \h </w:instrText>
            </w:r>
            <w:r>
              <w:rPr>
                <w:noProof/>
                <w:webHidden/>
              </w:rPr>
            </w:r>
            <w:r>
              <w:rPr>
                <w:noProof/>
                <w:webHidden/>
              </w:rPr>
              <w:fldChar w:fldCharType="separate"/>
            </w:r>
            <w:r>
              <w:rPr>
                <w:noProof/>
                <w:webHidden/>
              </w:rPr>
              <w:t>7</w:t>
            </w:r>
            <w:r>
              <w:rPr>
                <w:noProof/>
                <w:webHidden/>
              </w:rPr>
              <w:fldChar w:fldCharType="end"/>
            </w:r>
          </w:hyperlink>
        </w:p>
        <w:p w14:paraId="09E68EF4" w14:textId="18176FA1" w:rsidR="00C15782" w:rsidRDefault="00C15782">
          <w:pPr>
            <w:pStyle w:val="TOC2"/>
            <w:rPr>
              <w:rFonts w:eastAsiaTheme="minorEastAsia"/>
              <w:noProof/>
              <w:sz w:val="22"/>
              <w:lang w:eastAsia="cs-CZ"/>
            </w:rPr>
          </w:pPr>
          <w:hyperlink w:anchor="_Toc37248820" w:history="1">
            <w:r w:rsidRPr="000A0A67">
              <w:rPr>
                <w:rStyle w:val="Hyperlink"/>
                <w:noProof/>
              </w:rPr>
              <w:t>4.2</w:t>
            </w:r>
            <w:r>
              <w:rPr>
                <w:rFonts w:eastAsiaTheme="minorEastAsia"/>
                <w:noProof/>
                <w:sz w:val="22"/>
                <w:lang w:eastAsia="cs-CZ"/>
              </w:rPr>
              <w:tab/>
            </w:r>
            <w:r w:rsidRPr="000A0A67">
              <w:rPr>
                <w:rStyle w:val="Hyperlink"/>
                <w:noProof/>
              </w:rPr>
              <w:t>Dotazníkové šetření</w:t>
            </w:r>
            <w:r>
              <w:rPr>
                <w:noProof/>
                <w:webHidden/>
              </w:rPr>
              <w:tab/>
            </w:r>
            <w:r>
              <w:rPr>
                <w:noProof/>
                <w:webHidden/>
              </w:rPr>
              <w:fldChar w:fldCharType="begin"/>
            </w:r>
            <w:r>
              <w:rPr>
                <w:noProof/>
                <w:webHidden/>
              </w:rPr>
              <w:instrText xml:space="preserve"> PAGEREF _Toc37248820 \h </w:instrText>
            </w:r>
            <w:r>
              <w:rPr>
                <w:noProof/>
                <w:webHidden/>
              </w:rPr>
            </w:r>
            <w:r>
              <w:rPr>
                <w:noProof/>
                <w:webHidden/>
              </w:rPr>
              <w:fldChar w:fldCharType="separate"/>
            </w:r>
            <w:r>
              <w:rPr>
                <w:noProof/>
                <w:webHidden/>
              </w:rPr>
              <w:t>8</w:t>
            </w:r>
            <w:r>
              <w:rPr>
                <w:noProof/>
                <w:webHidden/>
              </w:rPr>
              <w:fldChar w:fldCharType="end"/>
            </w:r>
          </w:hyperlink>
        </w:p>
        <w:p w14:paraId="6D06CB6E" w14:textId="2D44C084" w:rsidR="00C15782" w:rsidRDefault="00C15782">
          <w:pPr>
            <w:pStyle w:val="TOC2"/>
            <w:rPr>
              <w:rFonts w:eastAsiaTheme="minorEastAsia"/>
              <w:noProof/>
              <w:sz w:val="22"/>
              <w:lang w:eastAsia="cs-CZ"/>
            </w:rPr>
          </w:pPr>
          <w:hyperlink w:anchor="_Toc37248821" w:history="1">
            <w:r w:rsidRPr="000A0A67">
              <w:rPr>
                <w:rStyle w:val="Hyperlink"/>
                <w:noProof/>
              </w:rPr>
              <w:t>4.3</w:t>
            </w:r>
            <w:r>
              <w:rPr>
                <w:rFonts w:eastAsiaTheme="minorEastAsia"/>
                <w:noProof/>
                <w:sz w:val="22"/>
                <w:lang w:eastAsia="cs-CZ"/>
              </w:rPr>
              <w:tab/>
            </w:r>
            <w:r w:rsidRPr="000A0A67">
              <w:rPr>
                <w:rStyle w:val="Hyperlink"/>
                <w:noProof/>
              </w:rPr>
              <w:t>Fokusní skupina</w:t>
            </w:r>
            <w:r>
              <w:rPr>
                <w:noProof/>
                <w:webHidden/>
              </w:rPr>
              <w:tab/>
            </w:r>
            <w:r>
              <w:rPr>
                <w:noProof/>
                <w:webHidden/>
              </w:rPr>
              <w:fldChar w:fldCharType="begin"/>
            </w:r>
            <w:r>
              <w:rPr>
                <w:noProof/>
                <w:webHidden/>
              </w:rPr>
              <w:instrText xml:space="preserve"> PAGEREF _Toc37248821 \h </w:instrText>
            </w:r>
            <w:r>
              <w:rPr>
                <w:noProof/>
                <w:webHidden/>
              </w:rPr>
            </w:r>
            <w:r>
              <w:rPr>
                <w:noProof/>
                <w:webHidden/>
              </w:rPr>
              <w:fldChar w:fldCharType="separate"/>
            </w:r>
            <w:r>
              <w:rPr>
                <w:noProof/>
                <w:webHidden/>
              </w:rPr>
              <w:t>9</w:t>
            </w:r>
            <w:r>
              <w:rPr>
                <w:noProof/>
                <w:webHidden/>
              </w:rPr>
              <w:fldChar w:fldCharType="end"/>
            </w:r>
          </w:hyperlink>
        </w:p>
        <w:p w14:paraId="38B71BEB" w14:textId="3F4DB943" w:rsidR="00C15782" w:rsidRDefault="00C15782">
          <w:pPr>
            <w:pStyle w:val="TOC2"/>
            <w:rPr>
              <w:rFonts w:eastAsiaTheme="minorEastAsia"/>
              <w:noProof/>
              <w:sz w:val="22"/>
              <w:lang w:eastAsia="cs-CZ"/>
            </w:rPr>
          </w:pPr>
          <w:hyperlink w:anchor="_Toc37248822" w:history="1">
            <w:r w:rsidRPr="000A0A67">
              <w:rPr>
                <w:rStyle w:val="Hyperlink"/>
                <w:noProof/>
              </w:rPr>
              <w:t>4.4</w:t>
            </w:r>
            <w:r>
              <w:rPr>
                <w:rFonts w:eastAsiaTheme="minorEastAsia"/>
                <w:noProof/>
                <w:sz w:val="22"/>
                <w:lang w:eastAsia="cs-CZ"/>
              </w:rPr>
              <w:tab/>
            </w:r>
            <w:r w:rsidRPr="000A0A67">
              <w:rPr>
                <w:rStyle w:val="Hyperlink"/>
                <w:noProof/>
              </w:rPr>
              <w:t>Individuální hloubkové rozhovory</w:t>
            </w:r>
            <w:r>
              <w:rPr>
                <w:noProof/>
                <w:webHidden/>
              </w:rPr>
              <w:tab/>
            </w:r>
            <w:r>
              <w:rPr>
                <w:noProof/>
                <w:webHidden/>
              </w:rPr>
              <w:fldChar w:fldCharType="begin"/>
            </w:r>
            <w:r>
              <w:rPr>
                <w:noProof/>
                <w:webHidden/>
              </w:rPr>
              <w:instrText xml:space="preserve"> PAGEREF _Toc37248822 \h </w:instrText>
            </w:r>
            <w:r>
              <w:rPr>
                <w:noProof/>
                <w:webHidden/>
              </w:rPr>
            </w:r>
            <w:r>
              <w:rPr>
                <w:noProof/>
                <w:webHidden/>
              </w:rPr>
              <w:fldChar w:fldCharType="separate"/>
            </w:r>
            <w:r>
              <w:rPr>
                <w:noProof/>
                <w:webHidden/>
              </w:rPr>
              <w:t>10</w:t>
            </w:r>
            <w:r>
              <w:rPr>
                <w:noProof/>
                <w:webHidden/>
              </w:rPr>
              <w:fldChar w:fldCharType="end"/>
            </w:r>
          </w:hyperlink>
        </w:p>
        <w:p w14:paraId="63B6E202" w14:textId="77F8F11B" w:rsidR="00C15782" w:rsidRDefault="00C15782">
          <w:pPr>
            <w:pStyle w:val="TOC2"/>
            <w:rPr>
              <w:rFonts w:eastAsiaTheme="minorEastAsia"/>
              <w:noProof/>
              <w:sz w:val="22"/>
              <w:lang w:eastAsia="cs-CZ"/>
            </w:rPr>
          </w:pPr>
          <w:hyperlink w:anchor="_Toc37248823" w:history="1">
            <w:r w:rsidRPr="000A0A67">
              <w:rPr>
                <w:rStyle w:val="Hyperlink"/>
                <w:noProof/>
              </w:rPr>
              <w:t>4.5</w:t>
            </w:r>
            <w:r>
              <w:rPr>
                <w:rFonts w:eastAsiaTheme="minorEastAsia"/>
                <w:noProof/>
                <w:sz w:val="22"/>
                <w:lang w:eastAsia="cs-CZ"/>
              </w:rPr>
              <w:tab/>
            </w:r>
            <w:r w:rsidRPr="000A0A67">
              <w:rPr>
                <w:rStyle w:val="Hyperlink"/>
                <w:noProof/>
              </w:rPr>
              <w:t>Expertní panel</w:t>
            </w:r>
            <w:r>
              <w:rPr>
                <w:noProof/>
                <w:webHidden/>
              </w:rPr>
              <w:tab/>
            </w:r>
            <w:r>
              <w:rPr>
                <w:noProof/>
                <w:webHidden/>
              </w:rPr>
              <w:fldChar w:fldCharType="begin"/>
            </w:r>
            <w:r>
              <w:rPr>
                <w:noProof/>
                <w:webHidden/>
              </w:rPr>
              <w:instrText xml:space="preserve"> PAGEREF _Toc37248823 \h </w:instrText>
            </w:r>
            <w:r>
              <w:rPr>
                <w:noProof/>
                <w:webHidden/>
              </w:rPr>
            </w:r>
            <w:r>
              <w:rPr>
                <w:noProof/>
                <w:webHidden/>
              </w:rPr>
              <w:fldChar w:fldCharType="separate"/>
            </w:r>
            <w:r>
              <w:rPr>
                <w:noProof/>
                <w:webHidden/>
              </w:rPr>
              <w:t>12</w:t>
            </w:r>
            <w:r>
              <w:rPr>
                <w:noProof/>
                <w:webHidden/>
              </w:rPr>
              <w:fldChar w:fldCharType="end"/>
            </w:r>
          </w:hyperlink>
        </w:p>
        <w:p w14:paraId="7A09462F" w14:textId="673F76A2" w:rsidR="00C15782" w:rsidRDefault="00C15782">
          <w:pPr>
            <w:pStyle w:val="TOC1"/>
            <w:rPr>
              <w:rFonts w:eastAsiaTheme="minorEastAsia"/>
              <w:noProof/>
              <w:sz w:val="22"/>
              <w:lang w:eastAsia="cs-CZ"/>
            </w:rPr>
          </w:pPr>
          <w:hyperlink w:anchor="_Toc37248824" w:history="1">
            <w:r w:rsidRPr="000A0A67">
              <w:rPr>
                <w:rStyle w:val="Hyperlink"/>
                <w:noProof/>
              </w:rPr>
              <w:t>5</w:t>
            </w:r>
            <w:r>
              <w:rPr>
                <w:rFonts w:eastAsiaTheme="minorEastAsia"/>
                <w:noProof/>
                <w:sz w:val="22"/>
                <w:lang w:eastAsia="cs-CZ"/>
              </w:rPr>
              <w:tab/>
            </w:r>
            <w:r w:rsidRPr="000A0A67">
              <w:rPr>
                <w:rStyle w:val="Hyperlink"/>
                <w:noProof/>
              </w:rPr>
              <w:t>Harmonogram plnění</w:t>
            </w:r>
            <w:r>
              <w:rPr>
                <w:noProof/>
                <w:webHidden/>
              </w:rPr>
              <w:tab/>
            </w:r>
            <w:r>
              <w:rPr>
                <w:noProof/>
                <w:webHidden/>
              </w:rPr>
              <w:fldChar w:fldCharType="begin"/>
            </w:r>
            <w:r>
              <w:rPr>
                <w:noProof/>
                <w:webHidden/>
              </w:rPr>
              <w:instrText xml:space="preserve"> PAGEREF _Toc37248824 \h </w:instrText>
            </w:r>
            <w:r>
              <w:rPr>
                <w:noProof/>
                <w:webHidden/>
              </w:rPr>
            </w:r>
            <w:r>
              <w:rPr>
                <w:noProof/>
                <w:webHidden/>
              </w:rPr>
              <w:fldChar w:fldCharType="separate"/>
            </w:r>
            <w:r>
              <w:rPr>
                <w:noProof/>
                <w:webHidden/>
              </w:rPr>
              <w:t>14</w:t>
            </w:r>
            <w:r>
              <w:rPr>
                <w:noProof/>
                <w:webHidden/>
              </w:rPr>
              <w:fldChar w:fldCharType="end"/>
            </w:r>
          </w:hyperlink>
        </w:p>
        <w:p w14:paraId="50D662A6" w14:textId="4BDADEB5" w:rsidR="00C15782" w:rsidRDefault="00C15782">
          <w:pPr>
            <w:pStyle w:val="TOC2"/>
            <w:rPr>
              <w:rFonts w:eastAsiaTheme="minorEastAsia"/>
              <w:noProof/>
              <w:sz w:val="22"/>
              <w:lang w:eastAsia="cs-CZ"/>
            </w:rPr>
          </w:pPr>
          <w:hyperlink w:anchor="_Toc37248825" w:history="1">
            <w:r w:rsidRPr="000A0A67">
              <w:rPr>
                <w:rStyle w:val="Hyperlink"/>
                <w:noProof/>
              </w:rPr>
              <w:t>5.1</w:t>
            </w:r>
            <w:r>
              <w:rPr>
                <w:rFonts w:eastAsiaTheme="minorEastAsia"/>
                <w:noProof/>
                <w:sz w:val="22"/>
                <w:lang w:eastAsia="cs-CZ"/>
              </w:rPr>
              <w:tab/>
            </w:r>
            <w:r w:rsidRPr="000A0A67">
              <w:rPr>
                <w:rStyle w:val="Hyperlink"/>
                <w:noProof/>
              </w:rPr>
              <w:t>Principy logické provázanosti činností a minimalizace zbytných kroků</w:t>
            </w:r>
            <w:r>
              <w:rPr>
                <w:noProof/>
                <w:webHidden/>
              </w:rPr>
              <w:tab/>
            </w:r>
            <w:r>
              <w:rPr>
                <w:noProof/>
                <w:webHidden/>
              </w:rPr>
              <w:fldChar w:fldCharType="begin"/>
            </w:r>
            <w:r>
              <w:rPr>
                <w:noProof/>
                <w:webHidden/>
              </w:rPr>
              <w:instrText xml:space="preserve"> PAGEREF _Toc37248825 \h </w:instrText>
            </w:r>
            <w:r>
              <w:rPr>
                <w:noProof/>
                <w:webHidden/>
              </w:rPr>
            </w:r>
            <w:r>
              <w:rPr>
                <w:noProof/>
                <w:webHidden/>
              </w:rPr>
              <w:fldChar w:fldCharType="separate"/>
            </w:r>
            <w:r>
              <w:rPr>
                <w:noProof/>
                <w:webHidden/>
              </w:rPr>
              <w:t>16</w:t>
            </w:r>
            <w:r>
              <w:rPr>
                <w:noProof/>
                <w:webHidden/>
              </w:rPr>
              <w:fldChar w:fldCharType="end"/>
            </w:r>
          </w:hyperlink>
        </w:p>
        <w:p w14:paraId="4B935199" w14:textId="1E4EFE9E" w:rsidR="00C15782" w:rsidRDefault="00C15782">
          <w:pPr>
            <w:pStyle w:val="TOC1"/>
            <w:rPr>
              <w:rFonts w:eastAsiaTheme="minorEastAsia"/>
              <w:noProof/>
              <w:sz w:val="22"/>
              <w:lang w:eastAsia="cs-CZ"/>
            </w:rPr>
          </w:pPr>
          <w:hyperlink w:anchor="_Toc37248826" w:history="1">
            <w:r w:rsidRPr="000A0A67">
              <w:rPr>
                <w:rStyle w:val="Hyperlink"/>
                <w:noProof/>
              </w:rPr>
              <w:t>6</w:t>
            </w:r>
            <w:r>
              <w:rPr>
                <w:rFonts w:eastAsiaTheme="minorEastAsia"/>
                <w:noProof/>
                <w:sz w:val="22"/>
                <w:lang w:eastAsia="cs-CZ"/>
              </w:rPr>
              <w:tab/>
            </w:r>
            <w:r w:rsidRPr="000A0A67">
              <w:rPr>
                <w:rStyle w:val="Hyperlink"/>
                <w:noProof/>
              </w:rPr>
              <w:t>Dosavadní zjištění a z nich plynoucí hypotézy</w:t>
            </w:r>
            <w:r>
              <w:rPr>
                <w:noProof/>
                <w:webHidden/>
              </w:rPr>
              <w:tab/>
            </w:r>
            <w:r>
              <w:rPr>
                <w:noProof/>
                <w:webHidden/>
              </w:rPr>
              <w:fldChar w:fldCharType="begin"/>
            </w:r>
            <w:r>
              <w:rPr>
                <w:noProof/>
                <w:webHidden/>
              </w:rPr>
              <w:instrText xml:space="preserve"> PAGEREF _Toc37248826 \h </w:instrText>
            </w:r>
            <w:r>
              <w:rPr>
                <w:noProof/>
                <w:webHidden/>
              </w:rPr>
            </w:r>
            <w:r>
              <w:rPr>
                <w:noProof/>
                <w:webHidden/>
              </w:rPr>
              <w:fldChar w:fldCharType="separate"/>
            </w:r>
            <w:r>
              <w:rPr>
                <w:noProof/>
                <w:webHidden/>
              </w:rPr>
              <w:t>17</w:t>
            </w:r>
            <w:r>
              <w:rPr>
                <w:noProof/>
                <w:webHidden/>
              </w:rPr>
              <w:fldChar w:fldCharType="end"/>
            </w:r>
          </w:hyperlink>
        </w:p>
        <w:p w14:paraId="6DAE2582" w14:textId="7E8A0626" w:rsidR="00C15782" w:rsidRDefault="00C15782">
          <w:pPr>
            <w:pStyle w:val="TOC1"/>
            <w:rPr>
              <w:rFonts w:eastAsiaTheme="minorEastAsia"/>
              <w:noProof/>
              <w:sz w:val="22"/>
              <w:lang w:eastAsia="cs-CZ"/>
            </w:rPr>
          </w:pPr>
          <w:hyperlink w:anchor="_Toc37248827" w:history="1">
            <w:r w:rsidRPr="000A0A67">
              <w:rPr>
                <w:rStyle w:val="Hyperlink"/>
                <w:noProof/>
              </w:rPr>
              <w:t>Přílohy</w:t>
            </w:r>
            <w:r>
              <w:rPr>
                <w:noProof/>
                <w:webHidden/>
              </w:rPr>
              <w:tab/>
            </w:r>
            <w:r>
              <w:rPr>
                <w:noProof/>
                <w:webHidden/>
              </w:rPr>
              <w:fldChar w:fldCharType="begin"/>
            </w:r>
            <w:r>
              <w:rPr>
                <w:noProof/>
                <w:webHidden/>
              </w:rPr>
              <w:instrText xml:space="preserve"> PAGEREF _Toc37248827 \h </w:instrText>
            </w:r>
            <w:r>
              <w:rPr>
                <w:noProof/>
                <w:webHidden/>
              </w:rPr>
            </w:r>
            <w:r>
              <w:rPr>
                <w:noProof/>
                <w:webHidden/>
              </w:rPr>
              <w:fldChar w:fldCharType="separate"/>
            </w:r>
            <w:r>
              <w:rPr>
                <w:noProof/>
                <w:webHidden/>
              </w:rPr>
              <w:t>18</w:t>
            </w:r>
            <w:r>
              <w:rPr>
                <w:noProof/>
                <w:webHidden/>
              </w:rPr>
              <w:fldChar w:fldCharType="end"/>
            </w:r>
          </w:hyperlink>
        </w:p>
        <w:p w14:paraId="4CE1DEA4" w14:textId="4B52C3AF" w:rsidR="00C15782" w:rsidRDefault="00C15782">
          <w:pPr>
            <w:pStyle w:val="TOC1"/>
            <w:rPr>
              <w:rFonts w:eastAsiaTheme="minorEastAsia"/>
              <w:noProof/>
              <w:sz w:val="22"/>
              <w:lang w:eastAsia="cs-CZ"/>
            </w:rPr>
          </w:pPr>
          <w:hyperlink w:anchor="_Toc37248828" w:history="1">
            <w:r w:rsidRPr="000A0A67">
              <w:rPr>
                <w:rStyle w:val="Hyperlink"/>
                <w:noProof/>
              </w:rPr>
              <w:t>Příloha 1: Datový požadavek Dodavatele a předaná data</w:t>
            </w:r>
            <w:r>
              <w:rPr>
                <w:noProof/>
                <w:webHidden/>
              </w:rPr>
              <w:tab/>
            </w:r>
            <w:r>
              <w:rPr>
                <w:noProof/>
                <w:webHidden/>
              </w:rPr>
              <w:fldChar w:fldCharType="begin"/>
            </w:r>
            <w:r>
              <w:rPr>
                <w:noProof/>
                <w:webHidden/>
              </w:rPr>
              <w:instrText xml:space="preserve"> PAGEREF _Toc37248828 \h </w:instrText>
            </w:r>
            <w:r>
              <w:rPr>
                <w:noProof/>
                <w:webHidden/>
              </w:rPr>
            </w:r>
            <w:r>
              <w:rPr>
                <w:noProof/>
                <w:webHidden/>
              </w:rPr>
              <w:fldChar w:fldCharType="separate"/>
            </w:r>
            <w:r>
              <w:rPr>
                <w:noProof/>
                <w:webHidden/>
              </w:rPr>
              <w:t>19</w:t>
            </w:r>
            <w:r>
              <w:rPr>
                <w:noProof/>
                <w:webHidden/>
              </w:rPr>
              <w:fldChar w:fldCharType="end"/>
            </w:r>
          </w:hyperlink>
        </w:p>
        <w:p w14:paraId="10272182" w14:textId="31B17D2F" w:rsidR="00C15782" w:rsidRDefault="00C15782">
          <w:pPr>
            <w:pStyle w:val="TOC1"/>
            <w:rPr>
              <w:rFonts w:eastAsiaTheme="minorEastAsia"/>
              <w:noProof/>
              <w:sz w:val="22"/>
              <w:lang w:eastAsia="cs-CZ"/>
            </w:rPr>
          </w:pPr>
          <w:hyperlink w:anchor="_Toc37248829" w:history="1">
            <w:r w:rsidRPr="000A0A67">
              <w:rPr>
                <w:rStyle w:val="Hyperlink"/>
                <w:noProof/>
              </w:rPr>
              <w:t>Příloha 2: Návrhy scénářů</w:t>
            </w:r>
            <w:r>
              <w:rPr>
                <w:noProof/>
                <w:webHidden/>
              </w:rPr>
              <w:tab/>
            </w:r>
            <w:r>
              <w:rPr>
                <w:noProof/>
                <w:webHidden/>
              </w:rPr>
              <w:fldChar w:fldCharType="begin"/>
            </w:r>
            <w:r>
              <w:rPr>
                <w:noProof/>
                <w:webHidden/>
              </w:rPr>
              <w:instrText xml:space="preserve"> PAGEREF _Toc37248829 \h </w:instrText>
            </w:r>
            <w:r>
              <w:rPr>
                <w:noProof/>
                <w:webHidden/>
              </w:rPr>
            </w:r>
            <w:r>
              <w:rPr>
                <w:noProof/>
                <w:webHidden/>
              </w:rPr>
              <w:fldChar w:fldCharType="separate"/>
            </w:r>
            <w:r>
              <w:rPr>
                <w:noProof/>
                <w:webHidden/>
              </w:rPr>
              <w:t>20</w:t>
            </w:r>
            <w:r>
              <w:rPr>
                <w:noProof/>
                <w:webHidden/>
              </w:rPr>
              <w:fldChar w:fldCharType="end"/>
            </w:r>
          </w:hyperlink>
        </w:p>
        <w:p w14:paraId="483D293B" w14:textId="5A4AC67E" w:rsidR="00C15782" w:rsidRDefault="00C15782">
          <w:pPr>
            <w:pStyle w:val="TOC1"/>
            <w:rPr>
              <w:rFonts w:eastAsiaTheme="minorEastAsia"/>
              <w:noProof/>
              <w:sz w:val="22"/>
              <w:lang w:eastAsia="cs-CZ"/>
            </w:rPr>
          </w:pPr>
          <w:hyperlink w:anchor="_Toc37248830" w:history="1">
            <w:r w:rsidRPr="000A0A67">
              <w:rPr>
                <w:rStyle w:val="Hyperlink"/>
                <w:noProof/>
              </w:rPr>
              <w:t>Příloha 3: Přehled navrhovaných evaluačních metod a jejich výhod a omezení</w:t>
            </w:r>
            <w:r>
              <w:rPr>
                <w:noProof/>
                <w:webHidden/>
              </w:rPr>
              <w:tab/>
            </w:r>
            <w:r>
              <w:rPr>
                <w:noProof/>
                <w:webHidden/>
              </w:rPr>
              <w:fldChar w:fldCharType="begin"/>
            </w:r>
            <w:r>
              <w:rPr>
                <w:noProof/>
                <w:webHidden/>
              </w:rPr>
              <w:instrText xml:space="preserve"> PAGEREF _Toc37248830 \h </w:instrText>
            </w:r>
            <w:r>
              <w:rPr>
                <w:noProof/>
                <w:webHidden/>
              </w:rPr>
            </w:r>
            <w:r>
              <w:rPr>
                <w:noProof/>
                <w:webHidden/>
              </w:rPr>
              <w:fldChar w:fldCharType="separate"/>
            </w:r>
            <w:r>
              <w:rPr>
                <w:noProof/>
                <w:webHidden/>
              </w:rPr>
              <w:t>29</w:t>
            </w:r>
            <w:r>
              <w:rPr>
                <w:noProof/>
                <w:webHidden/>
              </w:rPr>
              <w:fldChar w:fldCharType="end"/>
            </w:r>
          </w:hyperlink>
        </w:p>
        <w:p w14:paraId="51185A68" w14:textId="33907023" w:rsidR="00E76DFB" w:rsidRDefault="00E76DFB" w:rsidP="00F46FDA">
          <w:pPr>
            <w:tabs>
              <w:tab w:val="right" w:pos="9070"/>
            </w:tabs>
            <w:spacing w:line="240" w:lineRule="auto"/>
          </w:pPr>
          <w:r>
            <w:rPr>
              <w:b/>
              <w:bCs/>
            </w:rPr>
            <w:fldChar w:fldCharType="end"/>
          </w:r>
          <w:r w:rsidR="00C07596">
            <w:rPr>
              <w:b/>
              <w:bCs/>
            </w:rPr>
            <w:tab/>
          </w:r>
        </w:p>
      </w:sdtContent>
    </w:sdt>
    <w:p w14:paraId="2E51279E" w14:textId="77777777" w:rsidR="000157D2" w:rsidRDefault="000157D2" w:rsidP="00F46FDA">
      <w:pPr>
        <w:spacing w:line="240" w:lineRule="auto"/>
      </w:pPr>
    </w:p>
    <w:p w14:paraId="7A699816" w14:textId="77777777" w:rsidR="000157D2" w:rsidRDefault="000157D2" w:rsidP="00F46FDA">
      <w:pPr>
        <w:spacing w:line="240" w:lineRule="auto"/>
      </w:pPr>
      <w:r>
        <w:br w:type="page"/>
      </w:r>
      <w:bookmarkStart w:id="1" w:name="_GoBack"/>
      <w:bookmarkEnd w:id="1"/>
    </w:p>
    <w:p w14:paraId="3FFC6CF8" w14:textId="77777777" w:rsidR="000157D2" w:rsidRPr="000157D2" w:rsidRDefault="000157D2" w:rsidP="00F46FDA">
      <w:pPr>
        <w:spacing w:line="240" w:lineRule="auto"/>
      </w:pPr>
    </w:p>
    <w:p w14:paraId="51ED2C00" w14:textId="77777777" w:rsidR="00606E30" w:rsidRPr="00547A23" w:rsidRDefault="000157D2" w:rsidP="00562D5D">
      <w:pPr>
        <w:pStyle w:val="Heading1"/>
        <w:ind w:left="709" w:hanging="709"/>
      </w:pPr>
      <w:bookmarkStart w:id="2" w:name="_Toc37248813"/>
      <w:r w:rsidRPr="00547A23">
        <w:t>Seznam zkratek</w:t>
      </w:r>
      <w:bookmarkEnd w:id="0"/>
      <w:r w:rsidRPr="00547A23">
        <w:t xml:space="preserve"> a tabulek</w:t>
      </w:r>
      <w:bookmarkEnd w:id="2"/>
    </w:p>
    <w:tbl>
      <w:tblPr>
        <w:tblStyle w:val="Deloittetable"/>
        <w:tblW w:w="5178" w:type="pct"/>
        <w:tblLook w:val="01E0" w:firstRow="1" w:lastRow="1" w:firstColumn="1" w:lastColumn="1" w:noHBand="0" w:noVBand="0"/>
      </w:tblPr>
      <w:tblGrid>
        <w:gridCol w:w="2412"/>
        <w:gridCol w:w="6981"/>
      </w:tblGrid>
      <w:tr w:rsidR="000157D2" w:rsidRPr="000157D2" w14:paraId="4273DD55" w14:textId="77777777" w:rsidTr="00B717D9">
        <w:trPr>
          <w:cnfStyle w:val="100000000000" w:firstRow="1" w:lastRow="0" w:firstColumn="0" w:lastColumn="0" w:oddVBand="0" w:evenVBand="0" w:oddHBand="0" w:evenHBand="0" w:firstRowFirstColumn="0" w:firstRowLastColumn="0" w:lastRowFirstColumn="0" w:lastRowLastColumn="0"/>
          <w:trHeight w:val="20"/>
        </w:trPr>
        <w:tc>
          <w:tcPr>
            <w:tcW w:w="1284" w:type="pct"/>
          </w:tcPr>
          <w:p w14:paraId="12BDE7E6" w14:textId="77777777" w:rsidR="000157D2" w:rsidRPr="000157D2" w:rsidRDefault="000157D2" w:rsidP="00F46FDA">
            <w:pPr>
              <w:pStyle w:val="Tabletitle"/>
              <w:spacing w:line="240" w:lineRule="auto"/>
              <w:rPr>
                <w:color w:val="92D050"/>
                <w:sz w:val="18"/>
                <w:szCs w:val="18"/>
              </w:rPr>
            </w:pPr>
            <w:r w:rsidRPr="000157D2">
              <w:rPr>
                <w:color w:val="92D050"/>
                <w:sz w:val="18"/>
                <w:szCs w:val="18"/>
              </w:rPr>
              <w:t>Pojem</w:t>
            </w:r>
          </w:p>
        </w:tc>
        <w:tc>
          <w:tcPr>
            <w:tcW w:w="3716" w:type="pct"/>
          </w:tcPr>
          <w:p w14:paraId="1A762B9D" w14:textId="77777777" w:rsidR="000157D2" w:rsidRPr="000157D2" w:rsidRDefault="000157D2" w:rsidP="00F46FDA">
            <w:pPr>
              <w:pStyle w:val="Tabletitle"/>
              <w:spacing w:line="240" w:lineRule="auto"/>
              <w:rPr>
                <w:color w:val="92D050"/>
                <w:sz w:val="18"/>
                <w:szCs w:val="18"/>
              </w:rPr>
            </w:pPr>
            <w:r w:rsidRPr="000157D2">
              <w:rPr>
                <w:color w:val="92D050"/>
                <w:sz w:val="18"/>
                <w:szCs w:val="18"/>
              </w:rPr>
              <w:t>Definice</w:t>
            </w:r>
          </w:p>
        </w:tc>
      </w:tr>
      <w:tr w:rsidR="00B717D9" w:rsidRPr="00CD2F17" w14:paraId="378BCD80" w14:textId="77777777" w:rsidTr="00B717D9">
        <w:trPr>
          <w:trHeight w:val="20"/>
        </w:trPr>
        <w:tc>
          <w:tcPr>
            <w:tcW w:w="1284" w:type="pct"/>
          </w:tcPr>
          <w:p w14:paraId="71FEE1AA" w14:textId="77777777" w:rsidR="00B717D9" w:rsidRPr="00CD2F17" w:rsidRDefault="00B717D9" w:rsidP="00F46FDA">
            <w:pPr>
              <w:spacing w:after="0" w:line="240" w:lineRule="auto"/>
              <w:rPr>
                <w:rFonts w:asciiTheme="majorHAnsi" w:hAnsiTheme="majorHAnsi"/>
              </w:rPr>
            </w:pPr>
            <w:r w:rsidRPr="00CD2F17">
              <w:rPr>
                <w:rFonts w:asciiTheme="majorHAnsi" w:hAnsiTheme="majorHAnsi"/>
              </w:rPr>
              <w:t>API</w:t>
            </w:r>
          </w:p>
        </w:tc>
        <w:tc>
          <w:tcPr>
            <w:tcW w:w="3716" w:type="pct"/>
          </w:tcPr>
          <w:p w14:paraId="5A242427" w14:textId="77777777" w:rsidR="00B717D9" w:rsidRPr="00CD2F17" w:rsidRDefault="00B717D9" w:rsidP="00F46FDA">
            <w:pPr>
              <w:spacing w:after="0" w:line="240" w:lineRule="auto"/>
              <w:rPr>
                <w:rFonts w:asciiTheme="majorHAnsi" w:hAnsiTheme="majorHAnsi"/>
              </w:rPr>
            </w:pPr>
            <w:r w:rsidRPr="00CD2F17">
              <w:rPr>
                <w:rFonts w:asciiTheme="majorHAnsi" w:hAnsiTheme="majorHAnsi"/>
              </w:rPr>
              <w:t>Agentura pro podnikání a inovace</w:t>
            </w:r>
          </w:p>
        </w:tc>
      </w:tr>
      <w:tr w:rsidR="00A03363" w:rsidRPr="006C132B" w14:paraId="340EFDEB" w14:textId="77777777" w:rsidTr="00B717D9">
        <w:trPr>
          <w:trHeight w:val="20"/>
        </w:trPr>
        <w:tc>
          <w:tcPr>
            <w:tcW w:w="1284" w:type="pct"/>
          </w:tcPr>
          <w:p w14:paraId="09577F78" w14:textId="77777777" w:rsidR="00A03363" w:rsidRPr="005042A3" w:rsidRDefault="00A03363" w:rsidP="00F46FDA">
            <w:pPr>
              <w:spacing w:after="0" w:line="240" w:lineRule="auto"/>
              <w:rPr>
                <w:rFonts w:asciiTheme="majorHAnsi" w:hAnsiTheme="majorHAnsi"/>
              </w:rPr>
            </w:pPr>
            <w:r>
              <w:rPr>
                <w:rFonts w:asciiTheme="majorHAnsi" w:hAnsiTheme="majorHAnsi"/>
              </w:rPr>
              <w:t>CENIA</w:t>
            </w:r>
          </w:p>
        </w:tc>
        <w:tc>
          <w:tcPr>
            <w:tcW w:w="3716" w:type="pct"/>
          </w:tcPr>
          <w:p w14:paraId="7CC1DB82" w14:textId="77777777" w:rsidR="00A03363" w:rsidRPr="005042A3" w:rsidRDefault="00A03363" w:rsidP="00F46FDA">
            <w:pPr>
              <w:spacing w:after="0" w:line="240" w:lineRule="auto"/>
            </w:pPr>
            <w:r>
              <w:t>Č</w:t>
            </w:r>
            <w:r w:rsidRPr="00A03363">
              <w:t>eská informační agentura životního prostředí</w:t>
            </w:r>
          </w:p>
        </w:tc>
      </w:tr>
      <w:tr w:rsidR="00B717D9" w:rsidRPr="006C132B" w14:paraId="34800DE3" w14:textId="77777777" w:rsidTr="00B717D9">
        <w:trPr>
          <w:trHeight w:val="20"/>
        </w:trPr>
        <w:tc>
          <w:tcPr>
            <w:tcW w:w="1284" w:type="pct"/>
          </w:tcPr>
          <w:p w14:paraId="3E2FE53B" w14:textId="77777777" w:rsidR="00B717D9" w:rsidRPr="005042A3" w:rsidRDefault="00B717D9" w:rsidP="00F46FDA">
            <w:pPr>
              <w:spacing w:after="0" w:line="240" w:lineRule="auto"/>
              <w:rPr>
                <w:rFonts w:asciiTheme="majorHAnsi" w:hAnsiTheme="majorHAnsi"/>
              </w:rPr>
            </w:pPr>
            <w:r w:rsidRPr="005042A3">
              <w:rPr>
                <w:rFonts w:asciiTheme="majorHAnsi" w:hAnsiTheme="majorHAnsi"/>
              </w:rPr>
              <w:t>ČMZRB</w:t>
            </w:r>
          </w:p>
        </w:tc>
        <w:tc>
          <w:tcPr>
            <w:tcW w:w="3716" w:type="pct"/>
          </w:tcPr>
          <w:p w14:paraId="4E79DF80" w14:textId="77777777" w:rsidR="00B717D9" w:rsidRDefault="00B717D9" w:rsidP="00F46FDA">
            <w:pPr>
              <w:spacing w:after="0" w:line="240" w:lineRule="auto"/>
              <w:rPr>
                <w:rFonts w:asciiTheme="majorHAnsi" w:hAnsiTheme="majorHAnsi"/>
              </w:rPr>
            </w:pPr>
            <w:r w:rsidRPr="005042A3">
              <w:t>Českomoravská záruční a rozvojová banka</w:t>
            </w:r>
            <w:r w:rsidR="005042A3">
              <w:t>, a.s.</w:t>
            </w:r>
          </w:p>
        </w:tc>
      </w:tr>
      <w:tr w:rsidR="00B717D9" w:rsidRPr="006C132B" w14:paraId="42611332" w14:textId="77777777" w:rsidTr="00B717D9">
        <w:trPr>
          <w:trHeight w:val="20"/>
        </w:trPr>
        <w:tc>
          <w:tcPr>
            <w:tcW w:w="1284" w:type="pct"/>
          </w:tcPr>
          <w:p w14:paraId="2FA195E2" w14:textId="77777777" w:rsidR="00B717D9" w:rsidRPr="001C351B" w:rsidRDefault="00B717D9" w:rsidP="00F46FDA">
            <w:pPr>
              <w:spacing w:after="0" w:line="240" w:lineRule="auto"/>
              <w:rPr>
                <w:rFonts w:asciiTheme="majorHAnsi" w:hAnsiTheme="majorHAnsi"/>
              </w:rPr>
            </w:pPr>
            <w:r>
              <w:rPr>
                <w:rFonts w:asciiTheme="majorHAnsi" w:hAnsiTheme="majorHAnsi"/>
              </w:rPr>
              <w:t>Deloitte nebo Dodavatel</w:t>
            </w:r>
          </w:p>
        </w:tc>
        <w:tc>
          <w:tcPr>
            <w:tcW w:w="3716" w:type="pct"/>
          </w:tcPr>
          <w:p w14:paraId="64FFBF77" w14:textId="77777777" w:rsidR="00B717D9" w:rsidRPr="001C351B" w:rsidRDefault="00B717D9" w:rsidP="00F46FDA">
            <w:pPr>
              <w:spacing w:after="0" w:line="240" w:lineRule="auto"/>
              <w:rPr>
                <w:rFonts w:asciiTheme="majorHAnsi" w:hAnsiTheme="majorHAnsi"/>
              </w:rPr>
            </w:pPr>
            <w:r>
              <w:rPr>
                <w:rFonts w:asciiTheme="majorHAnsi" w:hAnsiTheme="majorHAnsi"/>
              </w:rPr>
              <w:t>Deloitte Advisory s.r.o.</w:t>
            </w:r>
          </w:p>
        </w:tc>
      </w:tr>
      <w:tr w:rsidR="00B717D9" w:rsidRPr="004B7223" w14:paraId="667F58FE" w14:textId="77777777" w:rsidTr="00B717D9">
        <w:trPr>
          <w:trHeight w:val="20"/>
        </w:trPr>
        <w:tc>
          <w:tcPr>
            <w:tcW w:w="1284" w:type="pct"/>
          </w:tcPr>
          <w:p w14:paraId="212A2C46" w14:textId="77777777" w:rsidR="00B717D9" w:rsidRDefault="00B717D9" w:rsidP="00F46FDA">
            <w:pPr>
              <w:spacing w:after="0" w:line="240" w:lineRule="auto"/>
              <w:rPr>
                <w:rFonts w:asciiTheme="majorHAnsi" w:hAnsiTheme="majorHAnsi"/>
              </w:rPr>
            </w:pPr>
            <w:r>
              <w:rPr>
                <w:rFonts w:asciiTheme="majorHAnsi" w:hAnsiTheme="majorHAnsi"/>
              </w:rPr>
              <w:t>DŠ</w:t>
            </w:r>
          </w:p>
        </w:tc>
        <w:tc>
          <w:tcPr>
            <w:tcW w:w="3716" w:type="pct"/>
          </w:tcPr>
          <w:p w14:paraId="69F13B5D" w14:textId="77777777" w:rsidR="00B717D9" w:rsidRDefault="00B717D9" w:rsidP="00F46FDA">
            <w:pPr>
              <w:spacing w:after="0" w:line="240" w:lineRule="auto"/>
              <w:rPr>
                <w:rFonts w:asciiTheme="majorHAnsi" w:hAnsiTheme="majorHAnsi"/>
              </w:rPr>
            </w:pPr>
            <w:r>
              <w:rPr>
                <w:rFonts w:asciiTheme="majorHAnsi" w:hAnsiTheme="majorHAnsi"/>
              </w:rPr>
              <w:t>Dotazníkové šetření</w:t>
            </w:r>
          </w:p>
        </w:tc>
      </w:tr>
      <w:tr w:rsidR="005042A3" w:rsidRPr="006C132B" w14:paraId="778DAE51" w14:textId="77777777" w:rsidTr="00B717D9">
        <w:trPr>
          <w:trHeight w:val="20"/>
        </w:trPr>
        <w:tc>
          <w:tcPr>
            <w:tcW w:w="1284" w:type="pct"/>
          </w:tcPr>
          <w:p w14:paraId="3E85EBEE" w14:textId="77777777" w:rsidR="005042A3" w:rsidRDefault="005042A3" w:rsidP="00F46FDA">
            <w:pPr>
              <w:spacing w:after="0" w:line="240" w:lineRule="auto"/>
              <w:rPr>
                <w:rFonts w:asciiTheme="majorHAnsi" w:hAnsiTheme="majorHAnsi"/>
              </w:rPr>
            </w:pPr>
            <w:r>
              <w:rPr>
                <w:rFonts w:asciiTheme="majorHAnsi" w:hAnsiTheme="majorHAnsi"/>
              </w:rPr>
              <w:t>EIB</w:t>
            </w:r>
          </w:p>
        </w:tc>
        <w:tc>
          <w:tcPr>
            <w:tcW w:w="3716" w:type="pct"/>
          </w:tcPr>
          <w:p w14:paraId="32B8D344" w14:textId="77777777" w:rsidR="005042A3" w:rsidRDefault="005042A3" w:rsidP="00F46FDA">
            <w:pPr>
              <w:spacing w:after="0" w:line="240" w:lineRule="auto"/>
              <w:rPr>
                <w:rFonts w:asciiTheme="majorHAnsi" w:hAnsiTheme="majorHAnsi"/>
              </w:rPr>
            </w:pPr>
            <w:r>
              <w:rPr>
                <w:rFonts w:asciiTheme="majorHAnsi" w:hAnsiTheme="majorHAnsi"/>
              </w:rPr>
              <w:t>Evropská investiční banka</w:t>
            </w:r>
          </w:p>
        </w:tc>
      </w:tr>
      <w:tr w:rsidR="00B717D9" w:rsidRPr="006C132B" w14:paraId="2A68B278" w14:textId="77777777" w:rsidTr="00B717D9">
        <w:trPr>
          <w:trHeight w:val="20"/>
        </w:trPr>
        <w:tc>
          <w:tcPr>
            <w:tcW w:w="1284" w:type="pct"/>
          </w:tcPr>
          <w:p w14:paraId="116558BB" w14:textId="77777777" w:rsidR="00B717D9" w:rsidRDefault="00B717D9" w:rsidP="00F46FDA">
            <w:pPr>
              <w:spacing w:after="0" w:line="240" w:lineRule="auto"/>
              <w:rPr>
                <w:rFonts w:asciiTheme="majorHAnsi" w:hAnsiTheme="majorHAnsi"/>
              </w:rPr>
            </w:pPr>
            <w:r>
              <w:rPr>
                <w:rFonts w:asciiTheme="majorHAnsi" w:hAnsiTheme="majorHAnsi"/>
              </w:rPr>
              <w:t>EP</w:t>
            </w:r>
          </w:p>
        </w:tc>
        <w:tc>
          <w:tcPr>
            <w:tcW w:w="3716" w:type="pct"/>
          </w:tcPr>
          <w:p w14:paraId="7809C8C9" w14:textId="77777777" w:rsidR="00B717D9" w:rsidRDefault="00B717D9" w:rsidP="00F46FDA">
            <w:pPr>
              <w:spacing w:after="0" w:line="240" w:lineRule="auto"/>
              <w:rPr>
                <w:rFonts w:asciiTheme="majorHAnsi" w:hAnsiTheme="majorHAnsi"/>
              </w:rPr>
            </w:pPr>
            <w:r>
              <w:rPr>
                <w:rFonts w:asciiTheme="majorHAnsi" w:hAnsiTheme="majorHAnsi"/>
              </w:rPr>
              <w:t>Expertní panel</w:t>
            </w:r>
          </w:p>
        </w:tc>
      </w:tr>
      <w:tr w:rsidR="00B717D9" w:rsidRPr="006C132B" w14:paraId="30D2B354" w14:textId="77777777" w:rsidTr="00B717D9">
        <w:trPr>
          <w:trHeight w:val="20"/>
        </w:trPr>
        <w:tc>
          <w:tcPr>
            <w:tcW w:w="1284" w:type="pct"/>
          </w:tcPr>
          <w:p w14:paraId="0D936B5B" w14:textId="77777777" w:rsidR="00B717D9" w:rsidRPr="002403AF" w:rsidRDefault="00B717D9" w:rsidP="00F46FDA">
            <w:pPr>
              <w:spacing w:after="0" w:line="240" w:lineRule="auto"/>
              <w:rPr>
                <w:rFonts w:asciiTheme="majorHAnsi" w:hAnsiTheme="majorHAnsi"/>
              </w:rPr>
            </w:pPr>
            <w:r w:rsidRPr="002403AF">
              <w:rPr>
                <w:rFonts w:asciiTheme="majorHAnsi" w:hAnsiTheme="majorHAnsi"/>
              </w:rPr>
              <w:t>ESIF</w:t>
            </w:r>
          </w:p>
        </w:tc>
        <w:tc>
          <w:tcPr>
            <w:tcW w:w="3716" w:type="pct"/>
          </w:tcPr>
          <w:p w14:paraId="6B8A39A7" w14:textId="77777777" w:rsidR="00B717D9" w:rsidRDefault="00B717D9" w:rsidP="00F46FDA">
            <w:pPr>
              <w:spacing w:after="0" w:line="240" w:lineRule="auto"/>
              <w:rPr>
                <w:rFonts w:asciiTheme="majorHAnsi" w:hAnsiTheme="majorHAnsi"/>
              </w:rPr>
            </w:pPr>
            <w:r w:rsidRPr="002403AF">
              <w:rPr>
                <w:rFonts w:asciiTheme="majorHAnsi" w:hAnsiTheme="majorHAnsi"/>
              </w:rPr>
              <w:t>Evropské strukturální a investiční fondy</w:t>
            </w:r>
          </w:p>
        </w:tc>
      </w:tr>
      <w:tr w:rsidR="00B717D9" w:rsidRPr="006C132B" w14:paraId="3028D1BB" w14:textId="77777777" w:rsidTr="00B717D9">
        <w:trPr>
          <w:trHeight w:val="20"/>
        </w:trPr>
        <w:tc>
          <w:tcPr>
            <w:tcW w:w="1284" w:type="pct"/>
          </w:tcPr>
          <w:p w14:paraId="1E367A81" w14:textId="77777777" w:rsidR="00B717D9" w:rsidRDefault="00B717D9" w:rsidP="00F46FDA">
            <w:pPr>
              <w:spacing w:after="0" w:line="240" w:lineRule="auto"/>
              <w:rPr>
                <w:rFonts w:asciiTheme="majorHAnsi" w:hAnsiTheme="majorHAnsi"/>
              </w:rPr>
            </w:pPr>
            <w:r>
              <w:rPr>
                <w:rFonts w:asciiTheme="majorHAnsi" w:hAnsiTheme="majorHAnsi"/>
              </w:rPr>
              <w:t>EU</w:t>
            </w:r>
          </w:p>
        </w:tc>
        <w:tc>
          <w:tcPr>
            <w:tcW w:w="3716" w:type="pct"/>
          </w:tcPr>
          <w:p w14:paraId="2B066A4D" w14:textId="77777777" w:rsidR="00B717D9" w:rsidRDefault="00B717D9" w:rsidP="00F46FDA">
            <w:pPr>
              <w:spacing w:after="0" w:line="240" w:lineRule="auto"/>
              <w:rPr>
                <w:rFonts w:asciiTheme="majorHAnsi" w:hAnsiTheme="majorHAnsi"/>
              </w:rPr>
            </w:pPr>
            <w:r>
              <w:rPr>
                <w:rFonts w:asciiTheme="majorHAnsi" w:hAnsiTheme="majorHAnsi"/>
              </w:rPr>
              <w:t>Evropská unie</w:t>
            </w:r>
          </w:p>
        </w:tc>
      </w:tr>
      <w:tr w:rsidR="00B717D9" w:rsidRPr="006C132B" w14:paraId="71104252" w14:textId="77777777" w:rsidTr="00B717D9">
        <w:trPr>
          <w:trHeight w:val="20"/>
        </w:trPr>
        <w:tc>
          <w:tcPr>
            <w:tcW w:w="1284" w:type="pct"/>
          </w:tcPr>
          <w:p w14:paraId="2902D0E5" w14:textId="77777777" w:rsidR="00B717D9" w:rsidRPr="001C351B" w:rsidRDefault="00B717D9" w:rsidP="00F46FDA">
            <w:pPr>
              <w:spacing w:after="0" w:line="240" w:lineRule="auto"/>
              <w:rPr>
                <w:rFonts w:asciiTheme="majorHAnsi" w:hAnsiTheme="majorHAnsi"/>
              </w:rPr>
            </w:pPr>
            <w:r>
              <w:rPr>
                <w:rFonts w:asciiTheme="majorHAnsi" w:hAnsiTheme="majorHAnsi"/>
              </w:rPr>
              <w:t>FN</w:t>
            </w:r>
          </w:p>
        </w:tc>
        <w:tc>
          <w:tcPr>
            <w:tcW w:w="3716" w:type="pct"/>
          </w:tcPr>
          <w:p w14:paraId="6C14B27C" w14:textId="77777777" w:rsidR="00B717D9" w:rsidRPr="001C351B" w:rsidRDefault="00B717D9" w:rsidP="00F46FDA">
            <w:pPr>
              <w:spacing w:after="0" w:line="240" w:lineRule="auto"/>
              <w:rPr>
                <w:rFonts w:asciiTheme="majorHAnsi" w:hAnsiTheme="majorHAnsi"/>
              </w:rPr>
            </w:pPr>
            <w:r>
              <w:rPr>
                <w:rFonts w:asciiTheme="majorHAnsi" w:hAnsiTheme="majorHAnsi"/>
              </w:rPr>
              <w:t>Finanční nástroj/e</w:t>
            </w:r>
          </w:p>
        </w:tc>
      </w:tr>
      <w:tr w:rsidR="00B717D9" w:rsidRPr="006C132B" w14:paraId="65E43008" w14:textId="77777777" w:rsidTr="00B717D9">
        <w:trPr>
          <w:trHeight w:val="20"/>
        </w:trPr>
        <w:tc>
          <w:tcPr>
            <w:tcW w:w="1284" w:type="pct"/>
          </w:tcPr>
          <w:p w14:paraId="17CD269F" w14:textId="77777777" w:rsidR="00B717D9" w:rsidRDefault="00B717D9" w:rsidP="00F46FDA">
            <w:pPr>
              <w:spacing w:after="0" w:line="240" w:lineRule="auto"/>
              <w:rPr>
                <w:rFonts w:asciiTheme="majorHAnsi" w:hAnsiTheme="majorHAnsi"/>
              </w:rPr>
            </w:pPr>
            <w:r>
              <w:rPr>
                <w:rFonts w:asciiTheme="majorHAnsi" w:hAnsiTheme="majorHAnsi"/>
              </w:rPr>
              <w:t>FS</w:t>
            </w:r>
          </w:p>
        </w:tc>
        <w:tc>
          <w:tcPr>
            <w:tcW w:w="3716" w:type="pct"/>
          </w:tcPr>
          <w:p w14:paraId="344F6BB8" w14:textId="77777777" w:rsidR="00B717D9" w:rsidRDefault="00B717D9" w:rsidP="00F46FDA">
            <w:pPr>
              <w:spacing w:after="0" w:line="240" w:lineRule="auto"/>
              <w:rPr>
                <w:rFonts w:asciiTheme="majorHAnsi" w:hAnsiTheme="majorHAnsi"/>
              </w:rPr>
            </w:pPr>
            <w:r>
              <w:rPr>
                <w:rFonts w:asciiTheme="majorHAnsi" w:hAnsiTheme="majorHAnsi"/>
              </w:rPr>
              <w:t>Fokusní skupina</w:t>
            </w:r>
          </w:p>
        </w:tc>
      </w:tr>
      <w:tr w:rsidR="00B717D9" w:rsidRPr="006C132B" w14:paraId="0300D334" w14:textId="77777777" w:rsidTr="00B717D9">
        <w:trPr>
          <w:trHeight w:val="20"/>
        </w:trPr>
        <w:tc>
          <w:tcPr>
            <w:tcW w:w="1284" w:type="pct"/>
          </w:tcPr>
          <w:p w14:paraId="7E1399F7" w14:textId="77777777" w:rsidR="00B717D9" w:rsidRDefault="00B717D9" w:rsidP="00F46FDA">
            <w:pPr>
              <w:spacing w:after="0" w:line="240" w:lineRule="auto"/>
              <w:rPr>
                <w:rFonts w:asciiTheme="majorHAnsi" w:hAnsiTheme="majorHAnsi"/>
              </w:rPr>
            </w:pPr>
            <w:r>
              <w:rPr>
                <w:rFonts w:asciiTheme="majorHAnsi" w:hAnsiTheme="majorHAnsi"/>
              </w:rPr>
              <w:t>IHR</w:t>
            </w:r>
          </w:p>
        </w:tc>
        <w:tc>
          <w:tcPr>
            <w:tcW w:w="3716" w:type="pct"/>
          </w:tcPr>
          <w:p w14:paraId="51068A9F" w14:textId="77777777" w:rsidR="00B717D9" w:rsidRDefault="00B717D9" w:rsidP="00F46FDA">
            <w:pPr>
              <w:spacing w:after="0" w:line="240" w:lineRule="auto"/>
              <w:rPr>
                <w:rFonts w:asciiTheme="majorHAnsi" w:hAnsiTheme="majorHAnsi"/>
              </w:rPr>
            </w:pPr>
            <w:r>
              <w:rPr>
                <w:rFonts w:asciiTheme="majorHAnsi" w:hAnsiTheme="majorHAnsi"/>
              </w:rPr>
              <w:t>Individuální hloubkový rozhovor</w:t>
            </w:r>
          </w:p>
        </w:tc>
      </w:tr>
      <w:tr w:rsidR="00B717D9" w:rsidRPr="006C132B" w14:paraId="799EBA57" w14:textId="77777777" w:rsidTr="00B717D9">
        <w:trPr>
          <w:trHeight w:val="20"/>
        </w:trPr>
        <w:tc>
          <w:tcPr>
            <w:tcW w:w="1284" w:type="pct"/>
          </w:tcPr>
          <w:p w14:paraId="51B31269" w14:textId="77777777" w:rsidR="00B717D9" w:rsidRDefault="00B717D9" w:rsidP="00F46FDA">
            <w:pPr>
              <w:spacing w:after="0" w:line="240" w:lineRule="auto"/>
              <w:rPr>
                <w:rFonts w:asciiTheme="majorHAnsi" w:hAnsiTheme="majorHAnsi"/>
              </w:rPr>
            </w:pPr>
            <w:r>
              <w:rPr>
                <w:rFonts w:asciiTheme="majorHAnsi" w:hAnsiTheme="majorHAnsi"/>
              </w:rPr>
              <w:t>MF</w:t>
            </w:r>
            <w:r w:rsidR="00B971E2">
              <w:rPr>
                <w:rFonts w:asciiTheme="majorHAnsi" w:hAnsiTheme="majorHAnsi"/>
              </w:rPr>
              <w:t xml:space="preserve"> Č</w:t>
            </w:r>
            <w:r>
              <w:rPr>
                <w:rFonts w:asciiTheme="majorHAnsi" w:hAnsiTheme="majorHAnsi"/>
              </w:rPr>
              <w:t>R</w:t>
            </w:r>
          </w:p>
        </w:tc>
        <w:tc>
          <w:tcPr>
            <w:tcW w:w="3716" w:type="pct"/>
          </w:tcPr>
          <w:p w14:paraId="5DD6198A" w14:textId="77777777" w:rsidR="00B717D9" w:rsidRDefault="00B717D9" w:rsidP="00F46FDA">
            <w:pPr>
              <w:spacing w:after="0" w:line="240" w:lineRule="auto"/>
              <w:rPr>
                <w:rFonts w:asciiTheme="majorHAnsi" w:hAnsiTheme="majorHAnsi"/>
              </w:rPr>
            </w:pPr>
            <w:r>
              <w:rPr>
                <w:rFonts w:asciiTheme="majorHAnsi" w:hAnsiTheme="majorHAnsi"/>
              </w:rPr>
              <w:t>Ministerstvo financí ČR</w:t>
            </w:r>
          </w:p>
        </w:tc>
      </w:tr>
      <w:tr w:rsidR="00B717D9" w:rsidRPr="006C132B" w14:paraId="3B0463B1" w14:textId="77777777" w:rsidTr="00B717D9">
        <w:trPr>
          <w:trHeight w:val="20"/>
        </w:trPr>
        <w:tc>
          <w:tcPr>
            <w:tcW w:w="1284" w:type="pct"/>
          </w:tcPr>
          <w:p w14:paraId="595F9B6F" w14:textId="77777777" w:rsidR="00B717D9" w:rsidRPr="001C351B" w:rsidRDefault="00B717D9" w:rsidP="00F46FDA">
            <w:pPr>
              <w:spacing w:after="0" w:line="240" w:lineRule="auto"/>
              <w:rPr>
                <w:rFonts w:asciiTheme="majorHAnsi" w:hAnsiTheme="majorHAnsi"/>
              </w:rPr>
            </w:pPr>
            <w:r>
              <w:rPr>
                <w:rFonts w:asciiTheme="majorHAnsi" w:hAnsiTheme="majorHAnsi"/>
              </w:rPr>
              <w:t>MPO nebo Zadavatel</w:t>
            </w:r>
          </w:p>
        </w:tc>
        <w:tc>
          <w:tcPr>
            <w:tcW w:w="3716" w:type="pct"/>
          </w:tcPr>
          <w:p w14:paraId="43DAC6AB" w14:textId="77777777" w:rsidR="00B717D9" w:rsidRPr="001C351B" w:rsidRDefault="00B717D9" w:rsidP="00F46FDA">
            <w:pPr>
              <w:spacing w:after="0" w:line="240" w:lineRule="auto"/>
              <w:rPr>
                <w:rFonts w:asciiTheme="majorHAnsi" w:hAnsiTheme="majorHAnsi"/>
              </w:rPr>
            </w:pPr>
            <w:r>
              <w:rPr>
                <w:rFonts w:asciiTheme="majorHAnsi" w:hAnsiTheme="majorHAnsi"/>
              </w:rPr>
              <w:t>Ministerstvo průmyslu a obchodu ČR</w:t>
            </w:r>
          </w:p>
        </w:tc>
      </w:tr>
      <w:tr w:rsidR="00B717D9" w:rsidRPr="006C132B" w14:paraId="6A3F97D8" w14:textId="77777777" w:rsidTr="00B717D9">
        <w:trPr>
          <w:trHeight w:val="20"/>
        </w:trPr>
        <w:tc>
          <w:tcPr>
            <w:tcW w:w="1284" w:type="pct"/>
          </w:tcPr>
          <w:p w14:paraId="32714169" w14:textId="77777777" w:rsidR="00B717D9" w:rsidRPr="004D36C5" w:rsidRDefault="00B717D9" w:rsidP="00F46FDA">
            <w:pPr>
              <w:spacing w:after="0" w:line="240" w:lineRule="auto"/>
              <w:rPr>
                <w:rFonts w:asciiTheme="majorHAnsi" w:hAnsiTheme="majorHAnsi"/>
              </w:rPr>
            </w:pPr>
            <w:r w:rsidRPr="004D36C5">
              <w:rPr>
                <w:rFonts w:asciiTheme="majorHAnsi" w:hAnsiTheme="majorHAnsi"/>
              </w:rPr>
              <w:t>MS2014+</w:t>
            </w:r>
          </w:p>
        </w:tc>
        <w:tc>
          <w:tcPr>
            <w:tcW w:w="3716" w:type="pct"/>
          </w:tcPr>
          <w:p w14:paraId="3DE73741" w14:textId="77777777" w:rsidR="00B717D9" w:rsidRDefault="00B717D9" w:rsidP="00F46FDA">
            <w:pPr>
              <w:spacing w:after="0" w:line="240" w:lineRule="auto"/>
              <w:rPr>
                <w:rFonts w:asciiTheme="majorHAnsi" w:hAnsiTheme="majorHAnsi"/>
              </w:rPr>
            </w:pPr>
            <w:r w:rsidRPr="004D36C5">
              <w:rPr>
                <w:rFonts w:asciiTheme="majorHAnsi" w:hAnsiTheme="majorHAnsi"/>
              </w:rPr>
              <w:t>Monitorovací systém ESIF pro programové období 2014 - 2020</w:t>
            </w:r>
          </w:p>
        </w:tc>
      </w:tr>
      <w:tr w:rsidR="004D36C5" w:rsidRPr="005444AD" w14:paraId="26E84678" w14:textId="77777777" w:rsidTr="00B717D9">
        <w:trPr>
          <w:trHeight w:val="20"/>
        </w:trPr>
        <w:tc>
          <w:tcPr>
            <w:tcW w:w="1284" w:type="pct"/>
          </w:tcPr>
          <w:p w14:paraId="24B13481" w14:textId="77777777" w:rsidR="004D36C5" w:rsidRDefault="004D36C5" w:rsidP="00F46FDA">
            <w:pPr>
              <w:spacing w:after="0" w:line="240" w:lineRule="auto"/>
              <w:rPr>
                <w:rFonts w:asciiTheme="majorHAnsi" w:hAnsiTheme="majorHAnsi"/>
              </w:rPr>
            </w:pPr>
            <w:r>
              <w:rPr>
                <w:rFonts w:asciiTheme="majorHAnsi" w:hAnsiTheme="majorHAnsi"/>
              </w:rPr>
              <w:t>MSP</w:t>
            </w:r>
          </w:p>
        </w:tc>
        <w:tc>
          <w:tcPr>
            <w:tcW w:w="3716" w:type="pct"/>
          </w:tcPr>
          <w:p w14:paraId="3D37F615" w14:textId="77777777" w:rsidR="004D36C5" w:rsidRDefault="004D36C5" w:rsidP="00F46FDA">
            <w:pPr>
              <w:spacing w:after="0" w:line="240" w:lineRule="auto"/>
              <w:rPr>
                <w:rFonts w:asciiTheme="majorHAnsi" w:hAnsiTheme="majorHAnsi"/>
              </w:rPr>
            </w:pPr>
            <w:r>
              <w:rPr>
                <w:rFonts w:asciiTheme="majorHAnsi" w:hAnsiTheme="majorHAnsi"/>
              </w:rPr>
              <w:t>Malé a střední podniky</w:t>
            </w:r>
          </w:p>
        </w:tc>
      </w:tr>
      <w:tr w:rsidR="005444AD" w:rsidRPr="005444AD" w14:paraId="5720A0B2" w14:textId="77777777" w:rsidTr="00B717D9">
        <w:trPr>
          <w:trHeight w:val="20"/>
        </w:trPr>
        <w:tc>
          <w:tcPr>
            <w:tcW w:w="1284" w:type="pct"/>
          </w:tcPr>
          <w:p w14:paraId="37E41DF8" w14:textId="77777777" w:rsidR="005444AD" w:rsidRPr="005444AD" w:rsidRDefault="005444AD" w:rsidP="00F46FDA">
            <w:pPr>
              <w:spacing w:after="0" w:line="240" w:lineRule="auto"/>
              <w:rPr>
                <w:rFonts w:asciiTheme="majorHAnsi" w:hAnsiTheme="majorHAnsi"/>
              </w:rPr>
            </w:pPr>
            <w:r>
              <w:rPr>
                <w:rFonts w:asciiTheme="majorHAnsi" w:hAnsiTheme="majorHAnsi"/>
              </w:rPr>
              <w:t>MZe</w:t>
            </w:r>
          </w:p>
        </w:tc>
        <w:tc>
          <w:tcPr>
            <w:tcW w:w="3716" w:type="pct"/>
          </w:tcPr>
          <w:p w14:paraId="455E8BA9" w14:textId="77777777" w:rsidR="005444AD" w:rsidRDefault="005444AD" w:rsidP="00F46FDA">
            <w:pPr>
              <w:spacing w:after="0" w:line="240" w:lineRule="auto"/>
              <w:rPr>
                <w:rFonts w:asciiTheme="majorHAnsi" w:hAnsiTheme="majorHAnsi"/>
              </w:rPr>
            </w:pPr>
            <w:r>
              <w:rPr>
                <w:rFonts w:asciiTheme="majorHAnsi" w:hAnsiTheme="majorHAnsi"/>
              </w:rPr>
              <w:t>Ministerstvo zemědělství ČR</w:t>
            </w:r>
          </w:p>
        </w:tc>
      </w:tr>
      <w:tr w:rsidR="005444AD" w:rsidRPr="005444AD" w14:paraId="59EB398B" w14:textId="77777777" w:rsidTr="00B717D9">
        <w:trPr>
          <w:trHeight w:val="20"/>
        </w:trPr>
        <w:tc>
          <w:tcPr>
            <w:tcW w:w="1284" w:type="pct"/>
          </w:tcPr>
          <w:p w14:paraId="19C19F63" w14:textId="77777777" w:rsidR="005444AD" w:rsidRPr="005444AD" w:rsidRDefault="005444AD" w:rsidP="00F46FDA">
            <w:pPr>
              <w:spacing w:after="0" w:line="240" w:lineRule="auto"/>
              <w:rPr>
                <w:rFonts w:asciiTheme="majorHAnsi" w:hAnsiTheme="majorHAnsi"/>
              </w:rPr>
            </w:pPr>
            <w:r w:rsidRPr="005444AD">
              <w:rPr>
                <w:rFonts w:asciiTheme="majorHAnsi" w:hAnsiTheme="majorHAnsi"/>
              </w:rPr>
              <w:t>MŽP</w:t>
            </w:r>
          </w:p>
        </w:tc>
        <w:tc>
          <w:tcPr>
            <w:tcW w:w="3716" w:type="pct"/>
          </w:tcPr>
          <w:p w14:paraId="340C60D2" w14:textId="77777777" w:rsidR="005444AD" w:rsidRPr="005444AD" w:rsidRDefault="005444AD" w:rsidP="00F46FDA">
            <w:pPr>
              <w:spacing w:after="0" w:line="240" w:lineRule="auto"/>
              <w:rPr>
                <w:rFonts w:asciiTheme="majorHAnsi" w:hAnsiTheme="majorHAnsi"/>
              </w:rPr>
            </w:pPr>
            <w:r>
              <w:rPr>
                <w:rFonts w:asciiTheme="majorHAnsi" w:hAnsiTheme="majorHAnsi"/>
              </w:rPr>
              <w:t>Ministerstvo životního prostředí ČR</w:t>
            </w:r>
          </w:p>
        </w:tc>
      </w:tr>
      <w:tr w:rsidR="00CD2F17" w:rsidRPr="00CD2F17" w14:paraId="7AA50251" w14:textId="77777777" w:rsidTr="00B717D9">
        <w:trPr>
          <w:trHeight w:val="20"/>
        </w:trPr>
        <w:tc>
          <w:tcPr>
            <w:tcW w:w="1284" w:type="pct"/>
          </w:tcPr>
          <w:p w14:paraId="300B80DC" w14:textId="77777777" w:rsidR="00CD2F17" w:rsidRPr="00CD2F17" w:rsidRDefault="00CD2F17" w:rsidP="00F46FDA">
            <w:pPr>
              <w:spacing w:after="0" w:line="240" w:lineRule="auto"/>
              <w:rPr>
                <w:rFonts w:asciiTheme="majorHAnsi" w:hAnsiTheme="majorHAnsi"/>
              </w:rPr>
            </w:pPr>
            <w:r w:rsidRPr="00CD2F17">
              <w:rPr>
                <w:rFonts w:asciiTheme="majorHAnsi" w:hAnsiTheme="majorHAnsi"/>
              </w:rPr>
              <w:t>NPŽP</w:t>
            </w:r>
          </w:p>
        </w:tc>
        <w:tc>
          <w:tcPr>
            <w:tcW w:w="3716" w:type="pct"/>
          </w:tcPr>
          <w:p w14:paraId="445B38F6" w14:textId="77777777" w:rsidR="00CD2F17" w:rsidRPr="00CD2F17" w:rsidRDefault="00CD2F17" w:rsidP="00F46FDA">
            <w:pPr>
              <w:spacing w:after="0" w:line="240" w:lineRule="auto"/>
              <w:rPr>
                <w:rFonts w:asciiTheme="majorHAnsi" w:hAnsiTheme="majorHAnsi"/>
              </w:rPr>
            </w:pPr>
            <w:r w:rsidRPr="00CD2F17">
              <w:rPr>
                <w:rFonts w:asciiTheme="majorHAnsi" w:hAnsiTheme="majorHAnsi"/>
              </w:rPr>
              <w:t>Národní program Životní prostředí</w:t>
            </w:r>
          </w:p>
        </w:tc>
      </w:tr>
      <w:tr w:rsidR="00B717D9" w:rsidRPr="006C132B" w14:paraId="7CB6CC7F" w14:textId="77777777" w:rsidTr="00B717D9">
        <w:trPr>
          <w:trHeight w:val="20"/>
        </w:trPr>
        <w:tc>
          <w:tcPr>
            <w:tcW w:w="1284" w:type="pct"/>
          </w:tcPr>
          <w:p w14:paraId="2756CC2C" w14:textId="77777777" w:rsidR="00B717D9" w:rsidRDefault="00B717D9" w:rsidP="00F46FDA">
            <w:pPr>
              <w:spacing w:after="0" w:line="240" w:lineRule="auto"/>
              <w:rPr>
                <w:rFonts w:asciiTheme="majorHAnsi" w:hAnsiTheme="majorHAnsi"/>
              </w:rPr>
            </w:pPr>
            <w:r>
              <w:rPr>
                <w:rFonts w:asciiTheme="majorHAnsi" w:hAnsiTheme="majorHAnsi"/>
              </w:rPr>
              <w:t xml:space="preserve">OP </w:t>
            </w:r>
            <w:r w:rsidR="00C77C42">
              <w:rPr>
                <w:rFonts w:asciiTheme="majorHAnsi" w:hAnsiTheme="majorHAnsi"/>
              </w:rPr>
              <w:t>TA</w:t>
            </w:r>
            <w:r>
              <w:rPr>
                <w:rFonts w:asciiTheme="majorHAnsi" w:hAnsiTheme="majorHAnsi"/>
              </w:rPr>
              <w:t>K</w:t>
            </w:r>
          </w:p>
        </w:tc>
        <w:tc>
          <w:tcPr>
            <w:tcW w:w="3716" w:type="pct"/>
          </w:tcPr>
          <w:p w14:paraId="47E37971" w14:textId="77777777" w:rsidR="00B717D9" w:rsidRDefault="00B717D9" w:rsidP="00F46FDA">
            <w:pPr>
              <w:spacing w:after="0" w:line="240" w:lineRule="auto"/>
              <w:rPr>
                <w:rFonts w:asciiTheme="majorHAnsi" w:hAnsiTheme="majorHAnsi"/>
              </w:rPr>
            </w:pPr>
            <w:r>
              <w:rPr>
                <w:rFonts w:asciiTheme="majorHAnsi" w:hAnsiTheme="majorHAnsi"/>
              </w:rPr>
              <w:t xml:space="preserve">Operační program </w:t>
            </w:r>
            <w:r w:rsidR="00C77C42">
              <w:rPr>
                <w:rFonts w:asciiTheme="majorHAnsi" w:hAnsiTheme="majorHAnsi"/>
              </w:rPr>
              <w:t xml:space="preserve">Technologie a Aplikace pro </w:t>
            </w:r>
            <w:r>
              <w:t>Konkurenceschopnost pro období 2021 – 2027</w:t>
            </w:r>
          </w:p>
        </w:tc>
      </w:tr>
      <w:tr w:rsidR="00B717D9" w:rsidRPr="006C132B" w14:paraId="40290877" w14:textId="77777777" w:rsidTr="00B717D9">
        <w:trPr>
          <w:trHeight w:val="20"/>
        </w:trPr>
        <w:tc>
          <w:tcPr>
            <w:tcW w:w="1284" w:type="pct"/>
          </w:tcPr>
          <w:p w14:paraId="0BD02C49" w14:textId="77777777" w:rsidR="00B717D9" w:rsidRPr="00C02F4F" w:rsidRDefault="00B717D9" w:rsidP="00F46FDA">
            <w:pPr>
              <w:spacing w:after="0" w:line="240" w:lineRule="auto"/>
              <w:rPr>
                <w:rFonts w:asciiTheme="majorHAnsi" w:hAnsiTheme="majorHAnsi"/>
              </w:rPr>
            </w:pPr>
            <w:r w:rsidRPr="00C02F4F">
              <w:rPr>
                <w:rFonts w:asciiTheme="majorHAnsi" w:hAnsiTheme="majorHAnsi"/>
              </w:rPr>
              <w:t>OP PIK</w:t>
            </w:r>
          </w:p>
        </w:tc>
        <w:tc>
          <w:tcPr>
            <w:tcW w:w="3716" w:type="pct"/>
          </w:tcPr>
          <w:p w14:paraId="4C3FA1A5" w14:textId="77777777" w:rsidR="00B717D9" w:rsidRPr="001C351B" w:rsidRDefault="00B717D9" w:rsidP="00F46FDA">
            <w:pPr>
              <w:spacing w:after="0" w:line="240" w:lineRule="auto"/>
              <w:rPr>
                <w:rFonts w:asciiTheme="majorHAnsi" w:hAnsiTheme="majorHAnsi"/>
              </w:rPr>
            </w:pPr>
            <w:r w:rsidRPr="00C02F4F">
              <w:rPr>
                <w:rFonts w:asciiTheme="majorHAnsi" w:hAnsiTheme="majorHAnsi"/>
              </w:rPr>
              <w:t>Operační program Podnikání a inovace pro konkurenceschopnost</w:t>
            </w:r>
            <w:r w:rsidR="00994D9E" w:rsidRPr="00C02F4F">
              <w:rPr>
                <w:rFonts w:asciiTheme="majorHAnsi" w:hAnsiTheme="majorHAnsi"/>
              </w:rPr>
              <w:t xml:space="preserve"> 2014 </w:t>
            </w:r>
            <w:r w:rsidR="002403AF">
              <w:rPr>
                <w:rFonts w:asciiTheme="majorHAnsi" w:hAnsiTheme="majorHAnsi"/>
              </w:rPr>
              <w:t>–</w:t>
            </w:r>
            <w:r w:rsidR="00994D9E" w:rsidRPr="00C02F4F">
              <w:rPr>
                <w:rFonts w:asciiTheme="majorHAnsi" w:hAnsiTheme="majorHAnsi"/>
              </w:rPr>
              <w:t xml:space="preserve"> 2020</w:t>
            </w:r>
          </w:p>
        </w:tc>
      </w:tr>
      <w:tr w:rsidR="005042A3" w:rsidRPr="006C132B" w14:paraId="72D808FF" w14:textId="77777777" w:rsidTr="00B717D9">
        <w:trPr>
          <w:trHeight w:val="20"/>
        </w:trPr>
        <w:tc>
          <w:tcPr>
            <w:tcW w:w="1284" w:type="pct"/>
          </w:tcPr>
          <w:p w14:paraId="013688B0" w14:textId="77777777" w:rsidR="005042A3" w:rsidRDefault="005042A3" w:rsidP="00F46FDA">
            <w:pPr>
              <w:spacing w:after="0" w:line="240" w:lineRule="auto"/>
              <w:rPr>
                <w:rFonts w:asciiTheme="majorHAnsi" w:hAnsiTheme="majorHAnsi"/>
              </w:rPr>
            </w:pPr>
            <w:r>
              <w:rPr>
                <w:rFonts w:asciiTheme="majorHAnsi" w:hAnsiTheme="majorHAnsi"/>
              </w:rPr>
              <w:t>OPŽP</w:t>
            </w:r>
          </w:p>
        </w:tc>
        <w:tc>
          <w:tcPr>
            <w:tcW w:w="3716" w:type="pct"/>
          </w:tcPr>
          <w:p w14:paraId="2426780B" w14:textId="77777777" w:rsidR="005042A3" w:rsidRDefault="005042A3" w:rsidP="00F46FDA">
            <w:pPr>
              <w:spacing w:after="0" w:line="240" w:lineRule="auto"/>
              <w:rPr>
                <w:rFonts w:asciiTheme="majorHAnsi" w:hAnsiTheme="majorHAnsi"/>
              </w:rPr>
            </w:pPr>
            <w:r>
              <w:rPr>
                <w:rFonts w:asciiTheme="majorHAnsi" w:hAnsiTheme="majorHAnsi"/>
              </w:rPr>
              <w:t>Operační program Životní prostředí 2014 - 2020</w:t>
            </w:r>
          </w:p>
        </w:tc>
      </w:tr>
      <w:tr w:rsidR="00B717D9" w:rsidRPr="006C132B" w14:paraId="269AC8C9" w14:textId="77777777" w:rsidTr="00B717D9">
        <w:trPr>
          <w:trHeight w:val="20"/>
        </w:trPr>
        <w:tc>
          <w:tcPr>
            <w:tcW w:w="1284" w:type="pct"/>
          </w:tcPr>
          <w:p w14:paraId="64DE2385" w14:textId="77777777" w:rsidR="00B717D9" w:rsidRDefault="00B717D9" w:rsidP="00F46FDA">
            <w:pPr>
              <w:spacing w:after="0" w:line="240" w:lineRule="auto"/>
              <w:rPr>
                <w:rFonts w:asciiTheme="majorHAnsi" w:hAnsiTheme="majorHAnsi"/>
              </w:rPr>
            </w:pPr>
            <w:r>
              <w:rPr>
                <w:rFonts w:asciiTheme="majorHAnsi" w:hAnsiTheme="majorHAnsi"/>
              </w:rPr>
              <w:t>PO</w:t>
            </w:r>
          </w:p>
        </w:tc>
        <w:tc>
          <w:tcPr>
            <w:tcW w:w="3716" w:type="pct"/>
          </w:tcPr>
          <w:p w14:paraId="390597BC" w14:textId="77777777" w:rsidR="00B717D9" w:rsidRDefault="00B717D9" w:rsidP="00F46FDA">
            <w:pPr>
              <w:spacing w:after="0" w:line="240" w:lineRule="auto"/>
              <w:rPr>
                <w:rFonts w:asciiTheme="majorHAnsi" w:hAnsiTheme="majorHAnsi"/>
              </w:rPr>
            </w:pPr>
            <w:r>
              <w:rPr>
                <w:rFonts w:asciiTheme="majorHAnsi" w:hAnsiTheme="majorHAnsi"/>
              </w:rPr>
              <w:t>Prioritní osa</w:t>
            </w:r>
          </w:p>
        </w:tc>
      </w:tr>
      <w:tr w:rsidR="00B717D9" w:rsidRPr="006C132B" w14:paraId="1B0E2763" w14:textId="77777777" w:rsidTr="00B717D9">
        <w:trPr>
          <w:trHeight w:val="20"/>
        </w:trPr>
        <w:tc>
          <w:tcPr>
            <w:tcW w:w="1284" w:type="pct"/>
          </w:tcPr>
          <w:p w14:paraId="1B15976C" w14:textId="77777777" w:rsidR="00B717D9" w:rsidRPr="00CD2F17" w:rsidRDefault="00B717D9" w:rsidP="00F46FDA">
            <w:pPr>
              <w:spacing w:after="0" w:line="240" w:lineRule="auto"/>
              <w:rPr>
                <w:rFonts w:asciiTheme="majorHAnsi" w:hAnsiTheme="majorHAnsi"/>
              </w:rPr>
            </w:pPr>
            <w:r w:rsidRPr="00CD2F17">
              <w:rPr>
                <w:rFonts w:asciiTheme="majorHAnsi" w:hAnsiTheme="majorHAnsi"/>
              </w:rPr>
              <w:t>ŘO</w:t>
            </w:r>
          </w:p>
        </w:tc>
        <w:tc>
          <w:tcPr>
            <w:tcW w:w="3716" w:type="pct"/>
          </w:tcPr>
          <w:p w14:paraId="265EB9E4" w14:textId="77777777" w:rsidR="00B717D9" w:rsidRDefault="00B717D9" w:rsidP="00F46FDA">
            <w:pPr>
              <w:spacing w:after="0" w:line="240" w:lineRule="auto"/>
              <w:rPr>
                <w:rFonts w:asciiTheme="majorHAnsi" w:hAnsiTheme="majorHAnsi"/>
              </w:rPr>
            </w:pPr>
            <w:r w:rsidRPr="00CD2F17">
              <w:rPr>
                <w:rFonts w:asciiTheme="majorHAnsi" w:hAnsiTheme="majorHAnsi"/>
              </w:rPr>
              <w:t>Řídící orgán</w:t>
            </w:r>
          </w:p>
        </w:tc>
      </w:tr>
      <w:tr w:rsidR="00B717D9" w:rsidRPr="006C132B" w14:paraId="61B68277" w14:textId="77777777" w:rsidTr="00B717D9">
        <w:trPr>
          <w:trHeight w:val="20"/>
        </w:trPr>
        <w:tc>
          <w:tcPr>
            <w:tcW w:w="1284" w:type="pct"/>
          </w:tcPr>
          <w:p w14:paraId="0909C65A" w14:textId="77777777" w:rsidR="00B717D9" w:rsidRDefault="00B717D9" w:rsidP="00F46FDA">
            <w:pPr>
              <w:spacing w:after="0" w:line="240" w:lineRule="auto"/>
              <w:rPr>
                <w:rFonts w:asciiTheme="majorHAnsi" w:hAnsiTheme="majorHAnsi"/>
              </w:rPr>
            </w:pPr>
            <w:r>
              <w:rPr>
                <w:rFonts w:asciiTheme="majorHAnsi" w:hAnsiTheme="majorHAnsi"/>
              </w:rPr>
              <w:t>SC</w:t>
            </w:r>
          </w:p>
        </w:tc>
        <w:tc>
          <w:tcPr>
            <w:tcW w:w="3716" w:type="pct"/>
          </w:tcPr>
          <w:p w14:paraId="570B25D0" w14:textId="77777777" w:rsidR="00B717D9" w:rsidRDefault="00B717D9" w:rsidP="00F46FDA">
            <w:pPr>
              <w:spacing w:after="0" w:line="240" w:lineRule="auto"/>
              <w:rPr>
                <w:rFonts w:asciiTheme="majorHAnsi" w:hAnsiTheme="majorHAnsi"/>
              </w:rPr>
            </w:pPr>
            <w:r>
              <w:rPr>
                <w:rFonts w:asciiTheme="majorHAnsi" w:hAnsiTheme="majorHAnsi"/>
              </w:rPr>
              <w:t>Specifický cíl</w:t>
            </w:r>
          </w:p>
        </w:tc>
      </w:tr>
      <w:tr w:rsidR="00B717D9" w:rsidRPr="006C132B" w14:paraId="49217442" w14:textId="77777777" w:rsidTr="00B717D9">
        <w:trPr>
          <w:trHeight w:val="20"/>
        </w:trPr>
        <w:tc>
          <w:tcPr>
            <w:tcW w:w="1284" w:type="pct"/>
          </w:tcPr>
          <w:p w14:paraId="31B7EA45" w14:textId="77777777" w:rsidR="00B717D9" w:rsidRDefault="005444AD" w:rsidP="00F46FDA">
            <w:pPr>
              <w:spacing w:after="0" w:line="240" w:lineRule="auto"/>
              <w:rPr>
                <w:rFonts w:asciiTheme="majorHAnsi" w:hAnsiTheme="majorHAnsi"/>
              </w:rPr>
            </w:pPr>
            <w:r>
              <w:rPr>
                <w:rFonts w:asciiTheme="majorHAnsi" w:hAnsiTheme="majorHAnsi"/>
              </w:rPr>
              <w:t>SFŽP</w:t>
            </w:r>
          </w:p>
        </w:tc>
        <w:tc>
          <w:tcPr>
            <w:tcW w:w="3716" w:type="pct"/>
          </w:tcPr>
          <w:p w14:paraId="77A32723" w14:textId="77777777" w:rsidR="00B717D9" w:rsidRDefault="005444AD" w:rsidP="00F46FDA">
            <w:pPr>
              <w:spacing w:after="0" w:line="240" w:lineRule="auto"/>
              <w:rPr>
                <w:rFonts w:asciiTheme="majorHAnsi" w:hAnsiTheme="majorHAnsi"/>
              </w:rPr>
            </w:pPr>
            <w:r>
              <w:rPr>
                <w:rFonts w:asciiTheme="majorHAnsi" w:hAnsiTheme="majorHAnsi"/>
              </w:rPr>
              <w:t>Státní fond životního prostředí</w:t>
            </w:r>
            <w:r w:rsidR="00CD2F17">
              <w:rPr>
                <w:rFonts w:asciiTheme="majorHAnsi" w:hAnsiTheme="majorHAnsi"/>
              </w:rPr>
              <w:t xml:space="preserve"> ČR</w:t>
            </w:r>
          </w:p>
        </w:tc>
      </w:tr>
      <w:tr w:rsidR="004D36C5" w:rsidRPr="006C132B" w14:paraId="64AE8B0F" w14:textId="77777777" w:rsidTr="00B717D9">
        <w:trPr>
          <w:trHeight w:val="20"/>
        </w:trPr>
        <w:tc>
          <w:tcPr>
            <w:tcW w:w="1284" w:type="pct"/>
          </w:tcPr>
          <w:p w14:paraId="2375DC46" w14:textId="77777777" w:rsidR="004D36C5" w:rsidRDefault="004D36C5" w:rsidP="00F46FDA">
            <w:pPr>
              <w:spacing w:after="0" w:line="240" w:lineRule="auto"/>
              <w:rPr>
                <w:rFonts w:asciiTheme="majorHAnsi" w:hAnsiTheme="majorHAnsi"/>
              </w:rPr>
            </w:pPr>
            <w:r>
              <w:rPr>
                <w:rFonts w:asciiTheme="majorHAnsi" w:hAnsiTheme="majorHAnsi"/>
              </w:rPr>
              <w:t>SP</w:t>
            </w:r>
          </w:p>
        </w:tc>
        <w:tc>
          <w:tcPr>
            <w:tcW w:w="3716" w:type="pct"/>
          </w:tcPr>
          <w:p w14:paraId="7B902A2A" w14:textId="77777777" w:rsidR="004D36C5" w:rsidRDefault="004D36C5" w:rsidP="00F46FDA">
            <w:pPr>
              <w:spacing w:after="0" w:line="240" w:lineRule="auto"/>
              <w:rPr>
                <w:rFonts w:asciiTheme="majorHAnsi" w:hAnsiTheme="majorHAnsi"/>
              </w:rPr>
            </w:pPr>
            <w:r>
              <w:rPr>
                <w:rFonts w:asciiTheme="majorHAnsi" w:hAnsiTheme="majorHAnsi"/>
              </w:rPr>
              <w:t>Střední podniky</w:t>
            </w:r>
          </w:p>
        </w:tc>
      </w:tr>
      <w:tr w:rsidR="004D36C5" w:rsidRPr="006C132B" w14:paraId="5118924E" w14:textId="77777777" w:rsidTr="00B717D9">
        <w:trPr>
          <w:trHeight w:val="20"/>
        </w:trPr>
        <w:tc>
          <w:tcPr>
            <w:tcW w:w="1284" w:type="pct"/>
          </w:tcPr>
          <w:p w14:paraId="1719BDC1" w14:textId="77777777" w:rsidR="004D36C5" w:rsidRDefault="004D36C5" w:rsidP="00F46FDA">
            <w:pPr>
              <w:spacing w:after="0" w:line="240" w:lineRule="auto"/>
              <w:rPr>
                <w:rFonts w:asciiTheme="majorHAnsi" w:hAnsiTheme="majorHAnsi"/>
              </w:rPr>
            </w:pPr>
            <w:r>
              <w:rPr>
                <w:rFonts w:asciiTheme="majorHAnsi" w:hAnsiTheme="majorHAnsi"/>
              </w:rPr>
              <w:t>VP</w:t>
            </w:r>
          </w:p>
        </w:tc>
        <w:tc>
          <w:tcPr>
            <w:tcW w:w="3716" w:type="pct"/>
          </w:tcPr>
          <w:p w14:paraId="51915FE4" w14:textId="77777777" w:rsidR="004D36C5" w:rsidRDefault="004D36C5" w:rsidP="00F46FDA">
            <w:pPr>
              <w:spacing w:after="0" w:line="240" w:lineRule="auto"/>
              <w:rPr>
                <w:rFonts w:asciiTheme="majorHAnsi" w:hAnsiTheme="majorHAnsi"/>
              </w:rPr>
            </w:pPr>
            <w:r>
              <w:rPr>
                <w:rFonts w:asciiTheme="majorHAnsi" w:hAnsiTheme="majorHAnsi"/>
              </w:rPr>
              <w:t>Velké podniky</w:t>
            </w:r>
          </w:p>
        </w:tc>
      </w:tr>
      <w:tr w:rsidR="00B717D9" w:rsidRPr="006C132B" w14:paraId="3FEAF6BC" w14:textId="77777777" w:rsidTr="00B717D9">
        <w:trPr>
          <w:trHeight w:val="20"/>
        </w:trPr>
        <w:tc>
          <w:tcPr>
            <w:tcW w:w="1284" w:type="pct"/>
          </w:tcPr>
          <w:p w14:paraId="36B1AA6E" w14:textId="77777777" w:rsidR="00B717D9" w:rsidRDefault="00B717D9" w:rsidP="00F46FDA">
            <w:pPr>
              <w:spacing w:after="0" w:line="240" w:lineRule="auto"/>
              <w:rPr>
                <w:rFonts w:asciiTheme="majorHAnsi" w:hAnsiTheme="majorHAnsi"/>
              </w:rPr>
            </w:pPr>
            <w:r>
              <w:rPr>
                <w:rFonts w:asciiTheme="majorHAnsi" w:hAnsiTheme="majorHAnsi"/>
              </w:rPr>
              <w:t>VZ</w:t>
            </w:r>
          </w:p>
        </w:tc>
        <w:tc>
          <w:tcPr>
            <w:tcW w:w="3716" w:type="pct"/>
          </w:tcPr>
          <w:p w14:paraId="58E40D9C" w14:textId="77777777" w:rsidR="00B717D9" w:rsidRDefault="00B717D9" w:rsidP="00F46FDA">
            <w:pPr>
              <w:spacing w:after="0" w:line="240" w:lineRule="auto"/>
              <w:rPr>
                <w:rFonts w:asciiTheme="majorHAnsi" w:hAnsiTheme="majorHAnsi"/>
              </w:rPr>
            </w:pPr>
            <w:r>
              <w:rPr>
                <w:rFonts w:asciiTheme="majorHAnsi" w:hAnsiTheme="majorHAnsi"/>
              </w:rPr>
              <w:t>Vstupní zpráva</w:t>
            </w:r>
          </w:p>
        </w:tc>
      </w:tr>
      <w:tr w:rsidR="00B717D9" w:rsidRPr="00CD2F17" w14:paraId="0ACCCDE2" w14:textId="77777777" w:rsidTr="00B717D9">
        <w:trPr>
          <w:trHeight w:val="20"/>
        </w:trPr>
        <w:tc>
          <w:tcPr>
            <w:tcW w:w="1284" w:type="pct"/>
          </w:tcPr>
          <w:p w14:paraId="340854B4" w14:textId="77777777" w:rsidR="00B717D9" w:rsidRPr="00CD2F17" w:rsidRDefault="00B717D9" w:rsidP="00F46FDA">
            <w:pPr>
              <w:spacing w:after="0" w:line="240" w:lineRule="auto"/>
              <w:rPr>
                <w:rFonts w:asciiTheme="majorHAnsi" w:hAnsiTheme="majorHAnsi"/>
              </w:rPr>
            </w:pPr>
            <w:r w:rsidRPr="00CD2F17">
              <w:rPr>
                <w:rFonts w:asciiTheme="majorHAnsi" w:hAnsiTheme="majorHAnsi"/>
              </w:rPr>
              <w:t>ZS</w:t>
            </w:r>
          </w:p>
        </w:tc>
        <w:tc>
          <w:tcPr>
            <w:tcW w:w="3716" w:type="pct"/>
          </w:tcPr>
          <w:p w14:paraId="3EA63F07" w14:textId="77777777" w:rsidR="00B717D9" w:rsidRPr="00CD2F17" w:rsidRDefault="00B717D9" w:rsidP="00F46FDA">
            <w:pPr>
              <w:spacing w:after="0" w:line="240" w:lineRule="auto"/>
              <w:rPr>
                <w:rFonts w:asciiTheme="majorHAnsi" w:hAnsiTheme="majorHAnsi"/>
              </w:rPr>
            </w:pPr>
            <w:r w:rsidRPr="00CD2F17">
              <w:rPr>
                <w:rFonts w:asciiTheme="majorHAnsi" w:hAnsiTheme="majorHAnsi"/>
              </w:rPr>
              <w:t>Zprostředkující subjekt</w:t>
            </w:r>
          </w:p>
        </w:tc>
      </w:tr>
      <w:tr w:rsidR="00B717D9" w:rsidRPr="006C132B" w14:paraId="632A86C1" w14:textId="77777777" w:rsidTr="00B717D9">
        <w:trPr>
          <w:trHeight w:val="20"/>
        </w:trPr>
        <w:tc>
          <w:tcPr>
            <w:tcW w:w="1284" w:type="pct"/>
          </w:tcPr>
          <w:p w14:paraId="6E02FE83" w14:textId="77777777" w:rsidR="00B717D9" w:rsidRPr="00C02F4F" w:rsidRDefault="00B717D9" w:rsidP="00F46FDA">
            <w:pPr>
              <w:spacing w:after="0" w:line="240" w:lineRule="auto"/>
              <w:rPr>
                <w:rFonts w:asciiTheme="majorHAnsi" w:hAnsiTheme="majorHAnsi"/>
              </w:rPr>
            </w:pPr>
            <w:r w:rsidRPr="00C02F4F">
              <w:rPr>
                <w:rFonts w:asciiTheme="majorHAnsi" w:hAnsiTheme="majorHAnsi"/>
              </w:rPr>
              <w:t>ŽaP</w:t>
            </w:r>
          </w:p>
        </w:tc>
        <w:tc>
          <w:tcPr>
            <w:tcW w:w="3716" w:type="pct"/>
          </w:tcPr>
          <w:p w14:paraId="03EAD643" w14:textId="77777777" w:rsidR="00B717D9" w:rsidRDefault="00B717D9" w:rsidP="00F46FDA">
            <w:pPr>
              <w:spacing w:after="0" w:line="240" w:lineRule="auto"/>
              <w:rPr>
                <w:rFonts w:asciiTheme="majorHAnsi" w:hAnsiTheme="majorHAnsi"/>
              </w:rPr>
            </w:pPr>
            <w:r w:rsidRPr="00C02F4F">
              <w:rPr>
                <w:rFonts w:asciiTheme="majorHAnsi" w:hAnsiTheme="majorHAnsi"/>
              </w:rPr>
              <w:t>Žadatelé a Příjemci</w:t>
            </w:r>
          </w:p>
        </w:tc>
      </w:tr>
      <w:tr w:rsidR="00B717D9" w:rsidRPr="006C132B" w14:paraId="3185AC5D" w14:textId="77777777" w:rsidTr="00B717D9">
        <w:trPr>
          <w:trHeight w:val="20"/>
        </w:trPr>
        <w:tc>
          <w:tcPr>
            <w:tcW w:w="1284" w:type="pct"/>
          </w:tcPr>
          <w:p w14:paraId="71807FB7" w14:textId="77777777" w:rsidR="00B717D9" w:rsidRDefault="00B717D9" w:rsidP="00F46FDA">
            <w:pPr>
              <w:spacing w:after="0" w:line="240" w:lineRule="auto"/>
              <w:rPr>
                <w:rFonts w:asciiTheme="majorHAnsi" w:hAnsiTheme="majorHAnsi"/>
              </w:rPr>
            </w:pPr>
          </w:p>
        </w:tc>
        <w:tc>
          <w:tcPr>
            <w:tcW w:w="3716" w:type="pct"/>
          </w:tcPr>
          <w:p w14:paraId="69B07502" w14:textId="77777777" w:rsidR="00B717D9" w:rsidRDefault="00B717D9" w:rsidP="00F46FDA">
            <w:pPr>
              <w:spacing w:after="0" w:line="240" w:lineRule="auto"/>
              <w:rPr>
                <w:rFonts w:asciiTheme="majorHAnsi" w:hAnsiTheme="majorHAnsi"/>
              </w:rPr>
            </w:pPr>
          </w:p>
        </w:tc>
      </w:tr>
    </w:tbl>
    <w:p w14:paraId="70322F11" w14:textId="77777777" w:rsidR="00A770FD" w:rsidRDefault="00A770FD" w:rsidP="00F46FDA">
      <w:pPr>
        <w:spacing w:line="240" w:lineRule="auto"/>
      </w:pPr>
    </w:p>
    <w:p w14:paraId="5044A3B9" w14:textId="77777777" w:rsidR="00E50E59" w:rsidRDefault="00E50E59" w:rsidP="00F46FDA">
      <w:pPr>
        <w:spacing w:after="200" w:line="240" w:lineRule="auto"/>
        <w:sectPr w:rsidR="00E50E59" w:rsidSect="000157D2">
          <w:footerReference w:type="default" r:id="rId14"/>
          <w:pgSz w:w="11906" w:h="16838" w:code="9"/>
          <w:pgMar w:top="1418" w:right="1418" w:bottom="1418" w:left="1418" w:header="680" w:footer="567" w:gutter="0"/>
          <w:pgNumType w:start="0"/>
          <w:cols w:space="284"/>
          <w:titlePg/>
          <w:docGrid w:linePitch="360"/>
        </w:sectPr>
      </w:pPr>
    </w:p>
    <w:p w14:paraId="7449D67B" w14:textId="77777777" w:rsidR="00A770FD" w:rsidRPr="00ED6C9E" w:rsidRDefault="00325487" w:rsidP="00562D5D">
      <w:pPr>
        <w:pStyle w:val="Heading1"/>
        <w:ind w:left="709" w:hanging="709"/>
      </w:pPr>
      <w:bookmarkStart w:id="3" w:name="_Toc37248814"/>
      <w:r>
        <w:lastRenderedPageBreak/>
        <w:t>Předmět zprávy</w:t>
      </w:r>
      <w:bookmarkEnd w:id="3"/>
    </w:p>
    <w:p w14:paraId="4FB62A90" w14:textId="77777777" w:rsidR="00547A23" w:rsidRDefault="00547A23" w:rsidP="00F46FDA">
      <w:pPr>
        <w:spacing w:after="120" w:line="240" w:lineRule="auto"/>
        <w:jc w:val="both"/>
      </w:pPr>
      <w:bookmarkStart w:id="4" w:name="_Toc26256098"/>
      <w:bookmarkStart w:id="5" w:name="_Toc26532932"/>
      <w:bookmarkStart w:id="6" w:name="_Toc26539318"/>
      <w:bookmarkStart w:id="7" w:name="_Toc26540868"/>
      <w:bookmarkStart w:id="8" w:name="_Toc26540899"/>
      <w:bookmarkEnd w:id="4"/>
      <w:bookmarkEnd w:id="5"/>
      <w:bookmarkEnd w:id="6"/>
      <w:bookmarkEnd w:id="7"/>
      <w:bookmarkEnd w:id="8"/>
      <w:r w:rsidRPr="006062A2">
        <w:t xml:space="preserve">Společnost Deloitte Advisory s.r.o. (dále jen „Deloitte“ nebo „Dodavatel“) </w:t>
      </w:r>
      <w:r>
        <w:t>byla v rámci veřejné soutěže</w:t>
      </w:r>
      <w:r w:rsidRPr="006062A2">
        <w:t xml:space="preserve"> </w:t>
      </w:r>
      <w:r>
        <w:t>vybrána jako Dodavatel</w:t>
      </w:r>
      <w:r w:rsidRPr="006062A2">
        <w:t xml:space="preserve"> zakázky</w:t>
      </w:r>
      <w:r>
        <w:t xml:space="preserve"> s </w:t>
      </w:r>
      <w:r w:rsidRPr="006062A2">
        <w:t>názvem „</w:t>
      </w:r>
      <w:r w:rsidRPr="00547A23">
        <w:rPr>
          <w:b/>
        </w:rPr>
        <w:t xml:space="preserve">Analýza tržní situace a specifikace vhodných forem podpory pro účely přípravy priority </w:t>
      </w:r>
      <w:r w:rsidR="009E69C2">
        <w:rPr>
          <w:b/>
        </w:rPr>
        <w:t>3</w:t>
      </w:r>
      <w:r w:rsidR="009E69C2" w:rsidRPr="00547A23">
        <w:rPr>
          <w:b/>
        </w:rPr>
        <w:t xml:space="preserve"> </w:t>
      </w:r>
      <w:r w:rsidRPr="00547A23">
        <w:rPr>
          <w:b/>
        </w:rPr>
        <w:t xml:space="preserve">OP </w:t>
      </w:r>
      <w:r w:rsidR="001F070C">
        <w:rPr>
          <w:b/>
        </w:rPr>
        <w:t>TA</w:t>
      </w:r>
      <w:r w:rsidRPr="00547A23">
        <w:rPr>
          <w:b/>
        </w:rPr>
        <w:t xml:space="preserve">K - </w:t>
      </w:r>
      <w:r w:rsidR="009E69C2" w:rsidRPr="009E69C2">
        <w:rPr>
          <w:b/>
        </w:rPr>
        <w:t>Posun k nízkouhlíkovému hospodářství</w:t>
      </w:r>
      <w:r w:rsidRPr="00547A23">
        <w:rPr>
          <w:b/>
        </w:rPr>
        <w:t xml:space="preserve"> operačního programu zaměřeného na konkurenceschopnost pro období 2021 – 2027</w:t>
      </w:r>
      <w:r>
        <w:t>“ (dále také „Projekt“) pro Ministerstvo</w:t>
      </w:r>
      <w:r w:rsidRPr="006062A2">
        <w:t xml:space="preserve"> </w:t>
      </w:r>
      <w:r>
        <w:t>průmyslu a obchodu</w:t>
      </w:r>
      <w:r w:rsidRPr="006062A2">
        <w:t xml:space="preserve"> (dále také „</w:t>
      </w:r>
      <w:r>
        <w:t>MPO“ nebo „Zadavatel“).</w:t>
      </w:r>
    </w:p>
    <w:p w14:paraId="1A8BB626" w14:textId="47B21368" w:rsidR="00CA5B97" w:rsidRPr="0007743D" w:rsidRDefault="00547A23" w:rsidP="00F46FDA">
      <w:pPr>
        <w:spacing w:after="120" w:line="240" w:lineRule="auto"/>
        <w:jc w:val="both"/>
        <w:rPr>
          <w:b/>
        </w:rPr>
      </w:pPr>
      <w:r w:rsidRPr="00214F05">
        <w:rPr>
          <w:b/>
        </w:rPr>
        <w:t>Cílem</w:t>
      </w:r>
      <w:r>
        <w:t xml:space="preserve"> evaluace je </w:t>
      </w:r>
      <w:r w:rsidR="00CA5B97" w:rsidRPr="00CA5B97">
        <w:rPr>
          <w:b/>
        </w:rPr>
        <w:t xml:space="preserve">identifikovat </w:t>
      </w:r>
      <w:r w:rsidR="00D4544E">
        <w:rPr>
          <w:b/>
        </w:rPr>
        <w:t xml:space="preserve">v oblastech </w:t>
      </w:r>
      <w:r w:rsidR="00D4544E" w:rsidRPr="00D4544E">
        <w:rPr>
          <w:b/>
        </w:rPr>
        <w:t>podpory specifických cílů</w:t>
      </w:r>
      <w:r w:rsidR="00D4544E">
        <w:t xml:space="preserve"> (dále také jen „SC“) </w:t>
      </w:r>
      <w:r w:rsidR="0075651C">
        <w:br/>
      </w:r>
      <w:r w:rsidR="009E69C2">
        <w:rPr>
          <w:b/>
        </w:rPr>
        <w:t>3</w:t>
      </w:r>
      <w:r w:rsidR="00D4544E" w:rsidRPr="00D4544E">
        <w:rPr>
          <w:b/>
        </w:rPr>
        <w:t xml:space="preserve">.1 </w:t>
      </w:r>
      <w:r w:rsidR="0075651C">
        <w:rPr>
          <w:b/>
        </w:rPr>
        <w:t>-</w:t>
      </w:r>
      <w:r w:rsidR="00D4544E" w:rsidRPr="00D4544E">
        <w:rPr>
          <w:b/>
        </w:rPr>
        <w:t xml:space="preserve"> </w:t>
      </w:r>
      <w:r w:rsidR="009E69C2">
        <w:rPr>
          <w:b/>
        </w:rPr>
        <w:t>3</w:t>
      </w:r>
      <w:r w:rsidR="00D4544E" w:rsidRPr="00D4544E">
        <w:rPr>
          <w:b/>
        </w:rPr>
        <w:t>.</w:t>
      </w:r>
      <w:r w:rsidR="0075651C">
        <w:rPr>
          <w:b/>
        </w:rPr>
        <w:t>4</w:t>
      </w:r>
      <w:r w:rsidR="00D4544E">
        <w:t xml:space="preserve"> prioritní osy </w:t>
      </w:r>
      <w:r w:rsidR="009E69C2">
        <w:t xml:space="preserve">3 </w:t>
      </w:r>
      <w:r w:rsidR="00D4544E">
        <w:t>„</w:t>
      </w:r>
      <w:r w:rsidR="009E69C2" w:rsidRPr="001B11C7">
        <w:rPr>
          <w:b/>
        </w:rPr>
        <w:t>Posun k nízkouhlíkovému hospodářství</w:t>
      </w:r>
      <w:r w:rsidR="00D4544E">
        <w:t xml:space="preserve">“ Operačního programu </w:t>
      </w:r>
      <w:r w:rsidR="00C77C42">
        <w:t xml:space="preserve">Technologie a Aplikace pro </w:t>
      </w:r>
      <w:r w:rsidR="00D4544E">
        <w:t xml:space="preserve">Konkurenceschopnost pro období 2021 – 2027 (dále také jen „OP </w:t>
      </w:r>
      <w:r w:rsidR="00C77C42">
        <w:t>TA</w:t>
      </w:r>
      <w:r w:rsidR="00D4544E">
        <w:t>K“)</w:t>
      </w:r>
      <w:r w:rsidR="00C569E0">
        <w:rPr>
          <w:rStyle w:val="FootnoteReference"/>
        </w:rPr>
        <w:footnoteReference w:id="2"/>
      </w:r>
      <w:r w:rsidR="00D4544E">
        <w:t xml:space="preserve"> </w:t>
      </w:r>
      <w:r w:rsidR="00CA5B97" w:rsidRPr="00CA5B97">
        <w:rPr>
          <w:b/>
        </w:rPr>
        <w:t>momenty tržního selhání a suboptimálních investičních situací</w:t>
      </w:r>
      <w:r w:rsidR="00262C22">
        <w:rPr>
          <w:b/>
        </w:rPr>
        <w:t xml:space="preserve"> a</w:t>
      </w:r>
      <w:r w:rsidR="00CA5B97" w:rsidRPr="00CA5B97">
        <w:rPr>
          <w:b/>
        </w:rPr>
        <w:t xml:space="preserve"> </w:t>
      </w:r>
      <w:r w:rsidR="00D4544E">
        <w:rPr>
          <w:b/>
        </w:rPr>
        <w:t xml:space="preserve">analyzovat </w:t>
      </w:r>
      <w:r w:rsidR="00CA5B97" w:rsidRPr="00CA5B97">
        <w:rPr>
          <w:b/>
        </w:rPr>
        <w:t>jejich projev</w:t>
      </w:r>
      <w:r w:rsidR="00D4544E">
        <w:rPr>
          <w:b/>
        </w:rPr>
        <w:t>y, důvody</w:t>
      </w:r>
      <w:r w:rsidR="00CA5B97" w:rsidRPr="00CA5B97">
        <w:rPr>
          <w:b/>
        </w:rPr>
        <w:t xml:space="preserve"> a regionáln</w:t>
      </w:r>
      <w:r w:rsidR="00D4544E">
        <w:rPr>
          <w:b/>
        </w:rPr>
        <w:t>í</w:t>
      </w:r>
      <w:r w:rsidR="00CA5B97" w:rsidRPr="00CA5B97">
        <w:rPr>
          <w:b/>
        </w:rPr>
        <w:t xml:space="preserve"> rozdíl</w:t>
      </w:r>
      <w:r w:rsidR="00D4544E">
        <w:rPr>
          <w:b/>
        </w:rPr>
        <w:t>y</w:t>
      </w:r>
      <w:r w:rsidR="00CA5B97">
        <w:t>.</w:t>
      </w:r>
      <w:r w:rsidR="00CA5B97" w:rsidRPr="00EE0921">
        <w:rPr>
          <w:b/>
        </w:rPr>
        <w:t xml:space="preserve"> </w:t>
      </w:r>
      <w:r w:rsidR="00AC34C8">
        <w:rPr>
          <w:b/>
        </w:rPr>
        <w:br/>
      </w:r>
      <w:r w:rsidR="00AC34C8">
        <w:rPr>
          <w:b/>
        </w:rPr>
        <w:br/>
      </w:r>
      <w:r w:rsidR="00AC34C8">
        <w:t xml:space="preserve">Analýza má zhodnotit </w:t>
      </w:r>
      <w:r w:rsidR="00AC34C8" w:rsidRPr="002A0011">
        <w:rPr>
          <w:b/>
        </w:rPr>
        <w:t xml:space="preserve">nejen to, zda  </w:t>
      </w:r>
      <w:r w:rsidR="00AC34C8" w:rsidRPr="002A0011">
        <w:rPr>
          <w:b/>
          <w:lang w:val="en-US"/>
        </w:rPr>
        <w:t>aktu</w:t>
      </w:r>
      <w:r w:rsidR="00AC34C8" w:rsidRPr="002A0011">
        <w:rPr>
          <w:b/>
        </w:rPr>
        <w:t>álně dochází k tržnímu selhání, ale i to, zda by k němu v období 2021 – 2027 mohlo dojít.</w:t>
      </w:r>
      <w:r w:rsidR="00AC34C8">
        <w:t xml:space="preserve"> Analýza se zaměří i na možný budoucí vývoj souvisejících ukazatelů na </w:t>
      </w:r>
      <w:r w:rsidR="00AC34C8" w:rsidRPr="00AC354E">
        <w:t xml:space="preserve">finančním trhu relevantní pro cílové skupiny, respektive poskytne určitou předpověď vývoje v krátkodobém, střednědobém a dlouhodobém horizontu (s uvedením za jakých podmínek a předpokladů by popisovaný stav mohl nastat). Dodavatel mimo jiné zhodnotí i možné dopady aktuálně probíhající pandemie Covid-19 a s ní související změny potřeb a investičních plánů podnikatelů. </w:t>
      </w:r>
      <w:r w:rsidR="00AC34C8">
        <w:rPr>
          <w:b/>
        </w:rPr>
        <w:br/>
      </w:r>
      <w:r w:rsidR="00AC34C8">
        <w:rPr>
          <w:b/>
        </w:rPr>
        <w:br/>
      </w:r>
      <w:r w:rsidR="00CA5B97">
        <w:rPr>
          <w:b/>
        </w:rPr>
        <w:t>Výstupem</w:t>
      </w:r>
      <w:r w:rsidR="00CA5B97">
        <w:t xml:space="preserve"> provedené analýzy budou </w:t>
      </w:r>
      <w:r w:rsidR="00CA5B97" w:rsidRPr="00B717D9">
        <w:rPr>
          <w:b/>
        </w:rPr>
        <w:t xml:space="preserve">doporučení pro využití </w:t>
      </w:r>
      <w:r w:rsidR="00D4544E" w:rsidRPr="00B717D9">
        <w:rPr>
          <w:b/>
        </w:rPr>
        <w:t xml:space="preserve">vhodných </w:t>
      </w:r>
      <w:r w:rsidR="00CA5B97" w:rsidRPr="00B717D9">
        <w:rPr>
          <w:b/>
        </w:rPr>
        <w:t>dostupných forem podpory</w:t>
      </w:r>
      <w:r w:rsidR="00CA5B97">
        <w:t xml:space="preserve"> </w:t>
      </w:r>
      <w:r w:rsidR="00D4544E">
        <w:t xml:space="preserve">(dotací, finančních nástrojů či jejich kombinace) </w:t>
      </w:r>
      <w:r w:rsidR="00B717D9" w:rsidRPr="00B717D9">
        <w:rPr>
          <w:b/>
        </w:rPr>
        <w:t xml:space="preserve">za účelem řešení tržního selhání v oblastech SC </w:t>
      </w:r>
      <w:r w:rsidR="00E85DC2">
        <w:rPr>
          <w:b/>
        </w:rPr>
        <w:t>3</w:t>
      </w:r>
      <w:r w:rsidR="00B717D9" w:rsidRPr="00B717D9">
        <w:rPr>
          <w:b/>
        </w:rPr>
        <w:t xml:space="preserve">.1 </w:t>
      </w:r>
      <w:r w:rsidR="0075651C">
        <w:rPr>
          <w:b/>
        </w:rPr>
        <w:t>-</w:t>
      </w:r>
      <w:r w:rsidR="00B717D9" w:rsidRPr="00B717D9">
        <w:rPr>
          <w:b/>
        </w:rPr>
        <w:t xml:space="preserve"> </w:t>
      </w:r>
      <w:r w:rsidR="00E85DC2">
        <w:rPr>
          <w:b/>
        </w:rPr>
        <w:t>3</w:t>
      </w:r>
      <w:r w:rsidR="00B717D9" w:rsidRPr="00B717D9">
        <w:rPr>
          <w:b/>
        </w:rPr>
        <w:t>.</w:t>
      </w:r>
      <w:r w:rsidR="0075651C">
        <w:rPr>
          <w:b/>
        </w:rPr>
        <w:t>4</w:t>
      </w:r>
      <w:r w:rsidR="00B717D9" w:rsidRPr="00B717D9">
        <w:rPr>
          <w:b/>
        </w:rPr>
        <w:t xml:space="preserve"> a to včetně odůvodnění</w:t>
      </w:r>
      <w:r w:rsidR="00B717D9">
        <w:t>.</w:t>
      </w:r>
    </w:p>
    <w:p w14:paraId="7CD78F7E" w14:textId="7B48C4A9" w:rsidR="00547A23" w:rsidRDefault="00547A23" w:rsidP="00F46FDA">
      <w:pPr>
        <w:spacing w:line="240" w:lineRule="auto"/>
        <w:jc w:val="both"/>
      </w:pPr>
      <w:r>
        <w:t xml:space="preserve">Tato Vstupní zpráva (dále také jen „VZ“) obsahuje zejména </w:t>
      </w:r>
      <w:r w:rsidRPr="00EE0921">
        <w:rPr>
          <w:b/>
        </w:rPr>
        <w:t xml:space="preserve">detailní popis postupu </w:t>
      </w:r>
      <w:r>
        <w:rPr>
          <w:b/>
        </w:rPr>
        <w:t xml:space="preserve">realizace zakázky nastíněného již v nabídce Dodavatele. </w:t>
      </w:r>
      <w:r>
        <w:t xml:space="preserve">Detailní návrh postupu validovaný se Zadavatelem v úvodní fázi zakázky přispěje k </w:t>
      </w:r>
      <w:r w:rsidRPr="00AE66FC">
        <w:t>efektivnímu zajištění sběru všech dat potřebných pro evaluaci a formulaci případných doporučení.</w:t>
      </w:r>
      <w:r>
        <w:t xml:space="preserve"> </w:t>
      </w:r>
      <w:r w:rsidR="00C569E0">
        <w:t xml:space="preserve">Vstupní zpráva obsahuje také </w:t>
      </w:r>
      <w:r w:rsidR="00C569E0" w:rsidRPr="00715184">
        <w:rPr>
          <w:b/>
        </w:rPr>
        <w:t>dosavadní zjištění</w:t>
      </w:r>
      <w:r w:rsidR="00C569E0">
        <w:t xml:space="preserve"> vyplývající z iniciální analýzy a dosavadních znalostí a zkušeností Dodavatele, a </w:t>
      </w:r>
      <w:r w:rsidR="00C569E0" w:rsidRPr="00715184">
        <w:rPr>
          <w:b/>
        </w:rPr>
        <w:t>hypotézy vyplývající z těchto zjištění,</w:t>
      </w:r>
      <w:r w:rsidR="00C569E0">
        <w:t xml:space="preserve"> které budou ověřovány v průběhu dalších etap Projektu. </w:t>
      </w:r>
    </w:p>
    <w:p w14:paraId="74A8BDBF" w14:textId="77777777" w:rsidR="00325487" w:rsidRDefault="00547A23" w:rsidP="00F46FDA">
      <w:pPr>
        <w:spacing w:after="120" w:line="240" w:lineRule="auto"/>
        <w:jc w:val="both"/>
      </w:pPr>
      <w:r>
        <w:t>Následující kapitoly obsahují detailní popis postupu navržených evaluačních metod včetně harmonogramu jejich realizace a pož</w:t>
      </w:r>
      <w:r w:rsidR="00262C22">
        <w:t>adované součinnosti Zadavatele.</w:t>
      </w:r>
      <w:r w:rsidR="00325487">
        <w:br w:type="page"/>
      </w:r>
    </w:p>
    <w:p w14:paraId="088434A9" w14:textId="77777777" w:rsidR="00325487" w:rsidRPr="00325487" w:rsidRDefault="00325487" w:rsidP="00562D5D">
      <w:pPr>
        <w:pStyle w:val="Heading1"/>
        <w:ind w:left="709" w:hanging="709"/>
      </w:pPr>
      <w:bookmarkStart w:id="9" w:name="_Toc26256101"/>
      <w:bookmarkStart w:id="10" w:name="_Toc37248815"/>
      <w:r>
        <w:lastRenderedPageBreak/>
        <w:t>Metodický p</w:t>
      </w:r>
      <w:r w:rsidR="0006690C" w:rsidRPr="00B5454B">
        <w:t>ostup</w:t>
      </w:r>
      <w:bookmarkEnd w:id="9"/>
      <w:bookmarkEnd w:id="10"/>
    </w:p>
    <w:p w14:paraId="52E4FD01" w14:textId="40AA137D" w:rsidR="00FC0981" w:rsidRDefault="00FC0981" w:rsidP="00F46FDA">
      <w:pPr>
        <w:spacing w:after="120" w:line="240" w:lineRule="auto"/>
        <w:jc w:val="both"/>
      </w:pPr>
      <w:r w:rsidRPr="00D251B5">
        <w:t>V souladu se zadávací dokumentací Projektu</w:t>
      </w:r>
      <w:r>
        <w:t xml:space="preserve"> a </w:t>
      </w:r>
      <w:r w:rsidRPr="00D251B5">
        <w:t xml:space="preserve">upřesněním na </w:t>
      </w:r>
      <w:r w:rsidR="00B85A31">
        <w:t>úvodních jednáních</w:t>
      </w:r>
      <w:r>
        <w:t xml:space="preserve"> s </w:t>
      </w:r>
      <w:r w:rsidRPr="00D251B5">
        <w:t>projektovým týmem Zadavatele byl zpracován detailní postup</w:t>
      </w:r>
      <w:r>
        <w:t xml:space="preserve"> k </w:t>
      </w:r>
      <w:r w:rsidRPr="00D251B5">
        <w:t>realizaci jednotlivých částí evaluace. Tento postup upřesňuje postup navržený Dodavatelem</w:t>
      </w:r>
      <w:r>
        <w:t xml:space="preserve"> v </w:t>
      </w:r>
      <w:r w:rsidRPr="00D251B5">
        <w:t>nabídce</w:t>
      </w:r>
      <w:r>
        <w:t>.</w:t>
      </w:r>
      <w:r w:rsidRPr="00D251B5">
        <w:t xml:space="preserve"> </w:t>
      </w:r>
    </w:p>
    <w:p w14:paraId="667EDB92" w14:textId="34624512" w:rsidR="00E94AF3" w:rsidRDefault="00E94AF3" w:rsidP="00E94AF3">
      <w:pPr>
        <w:spacing w:line="240" w:lineRule="auto"/>
        <w:jc w:val="both"/>
      </w:pPr>
      <w:r>
        <w:t xml:space="preserve">Vzhledem k aktuálním omezením vyplývajícím z bezpečnostních opatření souvisejících s probíhající epidemií koronaviru navrhuje Dodavatel realizovat individuální rozhovory, případně fokusní skupiny či expertní panel, </w:t>
      </w:r>
      <w:r w:rsidRPr="00DB17C1">
        <w:rPr>
          <w:b/>
        </w:rPr>
        <w:t>telefonicky nebo prostřednictvím telekonference (např. Skype)</w:t>
      </w:r>
      <w:r>
        <w:t xml:space="preserve">, pokud to bude možné ze strany respondentů. </w:t>
      </w:r>
      <w:r w:rsidRPr="00AD445E">
        <w:rPr>
          <w:b/>
        </w:rPr>
        <w:t xml:space="preserve">Vstupní zprávou navrhované evaluační metody se mohou </w:t>
      </w:r>
      <w:r>
        <w:rPr>
          <w:b/>
        </w:rPr>
        <w:t xml:space="preserve">dle potřeby </w:t>
      </w:r>
      <w:r w:rsidRPr="000C678D">
        <w:t>na základě dohody se Zadavatelem</w:t>
      </w:r>
      <w:r w:rsidRPr="00AD445E">
        <w:rPr>
          <w:b/>
        </w:rPr>
        <w:t xml:space="preserve"> </w:t>
      </w:r>
      <w:r>
        <w:rPr>
          <w:b/>
        </w:rPr>
        <w:t>upravovat v souvislosti s dalším vývojem bezpečnostních opatření</w:t>
      </w:r>
      <w:r w:rsidRPr="00A50B20">
        <w:t xml:space="preserve">. </w:t>
      </w:r>
    </w:p>
    <w:p w14:paraId="35CADF63" w14:textId="77777777" w:rsidR="00FC0981" w:rsidRDefault="00FC0981" w:rsidP="00F46FDA">
      <w:pPr>
        <w:spacing w:after="120" w:line="240" w:lineRule="auto"/>
        <w:jc w:val="both"/>
      </w:pPr>
      <w:r w:rsidRPr="00D251B5">
        <w:t xml:space="preserve">V následujících podkapitolách je </w:t>
      </w:r>
      <w:r>
        <w:t xml:space="preserve">popsaná </w:t>
      </w:r>
      <w:r w:rsidRPr="00D251B5">
        <w:t>základní metodologie navrhovaná</w:t>
      </w:r>
      <w:r>
        <w:t xml:space="preserve"> k využití u jednotlivých evaluačních metod popisující způsob provedení a detailní harmonogram. Ke každé z aktivit je přiřazena odpovědnost (Dodavatel, Zadavatel) a v případě </w:t>
      </w:r>
      <w:r w:rsidRPr="00D251B5">
        <w:t>požadovan</w:t>
      </w:r>
      <w:r>
        <w:t xml:space="preserve">é součinnosti na straně Zadavatele je odhadnuta její náročnost. </w:t>
      </w:r>
    </w:p>
    <w:p w14:paraId="42E8B281" w14:textId="77777777" w:rsidR="00375E90" w:rsidRDefault="00FC0981" w:rsidP="00F46FDA">
      <w:pPr>
        <w:spacing w:after="120" w:line="240" w:lineRule="auto"/>
        <w:jc w:val="both"/>
      </w:pPr>
      <w:r w:rsidRPr="00EE0921">
        <w:t>Projekt bude realizován ve třech na sebe navazujících etapách</w:t>
      </w:r>
      <w:r>
        <w:t>.</w:t>
      </w:r>
    </w:p>
    <w:p w14:paraId="7414DB06" w14:textId="77777777" w:rsidR="0000480E" w:rsidRPr="00FC0981" w:rsidRDefault="0000480E" w:rsidP="00F46FDA">
      <w:pPr>
        <w:spacing w:before="240" w:after="120" w:line="240" w:lineRule="auto"/>
        <w:rPr>
          <w:b/>
          <w:color w:val="012169" w:themeColor="accent4"/>
        </w:rPr>
      </w:pPr>
      <w:r w:rsidRPr="00FC0981">
        <w:rPr>
          <w:b/>
          <w:color w:val="012169" w:themeColor="accent4"/>
        </w:rPr>
        <w:t>I. etapa</w:t>
      </w:r>
      <w:r w:rsidR="00FC0981">
        <w:rPr>
          <w:b/>
          <w:color w:val="012169" w:themeColor="accent4"/>
        </w:rPr>
        <w:t>:</w:t>
      </w:r>
      <w:r w:rsidRPr="00FC0981">
        <w:rPr>
          <w:b/>
          <w:color w:val="012169" w:themeColor="accent4"/>
        </w:rPr>
        <w:t xml:space="preserve"> Vstupní zpráva</w:t>
      </w:r>
    </w:p>
    <w:p w14:paraId="5F235F0D" w14:textId="1C916606" w:rsidR="00FC0981" w:rsidRDefault="00FC0981" w:rsidP="00F46FDA">
      <w:pPr>
        <w:spacing w:after="120" w:line="240" w:lineRule="auto"/>
        <w:jc w:val="both"/>
      </w:pPr>
      <w:r w:rsidRPr="001B11C7">
        <w:t xml:space="preserve">V úvodní fázi Projektu byla realizována </w:t>
      </w:r>
      <w:r w:rsidR="00914D53">
        <w:t>úvodní jednání</w:t>
      </w:r>
      <w:r w:rsidRPr="001B11C7">
        <w:t xml:space="preserve"> se zástupci Zadavatele, na kter</w:t>
      </w:r>
      <w:r w:rsidR="00914D53">
        <w:t>ých</w:t>
      </w:r>
      <w:r w:rsidRPr="001B11C7">
        <w:t xml:space="preserve"> byl odsouhlasen další </w:t>
      </w:r>
      <w:r w:rsidRPr="00E13A3D">
        <w:t xml:space="preserve">postup </w:t>
      </w:r>
      <w:r w:rsidRPr="00577922">
        <w:t>a byly zodpovězené dotazy Dodavatele</w:t>
      </w:r>
      <w:r w:rsidRPr="00E13A3D">
        <w:t>. Ze strany Zadavatele</w:t>
      </w:r>
      <w:r w:rsidRPr="001B11C7">
        <w:t xml:space="preserve"> </w:t>
      </w:r>
      <w:r w:rsidR="005A6F78">
        <w:t>byly předány požadované dokumenty</w:t>
      </w:r>
      <w:r w:rsidR="00791090">
        <w:t xml:space="preserve"> </w:t>
      </w:r>
      <w:r w:rsidRPr="001B11C7">
        <w:t xml:space="preserve">a byli nominováni garanti za jednotlivé </w:t>
      </w:r>
      <w:r w:rsidR="00097BBC" w:rsidRPr="001B11C7">
        <w:t>oblasti</w:t>
      </w:r>
      <w:r w:rsidRPr="001B11C7">
        <w:t>. Výstupem z I. etapy Projektu je tato Vstupní zpráva (dále také jen „VZ“) validovaná Zadavatelem.</w:t>
      </w:r>
      <w:r>
        <w:t xml:space="preserve"> </w:t>
      </w:r>
    </w:p>
    <w:p w14:paraId="6B0268E3" w14:textId="77777777" w:rsidR="0000480E" w:rsidRPr="00FC0981" w:rsidRDefault="0000480E" w:rsidP="00F46FDA">
      <w:pPr>
        <w:spacing w:before="240" w:after="120" w:line="240" w:lineRule="auto"/>
        <w:rPr>
          <w:b/>
          <w:color w:val="012169" w:themeColor="accent4"/>
        </w:rPr>
      </w:pPr>
      <w:r w:rsidRPr="00FC0981">
        <w:rPr>
          <w:b/>
          <w:color w:val="012169" w:themeColor="accent4"/>
        </w:rPr>
        <w:t>II. etapa</w:t>
      </w:r>
      <w:r w:rsidR="00FC0981">
        <w:rPr>
          <w:b/>
          <w:color w:val="012169" w:themeColor="accent4"/>
        </w:rPr>
        <w:t>:</w:t>
      </w:r>
      <w:r w:rsidRPr="00FC0981">
        <w:rPr>
          <w:b/>
          <w:color w:val="012169" w:themeColor="accent4"/>
        </w:rPr>
        <w:t xml:space="preserve"> Průběžná zpráva</w:t>
      </w:r>
    </w:p>
    <w:p w14:paraId="567EAD45" w14:textId="77777777" w:rsidR="00D169E3" w:rsidRDefault="00F90520" w:rsidP="00F46FDA">
      <w:pPr>
        <w:tabs>
          <w:tab w:val="left" w:pos="3435"/>
        </w:tabs>
        <w:spacing w:after="120" w:line="240" w:lineRule="auto"/>
        <w:jc w:val="both"/>
      </w:pPr>
      <w:r>
        <w:t xml:space="preserve">Cílem druhé etapy je </w:t>
      </w:r>
      <w:r w:rsidRPr="00F90520">
        <w:rPr>
          <w:b/>
        </w:rPr>
        <w:t>provést analýzu tržní situace</w:t>
      </w:r>
      <w:r w:rsidR="00AA7FC7">
        <w:t xml:space="preserve">, tzn. </w:t>
      </w:r>
      <w:r w:rsidR="00AA7FC7" w:rsidRPr="009805D8">
        <w:rPr>
          <w:b/>
        </w:rPr>
        <w:t>ověřit, zda u oblastí podpory v</w:t>
      </w:r>
      <w:r w:rsidR="00075811">
        <w:rPr>
          <w:b/>
        </w:rPr>
        <w:t> </w:t>
      </w:r>
      <w:r w:rsidR="00AA7FC7" w:rsidRPr="009805D8">
        <w:rPr>
          <w:b/>
        </w:rPr>
        <w:t xml:space="preserve">rámci SC </w:t>
      </w:r>
      <w:r w:rsidR="000B4E14">
        <w:rPr>
          <w:b/>
        </w:rPr>
        <w:t>3.1 – 3.4</w:t>
      </w:r>
      <w:r w:rsidR="00AA7FC7" w:rsidRPr="009805D8">
        <w:rPr>
          <w:b/>
        </w:rPr>
        <w:t xml:space="preserve"> OP </w:t>
      </w:r>
      <w:r w:rsidR="00C77C42">
        <w:rPr>
          <w:b/>
        </w:rPr>
        <w:t>TA</w:t>
      </w:r>
      <w:r w:rsidR="00AA7FC7" w:rsidRPr="009805D8">
        <w:rPr>
          <w:b/>
        </w:rPr>
        <w:t xml:space="preserve">K dochází, nebo by v období 2021 – 2027 mohlo dojít k tržnímu </w:t>
      </w:r>
      <w:r w:rsidR="007D0BEE" w:rsidRPr="009805D8">
        <w:rPr>
          <w:b/>
        </w:rPr>
        <w:t>sel</w:t>
      </w:r>
      <w:r w:rsidR="00AA7FC7" w:rsidRPr="009805D8">
        <w:rPr>
          <w:b/>
        </w:rPr>
        <w:t>hání</w:t>
      </w:r>
      <w:r w:rsidR="00D169E3">
        <w:rPr>
          <w:b/>
        </w:rPr>
        <w:t xml:space="preserve"> a/nebo</w:t>
      </w:r>
      <w:r w:rsidR="00AA7FC7" w:rsidRPr="009805D8">
        <w:rPr>
          <w:b/>
        </w:rPr>
        <w:t xml:space="preserve"> </w:t>
      </w:r>
      <w:r w:rsidR="00D169E3">
        <w:rPr>
          <w:b/>
        </w:rPr>
        <w:t xml:space="preserve">neoptimálním investičním situacím </w:t>
      </w:r>
      <w:r w:rsidR="00AA7FC7" w:rsidRPr="009805D8">
        <w:rPr>
          <w:b/>
        </w:rPr>
        <w:t>a pokud ano, za jakých okolností</w:t>
      </w:r>
      <w:r w:rsidR="00AA7FC7">
        <w:t xml:space="preserve">. </w:t>
      </w:r>
    </w:p>
    <w:p w14:paraId="54CA23FB" w14:textId="7C90B012" w:rsidR="00F5567F" w:rsidRDefault="00F5567F" w:rsidP="00F46FDA">
      <w:pPr>
        <w:tabs>
          <w:tab w:val="left" w:pos="3435"/>
        </w:tabs>
        <w:spacing w:after="120" w:line="240" w:lineRule="auto"/>
        <w:jc w:val="both"/>
      </w:pPr>
      <w:r>
        <w:t xml:space="preserve">Součástí analýzy bude také </w:t>
      </w:r>
      <w:r w:rsidRPr="001B11C7">
        <w:rPr>
          <w:b/>
        </w:rPr>
        <w:t>analýza potřeb financování cílových skupin</w:t>
      </w:r>
      <w:r w:rsidRPr="00F5567F">
        <w:t xml:space="preserve"> </w:t>
      </w:r>
      <w:r>
        <w:t xml:space="preserve">(tj. především </w:t>
      </w:r>
      <w:r w:rsidR="00205D3C">
        <w:t xml:space="preserve">podnikatelských subjektů, zejména </w:t>
      </w:r>
      <w:r>
        <w:t xml:space="preserve">malých a středních podniků, případně také </w:t>
      </w:r>
      <w:r w:rsidR="00BA686E">
        <w:t>provozovatelů přenosových a distribučních soustav</w:t>
      </w:r>
      <w:r>
        <w:t xml:space="preserve">) </w:t>
      </w:r>
      <w:r w:rsidRPr="00F5567F">
        <w:t>prostřednictvím grantových titulů</w:t>
      </w:r>
      <w:r w:rsidR="0051621E">
        <w:t>,</w:t>
      </w:r>
      <w:r w:rsidRPr="00F5567F">
        <w:t xml:space="preserve"> finančních ná</w:t>
      </w:r>
      <w:r>
        <w:t xml:space="preserve">strojů </w:t>
      </w:r>
      <w:r w:rsidR="0051621E">
        <w:t>čí jejich kombinace</w:t>
      </w:r>
      <w:r>
        <w:t xml:space="preserve"> ve vztahu k SC </w:t>
      </w:r>
      <w:r w:rsidR="00BA686E">
        <w:t>3.1 - 3.4</w:t>
      </w:r>
      <w:r w:rsidRPr="00F5567F">
        <w:t>.</w:t>
      </w:r>
    </w:p>
    <w:p w14:paraId="69D32DF2" w14:textId="453219F3" w:rsidR="0000480E" w:rsidRDefault="00276CB4" w:rsidP="00F46FDA">
      <w:pPr>
        <w:tabs>
          <w:tab w:val="left" w:pos="3435"/>
        </w:tabs>
        <w:spacing w:after="120" w:line="240" w:lineRule="auto"/>
        <w:jc w:val="both"/>
      </w:pPr>
      <w:r>
        <w:rPr>
          <w:b/>
        </w:rPr>
        <w:t>V</w:t>
      </w:r>
      <w:r w:rsidRPr="00205D3C">
        <w:rPr>
          <w:b/>
        </w:rPr>
        <w:t xml:space="preserve"> rámci </w:t>
      </w:r>
      <w:r>
        <w:rPr>
          <w:b/>
        </w:rPr>
        <w:t>této</w:t>
      </w:r>
      <w:r w:rsidRPr="00205D3C">
        <w:rPr>
          <w:b/>
        </w:rPr>
        <w:t xml:space="preserve"> etapy Projektu bud</w:t>
      </w:r>
      <w:r>
        <w:rPr>
          <w:b/>
        </w:rPr>
        <w:t xml:space="preserve">ou </w:t>
      </w:r>
      <w:r w:rsidRPr="00205D3C">
        <w:rPr>
          <w:b/>
        </w:rPr>
        <w:t>realizov</w:t>
      </w:r>
      <w:r>
        <w:rPr>
          <w:b/>
        </w:rPr>
        <w:t>ána</w:t>
      </w:r>
      <w:r w:rsidRPr="00205D3C">
        <w:rPr>
          <w:b/>
        </w:rPr>
        <w:t xml:space="preserve"> výzkumná šetření</w:t>
      </w:r>
      <w:r>
        <w:t>, tj. jak desk research (analýza doposud získaných sekundárních dat</w:t>
      </w:r>
      <w:r w:rsidR="009805D8">
        <w:t>:</w:t>
      </w:r>
      <w:r>
        <w:t xml:space="preserve"> volně dostupných, popř. poskytnutých Zadavatelem</w:t>
      </w:r>
      <w:r w:rsidR="009805D8">
        <w:t>), tak</w:t>
      </w:r>
      <w:r>
        <w:t xml:space="preserve"> </w:t>
      </w:r>
      <w:r w:rsidR="009805D8">
        <w:t xml:space="preserve">kvantitativní i kvalitativní </w:t>
      </w:r>
      <w:r>
        <w:t>terénní šetření (face to face i za využití komunikačních technologií)</w:t>
      </w:r>
      <w:r w:rsidR="009805D8">
        <w:t xml:space="preserve"> mezi zástupci r</w:t>
      </w:r>
      <w:r>
        <w:t>elevantních cílových skupin (</w:t>
      </w:r>
      <w:r w:rsidR="009805D8">
        <w:t xml:space="preserve">tj. příjemci </w:t>
      </w:r>
      <w:r w:rsidR="002F7356">
        <w:t xml:space="preserve">či potenciální příjemci </w:t>
      </w:r>
      <w:r w:rsidR="009805D8">
        <w:t xml:space="preserve">podpory, </w:t>
      </w:r>
      <w:r w:rsidR="009805D8" w:rsidRPr="001B11C7">
        <w:t xml:space="preserve">relevantními pracovníky MPO, experty na oblast </w:t>
      </w:r>
      <w:r w:rsidR="00BA686E" w:rsidRPr="001B11C7">
        <w:t>energetiky a energetické účinnosti</w:t>
      </w:r>
      <w:r w:rsidR="00914D53" w:rsidRPr="001B11C7">
        <w:t xml:space="preserve"> a dalšími subje</w:t>
      </w:r>
      <w:r w:rsidR="004C0F52">
        <w:t>k</w:t>
      </w:r>
      <w:r w:rsidR="00914D53" w:rsidRPr="001B11C7">
        <w:t>ty</w:t>
      </w:r>
      <w:r w:rsidRPr="001B11C7">
        <w:t xml:space="preserve">). </w:t>
      </w:r>
      <w:r w:rsidR="00A5504E" w:rsidRPr="001B11C7">
        <w:t xml:space="preserve">V případě potřeby může být část šetření realizována v následující etapě projektu. </w:t>
      </w:r>
      <w:r w:rsidR="009805D8" w:rsidRPr="001B11C7">
        <w:rPr>
          <w:b/>
        </w:rPr>
        <w:t>Tato šetření p</w:t>
      </w:r>
      <w:r w:rsidRPr="001B11C7">
        <w:rPr>
          <w:b/>
        </w:rPr>
        <w:t>oskytnou</w:t>
      </w:r>
      <w:r w:rsidRPr="0006690C">
        <w:rPr>
          <w:b/>
        </w:rPr>
        <w:t xml:space="preserve"> </w:t>
      </w:r>
      <w:r w:rsidR="00373EEB">
        <w:rPr>
          <w:b/>
        </w:rPr>
        <w:t>Dodavateli</w:t>
      </w:r>
      <w:r w:rsidR="00373EEB" w:rsidRPr="0006690C">
        <w:rPr>
          <w:b/>
        </w:rPr>
        <w:t xml:space="preserve"> </w:t>
      </w:r>
      <w:r w:rsidRPr="0006690C">
        <w:rPr>
          <w:b/>
        </w:rPr>
        <w:t>vstupy nezbytné pro komplexní posouzení aktuální i očekávané budoucí situace na trhu</w:t>
      </w:r>
      <w:r w:rsidR="009805D8" w:rsidRPr="0006690C">
        <w:rPr>
          <w:b/>
        </w:rPr>
        <w:t xml:space="preserve"> a pro zodpovězení Zadavatelem formulovaných</w:t>
      </w:r>
      <w:r w:rsidR="0000480E" w:rsidRPr="0006690C">
        <w:rPr>
          <w:b/>
        </w:rPr>
        <w:t xml:space="preserve"> </w:t>
      </w:r>
      <w:r w:rsidR="00145B72" w:rsidRPr="0006690C">
        <w:rPr>
          <w:b/>
        </w:rPr>
        <w:t>analytick</w:t>
      </w:r>
      <w:r w:rsidR="009805D8" w:rsidRPr="0006690C">
        <w:rPr>
          <w:b/>
        </w:rPr>
        <w:t>ých</w:t>
      </w:r>
      <w:r w:rsidR="0000480E" w:rsidRPr="0006690C">
        <w:rPr>
          <w:b/>
        </w:rPr>
        <w:t xml:space="preserve"> otáz</w:t>
      </w:r>
      <w:r w:rsidR="009805D8" w:rsidRPr="0006690C">
        <w:rPr>
          <w:b/>
        </w:rPr>
        <w:t>e</w:t>
      </w:r>
      <w:r w:rsidR="0000480E" w:rsidRPr="0006690C">
        <w:rPr>
          <w:b/>
        </w:rPr>
        <w:t>k</w:t>
      </w:r>
      <w:r w:rsidR="0000480E">
        <w:t xml:space="preserve">: </w:t>
      </w:r>
    </w:p>
    <w:p w14:paraId="65968DFB" w14:textId="77777777" w:rsidR="00145B72" w:rsidRDefault="00145B72" w:rsidP="00F46FDA">
      <w:pPr>
        <w:pStyle w:val="ListParagraph"/>
        <w:numPr>
          <w:ilvl w:val="0"/>
          <w:numId w:val="16"/>
        </w:numPr>
        <w:spacing w:after="120" w:line="240" w:lineRule="auto"/>
        <w:ind w:left="709" w:hanging="431"/>
        <w:contextualSpacing w:val="0"/>
        <w:jc w:val="both"/>
      </w:pPr>
      <w:r>
        <w:t xml:space="preserve">Ve kterých oblastech v rámci </w:t>
      </w:r>
      <w:r w:rsidR="00BA686E" w:rsidRPr="001B11C7">
        <w:t>SC 3.1 - 3.4</w:t>
      </w:r>
      <w:r w:rsidR="00BA686E" w:rsidRPr="00BA686E">
        <w:rPr>
          <w:b/>
        </w:rPr>
        <w:t xml:space="preserve"> </w:t>
      </w:r>
      <w:r>
        <w:t xml:space="preserve">OP </w:t>
      </w:r>
      <w:r w:rsidR="00C77C42">
        <w:t>TA</w:t>
      </w:r>
      <w:r>
        <w:t>K dochází k tržnímu selhání nebo suboptimální investiční situaci?</w:t>
      </w:r>
    </w:p>
    <w:p w14:paraId="5BD1B3B1" w14:textId="77777777" w:rsidR="00145B72" w:rsidRDefault="00145B72" w:rsidP="00F46FDA">
      <w:pPr>
        <w:pStyle w:val="ListParagraph"/>
        <w:numPr>
          <w:ilvl w:val="0"/>
          <w:numId w:val="16"/>
        </w:numPr>
        <w:spacing w:after="120" w:line="240" w:lineRule="auto"/>
        <w:ind w:left="709" w:hanging="431"/>
        <w:contextualSpacing w:val="0"/>
        <w:jc w:val="both"/>
      </w:pPr>
      <w:r>
        <w:t xml:space="preserve">Jak přesně se tržní selhání či suboptimální investiční situace v daných oblastech projevuje? </w:t>
      </w:r>
    </w:p>
    <w:p w14:paraId="16E78184" w14:textId="77777777" w:rsidR="00145B72" w:rsidRDefault="00145B72" w:rsidP="00F46FDA">
      <w:pPr>
        <w:pStyle w:val="ListParagraph"/>
        <w:numPr>
          <w:ilvl w:val="0"/>
          <w:numId w:val="16"/>
        </w:numPr>
        <w:spacing w:after="120" w:line="240" w:lineRule="auto"/>
        <w:ind w:left="709" w:hanging="431"/>
        <w:contextualSpacing w:val="0"/>
        <w:jc w:val="both"/>
      </w:pPr>
      <w:r>
        <w:t xml:space="preserve">Postihuje tržní selhání nebo suboptimální investiční situace celou ČR či pouze některý z regionů?  </w:t>
      </w:r>
    </w:p>
    <w:p w14:paraId="4A60743A" w14:textId="77777777" w:rsidR="00145B72" w:rsidRDefault="00145B72" w:rsidP="00F46FDA">
      <w:pPr>
        <w:pStyle w:val="ListParagraph"/>
        <w:numPr>
          <w:ilvl w:val="0"/>
          <w:numId w:val="16"/>
        </w:numPr>
        <w:spacing w:after="120" w:line="240" w:lineRule="auto"/>
        <w:ind w:left="709" w:hanging="431"/>
        <w:contextualSpacing w:val="0"/>
        <w:jc w:val="both"/>
      </w:pPr>
      <w:r>
        <w:t>Jaká jsou doporučení/návrhy pro využití dostupných forem podpory v rámci jednotlivých SC/aktivit, které by měly řešit tržní selhání či suboptimální investiční situace v podnikatelském sektoru?</w:t>
      </w:r>
    </w:p>
    <w:p w14:paraId="7157B5A6" w14:textId="77777777" w:rsidR="00D70C58" w:rsidRDefault="00D70C58" w:rsidP="00F46FDA">
      <w:pPr>
        <w:tabs>
          <w:tab w:val="left" w:pos="3435"/>
        </w:tabs>
        <w:spacing w:after="120" w:line="240" w:lineRule="auto"/>
        <w:jc w:val="both"/>
      </w:pPr>
    </w:p>
    <w:p w14:paraId="4CE0A6AD" w14:textId="77777777" w:rsidR="00AA7FC7" w:rsidRDefault="00AA7FC7" w:rsidP="00F46FDA">
      <w:pPr>
        <w:tabs>
          <w:tab w:val="left" w:pos="3435"/>
        </w:tabs>
        <w:spacing w:after="120" w:line="240" w:lineRule="auto"/>
        <w:jc w:val="both"/>
      </w:pPr>
      <w:r>
        <w:t xml:space="preserve">Výstupem etapy bude </w:t>
      </w:r>
      <w:r w:rsidRPr="008C6563">
        <w:rPr>
          <w:b/>
          <w:bCs/>
        </w:rPr>
        <w:t>Průběžná zpráva</w:t>
      </w:r>
      <w:r>
        <w:t>, která bude obsahovat:</w:t>
      </w:r>
    </w:p>
    <w:p w14:paraId="616720F9" w14:textId="6CFE8E29" w:rsidR="00AA7FC7" w:rsidRPr="0006690C" w:rsidRDefault="00AA7FC7" w:rsidP="00F46FDA">
      <w:pPr>
        <w:pStyle w:val="ListParagraph"/>
        <w:numPr>
          <w:ilvl w:val="0"/>
          <w:numId w:val="10"/>
        </w:numPr>
        <w:tabs>
          <w:tab w:val="left" w:pos="3435"/>
        </w:tabs>
        <w:spacing w:after="120" w:line="240" w:lineRule="auto"/>
        <w:ind w:left="714" w:hanging="357"/>
        <w:contextualSpacing w:val="0"/>
        <w:jc w:val="both"/>
      </w:pPr>
      <w:r w:rsidRPr="0006690C">
        <w:t xml:space="preserve">Dosavadní zjištění </w:t>
      </w:r>
      <w:r w:rsidR="00373EEB">
        <w:t xml:space="preserve">Dodavatele </w:t>
      </w:r>
      <w:r w:rsidR="006F4AE8">
        <w:t>v rámci analýzy sekundárních zdrojů dat</w:t>
      </w:r>
      <w:r w:rsidR="00D70C58">
        <w:t>,</w:t>
      </w:r>
    </w:p>
    <w:p w14:paraId="4C68E066" w14:textId="77777777" w:rsidR="00AA7FC7" w:rsidRPr="0006690C" w:rsidRDefault="00AA7FC7" w:rsidP="00F46FDA">
      <w:pPr>
        <w:pStyle w:val="ListParagraph"/>
        <w:numPr>
          <w:ilvl w:val="0"/>
          <w:numId w:val="10"/>
        </w:numPr>
        <w:tabs>
          <w:tab w:val="left" w:pos="3435"/>
        </w:tabs>
        <w:spacing w:after="120" w:line="240" w:lineRule="auto"/>
        <w:ind w:left="714" w:hanging="357"/>
        <w:contextualSpacing w:val="0"/>
        <w:jc w:val="both"/>
      </w:pPr>
      <w:r w:rsidRPr="0006690C">
        <w:lastRenderedPageBreak/>
        <w:t>Prvotní výsledky analýzy tržní situace</w:t>
      </w:r>
      <w:r w:rsidR="00D70C58">
        <w:t>, resp. realizovaných výzkumných šetření</w:t>
      </w:r>
      <w:r w:rsidR="006F4AE8">
        <w:t xml:space="preserve"> (dotazníkového šetření, </w:t>
      </w:r>
      <w:r w:rsidR="001D21D6">
        <w:t xml:space="preserve">expertního panelu, </w:t>
      </w:r>
      <w:r w:rsidR="006F4AE8">
        <w:t>fokusní skupiny, individuálních hloubkových rozhovorů)</w:t>
      </w:r>
      <w:r w:rsidR="00D70C58">
        <w:t>,</w:t>
      </w:r>
    </w:p>
    <w:p w14:paraId="6E759121" w14:textId="77777777" w:rsidR="00AA7FC7" w:rsidRDefault="0006690C" w:rsidP="00F46FDA">
      <w:pPr>
        <w:pStyle w:val="ListParagraph"/>
        <w:numPr>
          <w:ilvl w:val="0"/>
          <w:numId w:val="10"/>
        </w:numPr>
        <w:tabs>
          <w:tab w:val="left" w:pos="3435"/>
        </w:tabs>
        <w:spacing w:after="120" w:line="240" w:lineRule="auto"/>
        <w:ind w:left="714" w:hanging="357"/>
        <w:contextualSpacing w:val="0"/>
        <w:jc w:val="both"/>
      </w:pPr>
      <w:r w:rsidRPr="0006690C">
        <w:t>Výsledky a</w:t>
      </w:r>
      <w:r w:rsidR="00AA7FC7" w:rsidRPr="0006690C">
        <w:t>nalýz</w:t>
      </w:r>
      <w:r w:rsidRPr="0006690C">
        <w:t>y</w:t>
      </w:r>
      <w:r w:rsidR="00AA7FC7" w:rsidRPr="0006690C">
        <w:t xml:space="preserve"> potřeb financování cílových skupin prostřednictvím grantových titulů a</w:t>
      </w:r>
      <w:r w:rsidR="00914D53">
        <w:t> </w:t>
      </w:r>
      <w:r w:rsidR="00AA7FC7" w:rsidRPr="0006690C">
        <w:t>finančních nástrojů</w:t>
      </w:r>
      <w:r w:rsidR="00D70C58">
        <w:t>.</w:t>
      </w:r>
    </w:p>
    <w:p w14:paraId="2F4D844B" w14:textId="77777777" w:rsidR="00D70C58" w:rsidRPr="0006690C" w:rsidRDefault="00D70C58" w:rsidP="00F46FDA">
      <w:pPr>
        <w:pStyle w:val="ListParagraph"/>
        <w:tabs>
          <w:tab w:val="left" w:pos="3435"/>
        </w:tabs>
        <w:spacing w:after="120" w:line="240" w:lineRule="auto"/>
        <w:ind w:left="714"/>
        <w:contextualSpacing w:val="0"/>
      </w:pPr>
    </w:p>
    <w:p w14:paraId="4BD8FAE6" w14:textId="77777777" w:rsidR="0000480E" w:rsidRPr="000B5BE8" w:rsidRDefault="0000480E" w:rsidP="00F46FDA">
      <w:pPr>
        <w:keepNext/>
        <w:keepLines/>
        <w:spacing w:after="120" w:line="240" w:lineRule="auto"/>
        <w:rPr>
          <w:b/>
          <w:color w:val="012169" w:themeColor="accent4"/>
        </w:rPr>
      </w:pPr>
      <w:r w:rsidRPr="000B5BE8">
        <w:rPr>
          <w:b/>
          <w:color w:val="012169" w:themeColor="accent4"/>
        </w:rPr>
        <w:t>III. etapa</w:t>
      </w:r>
      <w:r w:rsidR="000B5BE8">
        <w:rPr>
          <w:b/>
          <w:color w:val="012169" w:themeColor="accent4"/>
        </w:rPr>
        <w:t>:</w:t>
      </w:r>
      <w:r w:rsidRPr="000B5BE8">
        <w:rPr>
          <w:b/>
          <w:color w:val="012169" w:themeColor="accent4"/>
        </w:rPr>
        <w:t xml:space="preserve"> Závěrečná zpráva</w:t>
      </w:r>
    </w:p>
    <w:p w14:paraId="5E1E3899" w14:textId="77777777" w:rsidR="007D0BEE" w:rsidRPr="001B11C7" w:rsidRDefault="007D0BEE" w:rsidP="00F46FDA">
      <w:pPr>
        <w:tabs>
          <w:tab w:val="left" w:pos="3435"/>
        </w:tabs>
        <w:spacing w:after="120" w:line="240" w:lineRule="auto"/>
        <w:jc w:val="both"/>
      </w:pPr>
      <w:r>
        <w:t xml:space="preserve">Závěrečná zpráva v návaznosti na prvotní výsledky analýzy tržní situace uvedené v Průběžné zprávě poskytne </w:t>
      </w:r>
      <w:r w:rsidR="00075811" w:rsidRPr="00D70C58">
        <w:rPr>
          <w:b/>
        </w:rPr>
        <w:t xml:space="preserve">finální </w:t>
      </w:r>
      <w:r w:rsidR="0046558B">
        <w:rPr>
          <w:b/>
        </w:rPr>
        <w:t xml:space="preserve">komplexní vyhodnocení </w:t>
      </w:r>
      <w:r w:rsidRPr="00D70C58">
        <w:rPr>
          <w:b/>
        </w:rPr>
        <w:t xml:space="preserve">výzkumného šetření, zodpoví </w:t>
      </w:r>
      <w:r w:rsidR="00684C47" w:rsidRPr="00D70C58">
        <w:rPr>
          <w:b/>
        </w:rPr>
        <w:t xml:space="preserve">všechny výše uvedené </w:t>
      </w:r>
      <w:r w:rsidRPr="00D70C58">
        <w:rPr>
          <w:b/>
        </w:rPr>
        <w:t xml:space="preserve">analytické otázky a navrhne </w:t>
      </w:r>
      <w:r w:rsidR="0046558B">
        <w:rPr>
          <w:b/>
        </w:rPr>
        <w:t xml:space="preserve">Zadavateli </w:t>
      </w:r>
      <w:r w:rsidRPr="00D70C58">
        <w:rPr>
          <w:b/>
        </w:rPr>
        <w:t>další postupy a řešení</w:t>
      </w:r>
      <w:r w:rsidRPr="007D0BEE">
        <w:t>.</w:t>
      </w:r>
      <w:r w:rsidR="00A5504E">
        <w:t xml:space="preserve"> V případě potřeby bude v této etapě realizována část šetření, k jejichž realizaci nedošlo v předchozí etapě.</w:t>
      </w:r>
    </w:p>
    <w:p w14:paraId="486E26C4" w14:textId="15EB34C2" w:rsidR="00075811" w:rsidRDefault="000B5BE8" w:rsidP="00F46FDA">
      <w:pPr>
        <w:tabs>
          <w:tab w:val="left" w:pos="3435"/>
        </w:tabs>
        <w:spacing w:after="120" w:line="240" w:lineRule="auto"/>
        <w:jc w:val="both"/>
      </w:pPr>
      <w:r>
        <w:t>Dodavatel</w:t>
      </w:r>
      <w:r w:rsidR="00B5454B" w:rsidRPr="00DF492B">
        <w:t xml:space="preserve"> </w:t>
      </w:r>
      <w:r w:rsidR="00684C47">
        <w:t xml:space="preserve">na základě důkladné analýzy veškerých dat a informací </w:t>
      </w:r>
      <w:r w:rsidR="00075811">
        <w:t xml:space="preserve">získaných v rámci výzkumného šetření </w:t>
      </w:r>
      <w:r w:rsidR="00B5454B" w:rsidRPr="00DF492B">
        <w:t>sumarizuje všechn</w:t>
      </w:r>
      <w:r w:rsidR="00684C47">
        <w:t xml:space="preserve">y závěry, výsledky a doporučení (včetně zdůvodnění) </w:t>
      </w:r>
      <w:r w:rsidR="00684C47" w:rsidRPr="00684C47">
        <w:t xml:space="preserve">pro zaměření programovacího období 2021+ </w:t>
      </w:r>
      <w:r w:rsidR="00684C47">
        <w:t>z</w:t>
      </w:r>
      <w:r w:rsidR="00684C47" w:rsidRPr="00684C47">
        <w:t xml:space="preserve">a </w:t>
      </w:r>
      <w:r w:rsidR="00684C47">
        <w:t>účelem potvrzení</w:t>
      </w:r>
      <w:r w:rsidR="00684C47" w:rsidRPr="00684C47">
        <w:t xml:space="preserve">, </w:t>
      </w:r>
      <w:r w:rsidR="00075811">
        <w:t>zda</w:t>
      </w:r>
      <w:r w:rsidR="00684C47" w:rsidRPr="00684C47">
        <w:t xml:space="preserve"> </w:t>
      </w:r>
      <w:r w:rsidR="002A3C41">
        <w:t>doporučuje</w:t>
      </w:r>
      <w:r w:rsidR="002A3C41" w:rsidRPr="00684C47">
        <w:t xml:space="preserve"> </w:t>
      </w:r>
      <w:r w:rsidR="00684C47">
        <w:t xml:space="preserve">MPO </w:t>
      </w:r>
      <w:r w:rsidR="00684C47" w:rsidRPr="00684C47">
        <w:t>realizovat intervence v</w:t>
      </w:r>
      <w:r w:rsidR="002A3C41">
        <w:t> </w:t>
      </w:r>
      <w:r w:rsidR="00684C47" w:rsidRPr="00684C47">
        <w:t>rámci SC</w:t>
      </w:r>
      <w:r w:rsidR="00684C47">
        <w:t xml:space="preserve"> </w:t>
      </w:r>
      <w:r w:rsidR="00BA686E" w:rsidRPr="00BA686E">
        <w:t xml:space="preserve"> 3.1 - 3.4</w:t>
      </w:r>
      <w:r w:rsidR="00B5454B" w:rsidRPr="00DF492B">
        <w:t>.</w:t>
      </w:r>
      <w:r w:rsidR="006B2A80">
        <w:t xml:space="preserve"> </w:t>
      </w:r>
      <w:r w:rsidR="00B5454B" w:rsidRPr="00DF492B">
        <w:t>Ty</w:t>
      </w:r>
      <w:r w:rsidR="00684C47">
        <w:t xml:space="preserve">to závěry a doporučení </w:t>
      </w:r>
      <w:r w:rsidR="00373EEB">
        <w:t>Dodavatel</w:t>
      </w:r>
      <w:r w:rsidR="00373EEB" w:rsidRPr="00DF492B">
        <w:t xml:space="preserve"> </w:t>
      </w:r>
      <w:r w:rsidR="00B5454B" w:rsidRPr="00DF492B">
        <w:t xml:space="preserve">zpracuje do podoby Závěrečné zprávy, kterou jako návrh odevzdá Zadavateli. </w:t>
      </w:r>
    </w:p>
    <w:p w14:paraId="44D1F73B" w14:textId="77777777" w:rsidR="00623EB8" w:rsidRDefault="00B5454B" w:rsidP="00F46FDA">
      <w:pPr>
        <w:tabs>
          <w:tab w:val="left" w:pos="3435"/>
        </w:tabs>
        <w:spacing w:after="120" w:line="240" w:lineRule="auto"/>
        <w:jc w:val="both"/>
      </w:pPr>
      <w:r>
        <w:t xml:space="preserve">Závěrečná zpráva </w:t>
      </w:r>
      <w:r w:rsidR="00684C47">
        <w:t xml:space="preserve">tedy </w:t>
      </w:r>
      <w:r>
        <w:t>bude obsahovat</w:t>
      </w:r>
      <w:r w:rsidR="00075811">
        <w:t xml:space="preserve"> především</w:t>
      </w:r>
      <w:r w:rsidR="00623EB8">
        <w:t>:</w:t>
      </w:r>
      <w:r>
        <w:t xml:space="preserve"> </w:t>
      </w:r>
    </w:p>
    <w:p w14:paraId="46067DF5" w14:textId="40D494B5" w:rsidR="00075811" w:rsidRDefault="00623EB8" w:rsidP="00BA686E">
      <w:pPr>
        <w:pStyle w:val="ListParagraph"/>
        <w:numPr>
          <w:ilvl w:val="0"/>
          <w:numId w:val="10"/>
        </w:numPr>
        <w:tabs>
          <w:tab w:val="left" w:pos="3435"/>
        </w:tabs>
        <w:spacing w:after="120" w:line="240" w:lineRule="auto"/>
        <w:contextualSpacing w:val="0"/>
        <w:jc w:val="both"/>
      </w:pPr>
      <w:r w:rsidRPr="00623EB8">
        <w:t>Identifikaci, zda v oblastech podpory</w:t>
      </w:r>
      <w:r>
        <w:t xml:space="preserve"> </w:t>
      </w:r>
      <w:r w:rsidR="00BA686E" w:rsidRPr="00BA686E">
        <w:t xml:space="preserve">SC 3.1 - 3.4 </w:t>
      </w:r>
      <w:r>
        <w:t xml:space="preserve"> </w:t>
      </w:r>
      <w:r w:rsidRPr="00623EB8">
        <w:t xml:space="preserve">OP </w:t>
      </w:r>
      <w:r w:rsidR="00C77C42">
        <w:t>TA</w:t>
      </w:r>
      <w:r w:rsidRPr="00623EB8">
        <w:t>K dochází k selhání trhu</w:t>
      </w:r>
      <w:r w:rsidR="00075811">
        <w:t>,</w:t>
      </w:r>
      <w:r w:rsidR="00AC34C8">
        <w:t xml:space="preserve"> včetně zohlednění regionálních rozdílů,</w:t>
      </w:r>
    </w:p>
    <w:p w14:paraId="021AEC96" w14:textId="77777777" w:rsidR="00075811" w:rsidRDefault="00075811" w:rsidP="00F46FDA">
      <w:pPr>
        <w:pStyle w:val="ListParagraph"/>
        <w:numPr>
          <w:ilvl w:val="0"/>
          <w:numId w:val="10"/>
        </w:numPr>
        <w:tabs>
          <w:tab w:val="left" w:pos="3435"/>
        </w:tabs>
        <w:spacing w:after="120" w:line="240" w:lineRule="auto"/>
        <w:contextualSpacing w:val="0"/>
        <w:jc w:val="both"/>
      </w:pPr>
      <w:r>
        <w:t xml:space="preserve">Specifikaci </w:t>
      </w:r>
      <w:r w:rsidR="00623EB8" w:rsidRPr="00623EB8">
        <w:t>typ</w:t>
      </w:r>
      <w:r>
        <w:t>u a</w:t>
      </w:r>
      <w:r w:rsidR="00623EB8" w:rsidRPr="00623EB8">
        <w:t xml:space="preserve"> rozsah</w:t>
      </w:r>
      <w:r>
        <w:t>u případného tržního selhání,</w:t>
      </w:r>
    </w:p>
    <w:p w14:paraId="5DF2DC08" w14:textId="77777777" w:rsidR="00623EB8" w:rsidRPr="00623EB8" w:rsidRDefault="00075811" w:rsidP="00F46FDA">
      <w:pPr>
        <w:pStyle w:val="ListParagraph"/>
        <w:numPr>
          <w:ilvl w:val="0"/>
          <w:numId w:val="10"/>
        </w:numPr>
        <w:tabs>
          <w:tab w:val="left" w:pos="3435"/>
        </w:tabs>
        <w:spacing w:after="120" w:line="240" w:lineRule="auto"/>
        <w:contextualSpacing w:val="0"/>
        <w:jc w:val="both"/>
      </w:pPr>
      <w:r>
        <w:t>Objasnění příčin případného tržního selhání,</w:t>
      </w:r>
    </w:p>
    <w:p w14:paraId="48EFF8D3" w14:textId="55BFAAAF" w:rsidR="00623EB8" w:rsidRDefault="00623EB8" w:rsidP="00BA686E">
      <w:pPr>
        <w:pStyle w:val="ListParagraph"/>
        <w:numPr>
          <w:ilvl w:val="0"/>
          <w:numId w:val="10"/>
        </w:numPr>
        <w:tabs>
          <w:tab w:val="left" w:pos="3435"/>
        </w:tabs>
        <w:spacing w:after="120" w:line="240" w:lineRule="auto"/>
        <w:contextualSpacing w:val="0"/>
        <w:jc w:val="both"/>
      </w:pPr>
      <w:r>
        <w:t xml:space="preserve">Doporučení </w:t>
      </w:r>
      <w:r w:rsidRPr="00623EB8">
        <w:t>vhodné formy podpory</w:t>
      </w:r>
      <w:r>
        <w:t xml:space="preserve"> (</w:t>
      </w:r>
      <w:r w:rsidRPr="00623EB8">
        <w:t xml:space="preserve">dotace, </w:t>
      </w:r>
      <w:r>
        <w:t xml:space="preserve">finanční nástroje </w:t>
      </w:r>
      <w:r w:rsidRPr="00623EB8">
        <w:t>či jejich kombinace</w:t>
      </w:r>
      <w:r>
        <w:t>)</w:t>
      </w:r>
      <w:r w:rsidRPr="00623EB8">
        <w:t xml:space="preserve"> za</w:t>
      </w:r>
      <w:r>
        <w:t> </w:t>
      </w:r>
      <w:r w:rsidRPr="00623EB8">
        <w:t xml:space="preserve">účelem řešení </w:t>
      </w:r>
      <w:r w:rsidR="00075811">
        <w:t xml:space="preserve">případného </w:t>
      </w:r>
      <w:r w:rsidRPr="00623EB8">
        <w:t xml:space="preserve">tržního selhání v rámci </w:t>
      </w:r>
      <w:r w:rsidR="00BA686E" w:rsidRPr="00BA686E">
        <w:t xml:space="preserve">SC 3.1 - 3.4 </w:t>
      </w:r>
      <w:r>
        <w:t xml:space="preserve"> </w:t>
      </w:r>
      <w:r w:rsidRPr="00623EB8">
        <w:t xml:space="preserve">a </w:t>
      </w:r>
      <w:r w:rsidR="00075811">
        <w:t xml:space="preserve">to včetně </w:t>
      </w:r>
      <w:r w:rsidRPr="00623EB8">
        <w:t>jeho odůvodnění</w:t>
      </w:r>
      <w:r w:rsidR="005A6F78">
        <w:t>,</w:t>
      </w:r>
    </w:p>
    <w:p w14:paraId="6F49BFD6" w14:textId="77777777" w:rsidR="004B1B49" w:rsidRDefault="004B1B49" w:rsidP="004B1B49">
      <w:pPr>
        <w:pStyle w:val="Heading2"/>
        <w:spacing w:line="240" w:lineRule="auto"/>
        <w:ind w:left="576" w:hanging="576"/>
      </w:pPr>
      <w:bookmarkStart w:id="11" w:name="_Toc37248816"/>
      <w:r>
        <w:t>Věcný přístup k identifikaci tržního selhání</w:t>
      </w:r>
      <w:bookmarkEnd w:id="11"/>
      <w:r>
        <w:t xml:space="preserve"> </w:t>
      </w:r>
    </w:p>
    <w:p w14:paraId="45ABD844" w14:textId="4A1E0776" w:rsidR="004B1B49" w:rsidRDefault="004B1B49" w:rsidP="00826CDF">
      <w:r>
        <w:t xml:space="preserve">Dodavatel si plně uvědomuje rozsáhlost problematiky identifikace tržních selhání. V souladu s dobrou mezinárodní praxí, požadavky MPO a vlastní expertízou bude vyváženě pracovat se všemi potenciálními typy tržního selhání. </w:t>
      </w:r>
      <w:r w:rsidRPr="00551B76">
        <w:rPr>
          <w:b/>
        </w:rPr>
        <w:t>Důraz bude kladen nejenom na tržní selhání finančního charakteru</w:t>
      </w:r>
      <w:r>
        <w:t>, naopak posuzovány budou i potenciální informační asymetrie, případné legislativní bariéry nebo úpravy, obecně rizikovost operací, nedostatek dodavatelů na trhu</w:t>
      </w:r>
      <w:r w:rsidR="00E23CF8">
        <w:t>, motivace (příp. její absence) podnikatelských subjektů k investicím s dlouhodobější návratností / podporujícím dosahování stanovených cílů v oblasti klimatu (zejména z evropské úrovně)</w:t>
      </w:r>
      <w:r>
        <w:t xml:space="preserve"> a také v současnosti velice aktuální dopad vis major externalit. V případě tržního selhání finančního charakteru bude Dodavatel postupovat dle obrázku níže.</w:t>
      </w:r>
    </w:p>
    <w:p w14:paraId="06259D4E" w14:textId="47639454" w:rsidR="004B1B49" w:rsidRDefault="004B1B49" w:rsidP="00826CDF">
      <w:r w:rsidRPr="00EF2246">
        <w:rPr>
          <w:noProof/>
          <w:lang w:eastAsia="cs-CZ"/>
        </w:rPr>
        <w:lastRenderedPageBreak/>
        <w:drawing>
          <wp:inline distT="0" distB="0" distL="0" distR="0" wp14:anchorId="3B8FBEF4" wp14:editId="5E63EFCE">
            <wp:extent cx="5658676" cy="302149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4948" cy="3024845"/>
                    </a:xfrm>
                    <a:prstGeom prst="rect">
                      <a:avLst/>
                    </a:prstGeom>
                    <a:noFill/>
                    <a:ln>
                      <a:noFill/>
                    </a:ln>
                  </pic:spPr>
                </pic:pic>
              </a:graphicData>
            </a:graphic>
          </wp:inline>
        </w:drawing>
      </w:r>
    </w:p>
    <w:p w14:paraId="523E2A77" w14:textId="75F3E207" w:rsidR="004B1B49" w:rsidRPr="00623EB8" w:rsidRDefault="004B1B49" w:rsidP="00826CDF">
      <w:r>
        <w:t xml:space="preserve">Tržní selhání finančního charakteru bude pečlivě zváženo a (na základě dostupných dat a informací) kategorizováno. Dodavatel nebude preferovat žádný ze způsobů intervencí (vázaných na intenzitu podpory), spíš naopak – ze zkušeností z předchozích projektů je zřejmé, že ve vybraných sektorech není nutné preferenčně intervenovat dotací s vysokou intenzitou a postačovat by mohl finanční nástroj, jeho kombinace s poskytnutím poradenství nebo s dílčí dotací. Výše uvedenému přístupu Dodavatel přizpůsobil i znění elektronického dotazníkového šetření. Také k respondentům jiných evaluačně analytických metod bude Dodavatel přistupovat neutrálně a nebude je navádět k preferenci konkrétního způsobu odstranění nebo minimalizace tržního selhání. Tím bude maximálně zaručena nezávislost a objektivita výstupu. </w:t>
      </w:r>
    </w:p>
    <w:p w14:paraId="39297FEF" w14:textId="77777777" w:rsidR="00325487" w:rsidRPr="00EE7056" w:rsidRDefault="00325487" w:rsidP="00F46FDA">
      <w:pPr>
        <w:pStyle w:val="Heading2"/>
        <w:spacing w:line="240" w:lineRule="auto"/>
      </w:pPr>
      <w:bookmarkStart w:id="12" w:name="_Toc25228647"/>
      <w:bookmarkStart w:id="13" w:name="m_-6362550125507777851__Toc25228648"/>
      <w:bookmarkStart w:id="14" w:name="_Toc37248817"/>
      <w:r w:rsidRPr="00EE7056">
        <w:t>Výběr evaluačních metod pro realizaci Projektu</w:t>
      </w:r>
      <w:bookmarkEnd w:id="12"/>
      <w:bookmarkEnd w:id="14"/>
    </w:p>
    <w:p w14:paraId="081DC008" w14:textId="10F9D2C4" w:rsidR="00325487" w:rsidRPr="00AE72FB" w:rsidRDefault="00325487" w:rsidP="00F46FDA">
      <w:pPr>
        <w:spacing w:after="120" w:line="240" w:lineRule="auto"/>
        <w:jc w:val="both"/>
      </w:pPr>
      <w:r w:rsidRPr="00F27C25">
        <w:t>Dodavatel bude</w:t>
      </w:r>
      <w:r>
        <w:t xml:space="preserve"> v </w:t>
      </w:r>
      <w:r w:rsidRPr="00F27C25">
        <w:t>rámci evaluace využívat řadu kvalitativních</w:t>
      </w:r>
      <w:r>
        <w:t xml:space="preserve"> a </w:t>
      </w:r>
      <w:r w:rsidRPr="00F27C25">
        <w:t>kvantitativních metod sběru</w:t>
      </w:r>
      <w:r>
        <w:t xml:space="preserve"> a </w:t>
      </w:r>
      <w:r w:rsidRPr="00F27C25">
        <w:t>analýzy dat,</w:t>
      </w:r>
      <w:r>
        <w:t xml:space="preserve"> s </w:t>
      </w:r>
      <w:r w:rsidRPr="00F27C25">
        <w:t>jejichž aplikací má rozsáhlé zkušenosti</w:t>
      </w:r>
      <w:r>
        <w:t xml:space="preserve"> z </w:t>
      </w:r>
      <w:r w:rsidR="003A1E4D">
        <w:t xml:space="preserve">analýz a </w:t>
      </w:r>
      <w:r>
        <w:t>evaluací</w:t>
      </w:r>
      <w:r w:rsidRPr="00F27C25">
        <w:t xml:space="preserve"> realizovaných pro řadu řídících orgánů</w:t>
      </w:r>
      <w:r>
        <w:t xml:space="preserve"> v </w:t>
      </w:r>
      <w:r w:rsidRPr="00F27C25">
        <w:t>minulosti. Při návrhu</w:t>
      </w:r>
      <w:r>
        <w:t xml:space="preserve"> a </w:t>
      </w:r>
      <w:r w:rsidRPr="00F27C25">
        <w:t>aplikaci metod vycházel</w:t>
      </w:r>
      <w:r>
        <w:t xml:space="preserve"> z</w:t>
      </w:r>
      <w:r w:rsidR="000B5BE8">
        <w:t>e svých</w:t>
      </w:r>
      <w:r>
        <w:t> </w:t>
      </w:r>
      <w:r w:rsidR="000B5BE8">
        <w:t>rozsáhlých znalostí</w:t>
      </w:r>
      <w:r w:rsidRPr="00AE72FB">
        <w:t xml:space="preserve"> problemati</w:t>
      </w:r>
      <w:r w:rsidR="000B5BE8">
        <w:t>ky</w:t>
      </w:r>
      <w:r w:rsidRPr="00AE72FB">
        <w:t xml:space="preserve"> jednotlivých podporovaných sektorů OP PIK</w:t>
      </w:r>
      <w:r>
        <w:t xml:space="preserve"> a z </w:t>
      </w:r>
      <w:r w:rsidRPr="00F27C25">
        <w:t>relevantní odborné literatury.</w:t>
      </w:r>
      <w:r>
        <w:t xml:space="preserve"> Přehled všech navrhovaných evaluačních metod, </w:t>
      </w:r>
      <w:r w:rsidRPr="00097663">
        <w:t>včetně vymezení výhod, limitů a nevýhod a opatření k eliminaci limitů</w:t>
      </w:r>
      <w:r>
        <w:t>, je součástí Přílohy 3 tohoto dokumentu.</w:t>
      </w:r>
    </w:p>
    <w:p w14:paraId="785C9BF7" w14:textId="77777777" w:rsidR="00325487" w:rsidRPr="00AE72FB" w:rsidRDefault="00325487" w:rsidP="00F46FDA">
      <w:pPr>
        <w:spacing w:after="120" w:line="240" w:lineRule="auto"/>
        <w:jc w:val="both"/>
      </w:pPr>
      <w:r>
        <w:t xml:space="preserve">S cílem minimalizace náročnosti pro </w:t>
      </w:r>
      <w:r w:rsidR="000B5BE8">
        <w:t xml:space="preserve">žadatele a </w:t>
      </w:r>
      <w:r>
        <w:t>příjemce</w:t>
      </w:r>
      <w:r w:rsidR="000B5BE8">
        <w:t>, ale i pro ostatní zapojené subjekty</w:t>
      </w:r>
      <w:r>
        <w:t xml:space="preserve"> při současném zajištění komplexního sběru dat doporučuje při realizaci evaluace</w:t>
      </w:r>
      <w:r w:rsidRPr="00AE72FB">
        <w:t xml:space="preserve"> Dodavate</w:t>
      </w:r>
      <w:r>
        <w:t>l</w:t>
      </w:r>
      <w:r w:rsidRPr="00AE72FB">
        <w:t xml:space="preserve"> postupovat maximálně efektivně.</w:t>
      </w:r>
      <w:r>
        <w:t xml:space="preserve"> </w:t>
      </w:r>
      <w:r w:rsidRPr="00AE72FB">
        <w:t xml:space="preserve">Níže popsané evaluační metody jsou zpravidla využívány ve více </w:t>
      </w:r>
      <w:r w:rsidR="000B5BE8">
        <w:t>analytických</w:t>
      </w:r>
      <w:r w:rsidRPr="00AE72FB">
        <w:t xml:space="preserve"> otázkách</w:t>
      </w:r>
      <w:r>
        <w:t xml:space="preserve"> a </w:t>
      </w:r>
      <w:r w:rsidRPr="00AE72FB">
        <w:t xml:space="preserve">zároveň jsou navzájem komplementární. Z toho důvodu bude Dodavatel aplikovat evaluační metody napříč </w:t>
      </w:r>
      <w:r w:rsidR="000B5BE8">
        <w:t xml:space="preserve">analytickými </w:t>
      </w:r>
      <w:r w:rsidRPr="00AE72FB">
        <w:t>otázkami.</w:t>
      </w:r>
    </w:p>
    <w:p w14:paraId="13D84141" w14:textId="77777777" w:rsidR="00325487" w:rsidRDefault="00325487" w:rsidP="00F46FDA">
      <w:pPr>
        <w:spacing w:after="120" w:line="240" w:lineRule="auto"/>
        <w:jc w:val="both"/>
      </w:pPr>
      <w:r w:rsidRPr="00AE72FB">
        <w:t xml:space="preserve">Kombinace evaluačních metod ve vazbě na </w:t>
      </w:r>
      <w:r>
        <w:t xml:space="preserve">jednotlivé </w:t>
      </w:r>
      <w:r w:rsidR="000B5BE8">
        <w:t>analytické</w:t>
      </w:r>
      <w:r>
        <w:t xml:space="preserve"> otázky </w:t>
      </w:r>
      <w:r w:rsidRPr="00AE72FB">
        <w:t xml:space="preserve">je </w:t>
      </w:r>
      <w:r>
        <w:t>zobrazena v </w:t>
      </w:r>
      <w:r w:rsidRPr="00AE72FB">
        <w:t xml:space="preserve">tabulce níže. </w:t>
      </w:r>
    </w:p>
    <w:p w14:paraId="6A4C0B17" w14:textId="77777777" w:rsidR="00325487" w:rsidRDefault="00325487" w:rsidP="00F46FDA">
      <w:pPr>
        <w:pStyle w:val="Caption"/>
        <w:spacing w:before="240" w:after="120"/>
        <w:jc w:val="center"/>
      </w:pPr>
      <w:bookmarkStart w:id="15" w:name="_Toc24384728"/>
      <w:r>
        <w:t xml:space="preserve">Tabulka </w:t>
      </w:r>
      <w:r>
        <w:fldChar w:fldCharType="begin"/>
      </w:r>
      <w:r>
        <w:instrText xml:space="preserve"> SEQ Tabulka \* ARABIC </w:instrText>
      </w:r>
      <w:r>
        <w:fldChar w:fldCharType="separate"/>
      </w:r>
      <w:r w:rsidR="00D33D5F">
        <w:rPr>
          <w:noProof/>
        </w:rPr>
        <w:t>1</w:t>
      </w:r>
      <w:r>
        <w:fldChar w:fldCharType="end"/>
      </w:r>
      <w:r>
        <w:t xml:space="preserve">: </w:t>
      </w:r>
      <w:r w:rsidR="000B5BE8">
        <w:t xml:space="preserve">Evaluační metody ve vazbě na analytické otázky </w:t>
      </w:r>
      <w:bookmarkEnd w:id="15"/>
    </w:p>
    <w:tbl>
      <w:tblPr>
        <w:tblStyle w:val="Deloittetable21"/>
        <w:tblW w:w="5000" w:type="pct"/>
        <w:tblLayout w:type="fixed"/>
        <w:tblLook w:val="04A0" w:firstRow="1" w:lastRow="0" w:firstColumn="1" w:lastColumn="0" w:noHBand="0" w:noVBand="1"/>
      </w:tblPr>
      <w:tblGrid>
        <w:gridCol w:w="231"/>
        <w:gridCol w:w="6418"/>
        <w:gridCol w:w="566"/>
        <w:gridCol w:w="423"/>
        <w:gridCol w:w="423"/>
        <w:gridCol w:w="423"/>
        <w:gridCol w:w="586"/>
      </w:tblGrid>
      <w:tr w:rsidR="00513B89" w:rsidRPr="00351B75" w14:paraId="3E37E857" w14:textId="77777777" w:rsidTr="00513B89">
        <w:trPr>
          <w:cnfStyle w:val="100000000000" w:firstRow="1" w:lastRow="0" w:firstColumn="0" w:lastColumn="0" w:oddVBand="0" w:evenVBand="0" w:oddHBand="0" w:evenHBand="0" w:firstRowFirstColumn="0" w:firstRowLastColumn="0" w:lastRowFirstColumn="0" w:lastRowLastColumn="0"/>
          <w:trHeight w:val="254"/>
          <w:tblHeader/>
        </w:trPr>
        <w:tc>
          <w:tcPr>
            <w:cnfStyle w:val="001000000000" w:firstRow="0" w:lastRow="0" w:firstColumn="1" w:lastColumn="0" w:oddVBand="0" w:evenVBand="0" w:oddHBand="0" w:evenHBand="0" w:firstRowFirstColumn="0" w:firstRowLastColumn="0" w:lastRowFirstColumn="0" w:lastRowLastColumn="0"/>
            <w:tcW w:w="128" w:type="pct"/>
            <w:vMerge w:val="restart"/>
            <w:vAlign w:val="center"/>
          </w:tcPr>
          <w:p w14:paraId="02525F34" w14:textId="77777777" w:rsidR="00513B89" w:rsidRPr="00351B75" w:rsidRDefault="00513B89" w:rsidP="00F46FDA">
            <w:pPr>
              <w:spacing w:after="60" w:line="240" w:lineRule="auto"/>
              <w:rPr>
                <w:sz w:val="16"/>
                <w:szCs w:val="16"/>
              </w:rPr>
            </w:pPr>
            <w:r>
              <w:rPr>
                <w:sz w:val="16"/>
                <w:szCs w:val="16"/>
              </w:rPr>
              <w:t>Č.</w:t>
            </w:r>
          </w:p>
        </w:tc>
        <w:tc>
          <w:tcPr>
            <w:tcW w:w="3538" w:type="pct"/>
            <w:vMerge w:val="restart"/>
            <w:vAlign w:val="center"/>
          </w:tcPr>
          <w:p w14:paraId="2D1B0C4F" w14:textId="77777777" w:rsidR="00513B89" w:rsidRPr="00351B75" w:rsidRDefault="00513B89" w:rsidP="00F46FDA">
            <w:pPr>
              <w:spacing w:after="60" w:line="240" w:lineRule="auto"/>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Analytická</w:t>
            </w:r>
            <w:r w:rsidRPr="00351B75">
              <w:rPr>
                <w:sz w:val="16"/>
                <w:szCs w:val="16"/>
              </w:rPr>
              <w:t xml:space="preserve"> otázka</w:t>
            </w:r>
          </w:p>
        </w:tc>
        <w:tc>
          <w:tcPr>
            <w:tcW w:w="312" w:type="pct"/>
          </w:tcPr>
          <w:p w14:paraId="01B3F1F2" w14:textId="77777777" w:rsidR="00513B89" w:rsidRPr="00351B75" w:rsidRDefault="00513B89" w:rsidP="00F46FDA">
            <w:pPr>
              <w:spacing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022" w:type="pct"/>
            <w:gridSpan w:val="4"/>
          </w:tcPr>
          <w:p w14:paraId="6F5580B7" w14:textId="77777777" w:rsidR="00513B89" w:rsidRPr="00351B75" w:rsidRDefault="00513B89" w:rsidP="00F46FDA">
            <w:pPr>
              <w:spacing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Evaluační metody</w:t>
            </w:r>
          </w:p>
        </w:tc>
      </w:tr>
      <w:tr w:rsidR="00513B89" w:rsidRPr="00351B75" w14:paraId="49BB0018" w14:textId="77777777" w:rsidTr="00513B89">
        <w:trPr>
          <w:cnfStyle w:val="100000000000" w:firstRow="1" w:lastRow="0" w:firstColumn="0" w:lastColumn="0" w:oddVBand="0" w:evenVBand="0" w:oddHBand="0" w:evenHBand="0" w:firstRowFirstColumn="0" w:firstRowLastColumn="0" w:lastRowFirstColumn="0" w:lastRowLastColumn="0"/>
          <w:cantSplit/>
          <w:trHeight w:val="1085"/>
          <w:tblHeader/>
        </w:trPr>
        <w:tc>
          <w:tcPr>
            <w:cnfStyle w:val="001000000000" w:firstRow="0" w:lastRow="0" w:firstColumn="1" w:lastColumn="0" w:oddVBand="0" w:evenVBand="0" w:oddHBand="0" w:evenHBand="0" w:firstRowFirstColumn="0" w:firstRowLastColumn="0" w:lastRowFirstColumn="0" w:lastRowLastColumn="0"/>
            <w:tcW w:w="128" w:type="pct"/>
            <w:vMerge/>
          </w:tcPr>
          <w:p w14:paraId="01D925C1" w14:textId="77777777" w:rsidR="00513B89" w:rsidRPr="00351B75" w:rsidRDefault="00513B89" w:rsidP="00F46FDA">
            <w:pPr>
              <w:spacing w:after="60" w:line="240" w:lineRule="auto"/>
              <w:rPr>
                <w:sz w:val="16"/>
                <w:szCs w:val="16"/>
              </w:rPr>
            </w:pPr>
          </w:p>
        </w:tc>
        <w:tc>
          <w:tcPr>
            <w:tcW w:w="3538" w:type="pct"/>
            <w:vMerge/>
          </w:tcPr>
          <w:p w14:paraId="028A0FEB" w14:textId="77777777" w:rsidR="00513B89" w:rsidRPr="00351B75" w:rsidRDefault="00513B89" w:rsidP="00F46FDA">
            <w:pPr>
              <w:spacing w:after="60" w:line="240" w:lineRule="auto"/>
              <w:cnfStyle w:val="100000000000" w:firstRow="1" w:lastRow="0" w:firstColumn="0" w:lastColumn="0" w:oddVBand="0" w:evenVBand="0" w:oddHBand="0" w:evenHBand="0" w:firstRowFirstColumn="0" w:firstRowLastColumn="0" w:lastRowFirstColumn="0" w:lastRowLastColumn="0"/>
              <w:rPr>
                <w:sz w:val="16"/>
                <w:szCs w:val="16"/>
              </w:rPr>
            </w:pPr>
          </w:p>
        </w:tc>
        <w:tc>
          <w:tcPr>
            <w:tcW w:w="312" w:type="pct"/>
            <w:textDirection w:val="btLr"/>
            <w:vAlign w:val="center"/>
          </w:tcPr>
          <w:p w14:paraId="059163B3" w14:textId="77777777" w:rsidR="00513B89" w:rsidRPr="00351B75" w:rsidRDefault="00513B89" w:rsidP="00F46FDA">
            <w:pPr>
              <w:spacing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sidRPr="00351B75">
              <w:rPr>
                <w:sz w:val="16"/>
                <w:szCs w:val="16"/>
              </w:rPr>
              <w:t>Analýza sek. dat</w:t>
            </w:r>
          </w:p>
        </w:tc>
        <w:tc>
          <w:tcPr>
            <w:tcW w:w="233" w:type="pct"/>
            <w:textDirection w:val="btLr"/>
            <w:vAlign w:val="center"/>
          </w:tcPr>
          <w:p w14:paraId="35AA6C6A" w14:textId="77777777" w:rsidR="00513B89" w:rsidRPr="00351B75" w:rsidRDefault="00513B89" w:rsidP="00F46FDA">
            <w:pPr>
              <w:spacing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DŠ</w:t>
            </w:r>
          </w:p>
        </w:tc>
        <w:tc>
          <w:tcPr>
            <w:tcW w:w="233" w:type="pct"/>
            <w:textDirection w:val="btLr"/>
            <w:vAlign w:val="center"/>
          </w:tcPr>
          <w:p w14:paraId="660DFF07" w14:textId="77777777" w:rsidR="00513B89" w:rsidRPr="00351B75" w:rsidRDefault="00513B89" w:rsidP="00F46FDA">
            <w:pPr>
              <w:spacing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EP</w:t>
            </w:r>
          </w:p>
        </w:tc>
        <w:tc>
          <w:tcPr>
            <w:tcW w:w="233" w:type="pct"/>
            <w:textDirection w:val="btLr"/>
            <w:vAlign w:val="center"/>
          </w:tcPr>
          <w:p w14:paraId="41FD9E70" w14:textId="77777777" w:rsidR="00513B89" w:rsidRPr="00351B75" w:rsidRDefault="00513B89" w:rsidP="00F46FDA">
            <w:pPr>
              <w:spacing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FS</w:t>
            </w:r>
          </w:p>
        </w:tc>
        <w:tc>
          <w:tcPr>
            <w:tcW w:w="324" w:type="pct"/>
            <w:textDirection w:val="btLr"/>
            <w:vAlign w:val="center"/>
          </w:tcPr>
          <w:p w14:paraId="39B401EF" w14:textId="77777777" w:rsidR="00513B89" w:rsidRPr="00351B75" w:rsidRDefault="00513B89" w:rsidP="00F46FDA">
            <w:pPr>
              <w:spacing w:line="240" w:lineRule="auto"/>
              <w:ind w:left="113" w:right="113"/>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Ind. r</w:t>
            </w:r>
            <w:r w:rsidRPr="00351B75">
              <w:rPr>
                <w:sz w:val="16"/>
                <w:szCs w:val="16"/>
              </w:rPr>
              <w:t>ozhovor</w:t>
            </w:r>
          </w:p>
        </w:tc>
      </w:tr>
      <w:tr w:rsidR="00513B89" w:rsidRPr="00351B75" w14:paraId="3E955CC2" w14:textId="77777777" w:rsidTr="00513B89">
        <w:tc>
          <w:tcPr>
            <w:cnfStyle w:val="001000000000" w:firstRow="0" w:lastRow="0" w:firstColumn="1" w:lastColumn="0" w:oddVBand="0" w:evenVBand="0" w:oddHBand="0" w:evenHBand="0" w:firstRowFirstColumn="0" w:firstRowLastColumn="0" w:lastRowFirstColumn="0" w:lastRowLastColumn="0"/>
            <w:tcW w:w="128" w:type="pct"/>
          </w:tcPr>
          <w:p w14:paraId="25FF837E" w14:textId="77777777" w:rsidR="00513B89" w:rsidRPr="00351B75" w:rsidRDefault="00513B89" w:rsidP="00F46FDA">
            <w:pPr>
              <w:spacing w:after="60" w:line="240" w:lineRule="auto"/>
              <w:rPr>
                <w:sz w:val="16"/>
                <w:szCs w:val="16"/>
              </w:rPr>
            </w:pPr>
            <w:r w:rsidRPr="00351B75">
              <w:rPr>
                <w:sz w:val="16"/>
                <w:szCs w:val="16"/>
              </w:rPr>
              <w:t>1</w:t>
            </w:r>
          </w:p>
        </w:tc>
        <w:tc>
          <w:tcPr>
            <w:tcW w:w="3538" w:type="pct"/>
          </w:tcPr>
          <w:p w14:paraId="56644C64"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B5BE8">
              <w:rPr>
                <w:sz w:val="16"/>
                <w:szCs w:val="16"/>
              </w:rPr>
              <w:t xml:space="preserve">Ve kterých oblastech v rámci SC OP </w:t>
            </w:r>
            <w:r w:rsidR="00C77C42">
              <w:rPr>
                <w:sz w:val="16"/>
                <w:szCs w:val="16"/>
              </w:rPr>
              <w:t>TA</w:t>
            </w:r>
            <w:r w:rsidRPr="000B5BE8">
              <w:rPr>
                <w:sz w:val="16"/>
                <w:szCs w:val="16"/>
              </w:rPr>
              <w:t xml:space="preserve">K dochází k tržnímu selhání nebo suboptimální investiční situaci?  </w:t>
            </w:r>
          </w:p>
        </w:tc>
        <w:tc>
          <w:tcPr>
            <w:tcW w:w="312" w:type="pct"/>
            <w:shd w:val="clear" w:color="auto" w:fill="auto"/>
          </w:tcPr>
          <w:p w14:paraId="60D38D70"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47AC1905" wp14:editId="3048BF84">
                  <wp:extent cx="153619" cy="153619"/>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shd w:val="clear" w:color="auto" w:fill="auto"/>
          </w:tcPr>
          <w:p w14:paraId="2EE5FE38"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1E8053D" wp14:editId="6D1DF0A4">
                  <wp:extent cx="153619" cy="153619"/>
                  <wp:effectExtent l="0" t="0" r="0" b="0"/>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tcPr>
          <w:p w14:paraId="48567FD6"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0A5AA9B" wp14:editId="5E8ECCDB">
                  <wp:extent cx="153619" cy="153619"/>
                  <wp:effectExtent l="0" t="0" r="0" b="0"/>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shd w:val="clear" w:color="auto" w:fill="auto"/>
          </w:tcPr>
          <w:p w14:paraId="3973183F" w14:textId="77777777" w:rsidR="00513B89" w:rsidRPr="00351B75" w:rsidRDefault="001B11C7"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755D184" wp14:editId="22537445">
                  <wp:extent cx="153619" cy="153619"/>
                  <wp:effectExtent l="0" t="0" r="0" b="0"/>
                  <wp:docPr id="10"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324" w:type="pct"/>
            <w:shd w:val="clear" w:color="auto" w:fill="auto"/>
          </w:tcPr>
          <w:p w14:paraId="0F760B1F"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513B89" w:rsidRPr="00351B75" w14:paraId="02E5D507" w14:textId="77777777" w:rsidTr="00513B89">
        <w:tc>
          <w:tcPr>
            <w:cnfStyle w:val="001000000000" w:firstRow="0" w:lastRow="0" w:firstColumn="1" w:lastColumn="0" w:oddVBand="0" w:evenVBand="0" w:oddHBand="0" w:evenHBand="0" w:firstRowFirstColumn="0" w:firstRowLastColumn="0" w:lastRowFirstColumn="0" w:lastRowLastColumn="0"/>
            <w:tcW w:w="128" w:type="pct"/>
          </w:tcPr>
          <w:p w14:paraId="031456AC" w14:textId="77777777" w:rsidR="00513B89" w:rsidRPr="00351B75" w:rsidRDefault="00513B89" w:rsidP="00F46FDA">
            <w:pPr>
              <w:spacing w:after="60" w:line="240" w:lineRule="auto"/>
              <w:rPr>
                <w:sz w:val="16"/>
                <w:szCs w:val="16"/>
              </w:rPr>
            </w:pPr>
            <w:r w:rsidRPr="00351B75">
              <w:rPr>
                <w:sz w:val="16"/>
                <w:szCs w:val="16"/>
              </w:rPr>
              <w:t>2</w:t>
            </w:r>
          </w:p>
        </w:tc>
        <w:tc>
          <w:tcPr>
            <w:tcW w:w="3538" w:type="pct"/>
          </w:tcPr>
          <w:p w14:paraId="3E4DAFF1"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B5BE8">
              <w:rPr>
                <w:sz w:val="16"/>
                <w:szCs w:val="16"/>
              </w:rPr>
              <w:t>Jak přesně se tržní selhání či suboptimální investiční situace v daných oblastech projevuje?</w:t>
            </w:r>
          </w:p>
        </w:tc>
        <w:tc>
          <w:tcPr>
            <w:tcW w:w="312" w:type="pct"/>
            <w:shd w:val="clear" w:color="auto" w:fill="auto"/>
          </w:tcPr>
          <w:p w14:paraId="456397E1"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76A04132" wp14:editId="7CF21BF6">
                  <wp:extent cx="153619" cy="153619"/>
                  <wp:effectExtent l="0" t="0" r="0" b="0"/>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shd w:val="clear" w:color="auto" w:fill="auto"/>
          </w:tcPr>
          <w:p w14:paraId="18C66FBA" w14:textId="77777777" w:rsidR="00513B89" w:rsidRPr="00351B75" w:rsidRDefault="001B11C7"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6F27B5DC" wp14:editId="61789EBF">
                  <wp:extent cx="153619" cy="153619"/>
                  <wp:effectExtent l="0" t="0" r="0" b="0"/>
                  <wp:docPr id="8"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tcPr>
          <w:p w14:paraId="0FB8F602"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33" w:type="pct"/>
            <w:shd w:val="clear" w:color="auto" w:fill="auto"/>
          </w:tcPr>
          <w:p w14:paraId="45C2707C"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6B6EFFE4" wp14:editId="1C5BCD5C">
                  <wp:extent cx="153619" cy="153619"/>
                  <wp:effectExtent l="0" t="0" r="0" b="0"/>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324" w:type="pct"/>
            <w:shd w:val="clear" w:color="auto" w:fill="auto"/>
          </w:tcPr>
          <w:p w14:paraId="4F622302"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8E1FBE5" wp14:editId="60893FE1">
                  <wp:extent cx="153619" cy="153619"/>
                  <wp:effectExtent l="0" t="0" r="0" b="0"/>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513B89" w:rsidRPr="00351B75" w14:paraId="433A5BF1" w14:textId="77777777" w:rsidTr="00513B89">
        <w:tc>
          <w:tcPr>
            <w:cnfStyle w:val="001000000000" w:firstRow="0" w:lastRow="0" w:firstColumn="1" w:lastColumn="0" w:oddVBand="0" w:evenVBand="0" w:oddHBand="0" w:evenHBand="0" w:firstRowFirstColumn="0" w:firstRowLastColumn="0" w:lastRowFirstColumn="0" w:lastRowLastColumn="0"/>
            <w:tcW w:w="128" w:type="pct"/>
          </w:tcPr>
          <w:p w14:paraId="462A2417" w14:textId="77777777" w:rsidR="00513B89" w:rsidRPr="00351B75" w:rsidRDefault="00513B89" w:rsidP="00F46FDA">
            <w:pPr>
              <w:spacing w:after="60" w:line="240" w:lineRule="auto"/>
              <w:rPr>
                <w:sz w:val="16"/>
                <w:szCs w:val="16"/>
              </w:rPr>
            </w:pPr>
            <w:r w:rsidRPr="00351B75">
              <w:rPr>
                <w:sz w:val="16"/>
                <w:szCs w:val="16"/>
              </w:rPr>
              <w:lastRenderedPageBreak/>
              <w:t>3</w:t>
            </w:r>
          </w:p>
        </w:tc>
        <w:tc>
          <w:tcPr>
            <w:tcW w:w="3538" w:type="pct"/>
          </w:tcPr>
          <w:p w14:paraId="59B76930"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B5BE8">
              <w:rPr>
                <w:sz w:val="16"/>
                <w:szCs w:val="16"/>
              </w:rPr>
              <w:t xml:space="preserve">Postihuje tržní selhání nebo suboptimální investiční situace celou ČR či pouze některý z regionů?  </w:t>
            </w:r>
          </w:p>
        </w:tc>
        <w:tc>
          <w:tcPr>
            <w:tcW w:w="312" w:type="pct"/>
            <w:shd w:val="clear" w:color="auto" w:fill="auto"/>
          </w:tcPr>
          <w:p w14:paraId="6C4B3751"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0C6483B7" wp14:editId="071DC951">
                  <wp:extent cx="153619" cy="153619"/>
                  <wp:effectExtent l="0" t="0" r="0" b="0"/>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shd w:val="clear" w:color="auto" w:fill="auto"/>
          </w:tcPr>
          <w:p w14:paraId="1C961950"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CC0E6FE" wp14:editId="2F6A6B73">
                  <wp:extent cx="153619" cy="153619"/>
                  <wp:effectExtent l="0" t="0" r="0" b="0"/>
                  <wp:docPr id="5"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tcPr>
          <w:p w14:paraId="4555C158"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33" w:type="pct"/>
            <w:shd w:val="clear" w:color="auto" w:fill="auto"/>
          </w:tcPr>
          <w:p w14:paraId="05E7180D"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24" w:type="pct"/>
            <w:shd w:val="clear" w:color="auto" w:fill="auto"/>
          </w:tcPr>
          <w:p w14:paraId="0D925E5A"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0A8F811" wp14:editId="0D415D20">
                  <wp:extent cx="153619" cy="153619"/>
                  <wp:effectExtent l="0" t="0" r="0" b="0"/>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r w:rsidR="00513B89" w:rsidRPr="00351B75" w14:paraId="5CC1166E" w14:textId="77777777" w:rsidTr="00513B89">
        <w:tc>
          <w:tcPr>
            <w:cnfStyle w:val="001000000000" w:firstRow="0" w:lastRow="0" w:firstColumn="1" w:lastColumn="0" w:oddVBand="0" w:evenVBand="0" w:oddHBand="0" w:evenHBand="0" w:firstRowFirstColumn="0" w:firstRowLastColumn="0" w:lastRowFirstColumn="0" w:lastRowLastColumn="0"/>
            <w:tcW w:w="128" w:type="pct"/>
          </w:tcPr>
          <w:p w14:paraId="30E5FDB3" w14:textId="77777777" w:rsidR="00513B89" w:rsidRPr="00351B75" w:rsidRDefault="00513B89" w:rsidP="00F46FDA">
            <w:pPr>
              <w:spacing w:after="60" w:line="240" w:lineRule="auto"/>
              <w:rPr>
                <w:sz w:val="16"/>
                <w:szCs w:val="16"/>
              </w:rPr>
            </w:pPr>
            <w:r w:rsidRPr="00351B75">
              <w:rPr>
                <w:sz w:val="16"/>
                <w:szCs w:val="16"/>
              </w:rPr>
              <w:t>4</w:t>
            </w:r>
          </w:p>
        </w:tc>
        <w:tc>
          <w:tcPr>
            <w:tcW w:w="3538" w:type="pct"/>
          </w:tcPr>
          <w:p w14:paraId="02428B01"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0B5BE8">
              <w:rPr>
                <w:sz w:val="16"/>
                <w:szCs w:val="16"/>
              </w:rPr>
              <w:t>Jaká jsou doporučení/návrhy pro využití dostupných forem podpory v rámci jednotlivých SC/aktivit, které by měly řešit tržní selhání či suboptimální investiční situace v podnikatelském sektoru?</w:t>
            </w:r>
          </w:p>
        </w:tc>
        <w:tc>
          <w:tcPr>
            <w:tcW w:w="312" w:type="pct"/>
            <w:shd w:val="clear" w:color="auto" w:fill="auto"/>
          </w:tcPr>
          <w:p w14:paraId="4DDB6A12"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F9E49E7" wp14:editId="1685DC04">
                  <wp:extent cx="153619" cy="153619"/>
                  <wp:effectExtent l="0" t="0" r="0" b="0"/>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shd w:val="clear" w:color="auto" w:fill="auto"/>
          </w:tcPr>
          <w:p w14:paraId="75812408"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285648AA" wp14:editId="112E78FA">
                  <wp:extent cx="153619" cy="15361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tcPr>
          <w:p w14:paraId="76504289"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3EE3D2C8" wp14:editId="451A12D4">
                  <wp:extent cx="153619" cy="153619"/>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c>
          <w:tcPr>
            <w:tcW w:w="233" w:type="pct"/>
            <w:shd w:val="clear" w:color="auto" w:fill="auto"/>
          </w:tcPr>
          <w:p w14:paraId="001576E3"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324" w:type="pct"/>
            <w:shd w:val="clear" w:color="auto" w:fill="auto"/>
          </w:tcPr>
          <w:p w14:paraId="527E9258" w14:textId="77777777" w:rsidR="00513B89" w:rsidRPr="00351B75" w:rsidRDefault="00513B89" w:rsidP="00F46FDA">
            <w:pPr>
              <w:spacing w:after="60" w:line="240" w:lineRule="auto"/>
              <w:cnfStyle w:val="000000000000" w:firstRow="0" w:lastRow="0" w:firstColumn="0" w:lastColumn="0" w:oddVBand="0" w:evenVBand="0" w:oddHBand="0" w:evenHBand="0" w:firstRowFirstColumn="0" w:firstRowLastColumn="0" w:lastRowFirstColumn="0" w:lastRowLastColumn="0"/>
              <w:rPr>
                <w:sz w:val="16"/>
                <w:szCs w:val="16"/>
              </w:rPr>
            </w:pPr>
            <w:r>
              <w:rPr>
                <w:noProof/>
                <w:sz w:val="16"/>
                <w:szCs w:val="16"/>
              </w:rPr>
              <w:drawing>
                <wp:inline distT="0" distB="0" distL="0" distR="0" wp14:anchorId="1451367F" wp14:editId="0AA453B2">
                  <wp:extent cx="153619" cy="153619"/>
                  <wp:effectExtent l="0" t="0" r="0" b="0"/>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03" cy="153603"/>
                          </a:xfrm>
                          <a:prstGeom prst="rect">
                            <a:avLst/>
                          </a:prstGeom>
                        </pic:spPr>
                      </pic:pic>
                    </a:graphicData>
                  </a:graphic>
                </wp:inline>
              </w:drawing>
            </w:r>
          </w:p>
        </w:tc>
      </w:tr>
    </w:tbl>
    <w:p w14:paraId="189A6D6F" w14:textId="32C6A890" w:rsidR="004B1B49" w:rsidRDefault="004B1B49" w:rsidP="005E6A07">
      <w:pPr>
        <w:spacing w:after="120" w:line="240" w:lineRule="auto"/>
        <w:jc w:val="both"/>
        <w:rPr>
          <w:b/>
        </w:rPr>
      </w:pPr>
    </w:p>
    <w:p w14:paraId="053A664F" w14:textId="77777777" w:rsidR="005E6A07" w:rsidRDefault="005E6A07" w:rsidP="005E6A07">
      <w:pPr>
        <w:spacing w:after="120" w:line="240" w:lineRule="auto"/>
        <w:jc w:val="both"/>
        <w:rPr>
          <w:b/>
        </w:rPr>
      </w:pPr>
    </w:p>
    <w:p w14:paraId="7B268BB5" w14:textId="77777777" w:rsidR="00562D5D" w:rsidRPr="006B2A80" w:rsidRDefault="00562D5D" w:rsidP="00860027">
      <w:pPr>
        <w:pStyle w:val="Heading1"/>
        <w:ind w:left="709" w:hanging="709"/>
      </w:pPr>
      <w:bookmarkStart w:id="16" w:name="_Toc35514809"/>
      <w:bookmarkStart w:id="17" w:name="_Toc37248818"/>
      <w:bookmarkEnd w:id="16"/>
      <w:r>
        <w:t>Detailní postup realizace jednotlivých evaluačních metod</w:t>
      </w:r>
      <w:bookmarkEnd w:id="13"/>
      <w:bookmarkEnd w:id="17"/>
    </w:p>
    <w:p w14:paraId="10CA899B" w14:textId="77777777" w:rsidR="00325487" w:rsidRDefault="00325487" w:rsidP="00F46FDA">
      <w:pPr>
        <w:pStyle w:val="Heading2"/>
        <w:spacing w:line="240" w:lineRule="auto"/>
      </w:pPr>
      <w:bookmarkStart w:id="18" w:name="_Toc25228649"/>
      <w:bookmarkStart w:id="19" w:name="_Toc37248819"/>
      <w:r>
        <w:t>Analýza sekundárních zdrojů a dat</w:t>
      </w:r>
      <w:bookmarkEnd w:id="18"/>
      <w:bookmarkEnd w:id="19"/>
    </w:p>
    <w:p w14:paraId="450DB3AF" w14:textId="77777777" w:rsidR="00325487" w:rsidRPr="000E1076" w:rsidRDefault="00325487" w:rsidP="00F46FDA">
      <w:pPr>
        <w:keepNext/>
        <w:spacing w:before="240" w:after="120" w:line="240" w:lineRule="auto"/>
        <w:rPr>
          <w:b/>
          <w:color w:val="012169" w:themeColor="accent4"/>
        </w:rPr>
      </w:pPr>
      <w:r w:rsidRPr="000E1076">
        <w:rPr>
          <w:b/>
          <w:color w:val="012169" w:themeColor="accent4"/>
        </w:rPr>
        <w:t xml:space="preserve">Způsob realizace </w:t>
      </w:r>
    </w:p>
    <w:p w14:paraId="39B31924" w14:textId="77777777" w:rsidR="009D4A35" w:rsidRDefault="00325487" w:rsidP="00F46FDA">
      <w:pPr>
        <w:spacing w:before="113" w:after="113" w:line="240" w:lineRule="auto"/>
        <w:jc w:val="both"/>
      </w:pPr>
      <w:r w:rsidRPr="00C23145">
        <w:rPr>
          <w:szCs w:val="18"/>
        </w:rPr>
        <w:t>Sekundární informační zdroje</w:t>
      </w:r>
      <w:r>
        <w:rPr>
          <w:szCs w:val="18"/>
        </w:rPr>
        <w:t xml:space="preserve"> a data</w:t>
      </w:r>
      <w:r w:rsidRPr="00C23145">
        <w:rPr>
          <w:szCs w:val="18"/>
        </w:rPr>
        <w:t xml:space="preserve"> představují již zpracované dokumenty</w:t>
      </w:r>
      <w:r>
        <w:rPr>
          <w:szCs w:val="18"/>
        </w:rPr>
        <w:t xml:space="preserve"> a data sety</w:t>
      </w:r>
      <w:r w:rsidRPr="00C23145">
        <w:rPr>
          <w:szCs w:val="18"/>
        </w:rPr>
        <w:t xml:space="preserve"> využitelné pro předmětnou evaluaci. </w:t>
      </w:r>
      <w:r w:rsidR="005444AD">
        <w:t>Dodavatel bude v rámci analýzy sekundárních zdrojů a dat čerpat z veřejně dostupných zdrojů, zdrojů předaných ze strany Zadavatele a z vlastních dříve zpracovaných analýz. B</w:t>
      </w:r>
      <w:r>
        <w:rPr>
          <w:szCs w:val="18"/>
        </w:rPr>
        <w:t xml:space="preserve">ude </w:t>
      </w:r>
      <w:r w:rsidR="005444AD">
        <w:rPr>
          <w:szCs w:val="18"/>
        </w:rPr>
        <w:t xml:space="preserve">se </w:t>
      </w:r>
      <w:r w:rsidRPr="00C23145">
        <w:rPr>
          <w:szCs w:val="18"/>
        </w:rPr>
        <w:t>jedn</w:t>
      </w:r>
      <w:r>
        <w:rPr>
          <w:szCs w:val="18"/>
        </w:rPr>
        <w:t xml:space="preserve">at </w:t>
      </w:r>
      <w:r w:rsidR="005444AD">
        <w:rPr>
          <w:szCs w:val="18"/>
        </w:rPr>
        <w:t xml:space="preserve">především </w:t>
      </w:r>
      <w:r w:rsidR="00CB44D2">
        <w:t>o</w:t>
      </w:r>
      <w:r w:rsidR="009D4A35">
        <w:t>:</w:t>
      </w:r>
    </w:p>
    <w:p w14:paraId="26D84861" w14:textId="77777777" w:rsidR="009D4A35" w:rsidRPr="00C64017" w:rsidRDefault="009D4A35" w:rsidP="00F46FDA">
      <w:pPr>
        <w:pStyle w:val="ListParagraph"/>
        <w:numPr>
          <w:ilvl w:val="0"/>
          <w:numId w:val="19"/>
        </w:numPr>
        <w:tabs>
          <w:tab w:val="left" w:pos="3435"/>
        </w:tabs>
        <w:spacing w:after="120" w:line="240" w:lineRule="auto"/>
        <w:ind w:left="709"/>
        <w:contextualSpacing w:val="0"/>
        <w:jc w:val="both"/>
      </w:pPr>
      <w:r>
        <w:t>D</w:t>
      </w:r>
      <w:r w:rsidR="00CB44D2">
        <w:t>okumenty Zadavatele</w:t>
      </w:r>
      <w:r w:rsidR="00BF236B">
        <w:t xml:space="preserve"> (MPO)</w:t>
      </w:r>
      <w:r w:rsidR="00CB44D2">
        <w:t xml:space="preserve"> uv</w:t>
      </w:r>
      <w:r w:rsidR="00C64017">
        <w:t>edené ve Výzvě k podání nabídky;</w:t>
      </w:r>
    </w:p>
    <w:p w14:paraId="525D83F5" w14:textId="77777777" w:rsidR="009D4A35" w:rsidRPr="00C64017" w:rsidRDefault="009D4A35" w:rsidP="00F46FDA">
      <w:pPr>
        <w:pStyle w:val="ListParagraph"/>
        <w:numPr>
          <w:ilvl w:val="0"/>
          <w:numId w:val="19"/>
        </w:numPr>
        <w:tabs>
          <w:tab w:val="left" w:pos="3435"/>
        </w:tabs>
        <w:spacing w:after="120" w:line="240" w:lineRule="auto"/>
        <w:ind w:left="709"/>
        <w:contextualSpacing w:val="0"/>
        <w:jc w:val="both"/>
      </w:pPr>
      <w:r>
        <w:t>D</w:t>
      </w:r>
      <w:r w:rsidR="00A40F1F">
        <w:t xml:space="preserve">ata z </w:t>
      </w:r>
      <w:r w:rsidR="00A40F1F" w:rsidRPr="00C64017">
        <w:t>monitorovacího systému MS2014+</w:t>
      </w:r>
      <w:r w:rsidRPr="00C64017">
        <w:t xml:space="preserve"> o relevantních podpořených projektech OP PIK</w:t>
      </w:r>
      <w:r w:rsidR="00C64017" w:rsidRPr="00C64017">
        <w:t>;</w:t>
      </w:r>
    </w:p>
    <w:p w14:paraId="689C3C39" w14:textId="77777777" w:rsidR="009D4A35" w:rsidRPr="00C64017" w:rsidRDefault="009D4A35" w:rsidP="00F46FDA">
      <w:pPr>
        <w:pStyle w:val="ListParagraph"/>
        <w:numPr>
          <w:ilvl w:val="0"/>
          <w:numId w:val="19"/>
        </w:numPr>
        <w:tabs>
          <w:tab w:val="left" w:pos="3435"/>
        </w:tabs>
        <w:spacing w:after="120" w:line="240" w:lineRule="auto"/>
        <w:ind w:left="709"/>
        <w:contextualSpacing w:val="0"/>
        <w:jc w:val="both"/>
      </w:pPr>
      <w:r w:rsidRPr="00C64017">
        <w:t>Data o relevantních podpořených projektech Operačního programu Životní prostředí (dále také jen „OPŽP“)</w:t>
      </w:r>
      <w:r w:rsidR="00C64017" w:rsidRPr="00C64017">
        <w:t>, Národního programu Životní prostředí (dále také jen „NPŽP“) a další relevantní dokumenty</w:t>
      </w:r>
      <w:r>
        <w:t xml:space="preserve"> Ministerstva životního prostředí (dále také jen „MŽP“), Státního fondu životního prostředí ČR (dále také jen „</w:t>
      </w:r>
      <w:r w:rsidRPr="00640CAD">
        <w:t>S</w:t>
      </w:r>
      <w:r>
        <w:t>FŽP“)</w:t>
      </w:r>
      <w:r w:rsidR="00C64017">
        <w:t xml:space="preserve"> a Č</w:t>
      </w:r>
      <w:r w:rsidR="00C64017" w:rsidRPr="00C64017">
        <w:t>esk</w:t>
      </w:r>
      <w:r w:rsidR="00C64017">
        <w:t>é</w:t>
      </w:r>
      <w:r w:rsidR="00C64017" w:rsidRPr="00C64017">
        <w:t xml:space="preserve"> informační agentur</w:t>
      </w:r>
      <w:r w:rsidR="00C64017">
        <w:t>y</w:t>
      </w:r>
      <w:r w:rsidR="00C64017" w:rsidRPr="00C64017">
        <w:t xml:space="preserve"> životního prostředí </w:t>
      </w:r>
      <w:r w:rsidR="00C64017">
        <w:t xml:space="preserve">(dále také jen „CENIA“); </w:t>
      </w:r>
    </w:p>
    <w:p w14:paraId="4CBF37F7" w14:textId="77777777" w:rsidR="00A03363" w:rsidRPr="00A03363" w:rsidRDefault="009D4A35" w:rsidP="00F46FDA">
      <w:pPr>
        <w:pStyle w:val="ListParagraph"/>
        <w:numPr>
          <w:ilvl w:val="0"/>
          <w:numId w:val="19"/>
        </w:numPr>
        <w:tabs>
          <w:tab w:val="left" w:pos="3435"/>
        </w:tabs>
        <w:spacing w:after="120" w:line="240" w:lineRule="auto"/>
        <w:ind w:left="709"/>
        <w:contextualSpacing w:val="0"/>
        <w:jc w:val="both"/>
        <w:rPr>
          <w:szCs w:val="18"/>
        </w:rPr>
      </w:pPr>
      <w:r>
        <w:t>Data od Č</w:t>
      </w:r>
      <w:r w:rsidRPr="005042A3">
        <w:t>eskomoravsk</w:t>
      </w:r>
      <w:r>
        <w:t>é</w:t>
      </w:r>
      <w:r w:rsidRPr="005042A3">
        <w:t xml:space="preserve"> záruční a rozvojov</w:t>
      </w:r>
      <w:r w:rsidR="003E0069">
        <w:t>é</w:t>
      </w:r>
      <w:r w:rsidRPr="005042A3">
        <w:t xml:space="preserve"> bank</w:t>
      </w:r>
      <w:r w:rsidR="003E0069">
        <w:t>y</w:t>
      </w:r>
      <w:r>
        <w:t>, a.s. (dále také jen „</w:t>
      </w:r>
      <w:r w:rsidR="00A40F1F">
        <w:t>ČMZRB</w:t>
      </w:r>
      <w:r>
        <w:t>“)</w:t>
      </w:r>
      <w:r w:rsidR="00A03363">
        <w:t xml:space="preserve"> a dalších poskytovatelů záručních a úvěrových produktů pro podnikatele;</w:t>
      </w:r>
    </w:p>
    <w:p w14:paraId="5ED2CFBA" w14:textId="77777777" w:rsidR="00A03363" w:rsidRPr="00351AC8" w:rsidRDefault="00A03363" w:rsidP="001B11C7">
      <w:pPr>
        <w:pStyle w:val="ListParagraph"/>
        <w:numPr>
          <w:ilvl w:val="0"/>
          <w:numId w:val="19"/>
        </w:numPr>
        <w:tabs>
          <w:tab w:val="left" w:pos="3435"/>
        </w:tabs>
        <w:spacing w:after="120" w:line="240" w:lineRule="auto"/>
        <w:ind w:left="709"/>
        <w:contextualSpacing w:val="0"/>
        <w:jc w:val="both"/>
      </w:pPr>
      <w:r>
        <w:t>Data a dokumenty</w:t>
      </w:r>
      <w:r w:rsidR="00CB44D2">
        <w:t xml:space="preserve"> zastřešujících a odborných organizací</w:t>
      </w:r>
      <w:r w:rsidR="001F0C75">
        <w:t xml:space="preserve"> (</w:t>
      </w:r>
      <w:r w:rsidR="001F0C75" w:rsidRPr="00640CAD">
        <w:t>např. Svaz průmyslu a dopravy ČR,</w:t>
      </w:r>
      <w:r w:rsidR="00D7681C">
        <w:t xml:space="preserve"> </w:t>
      </w:r>
      <w:r w:rsidR="00D7681C" w:rsidRPr="00D7681C">
        <w:t>Teplárenské sdružení ČR</w:t>
      </w:r>
      <w:r w:rsidR="00D7681C">
        <w:t xml:space="preserve">, </w:t>
      </w:r>
      <w:r w:rsidR="00D7681C" w:rsidRPr="00D7681C">
        <w:t>Komora obnovitelných zdrojů energie</w:t>
      </w:r>
      <w:r w:rsidR="00D7681C">
        <w:t xml:space="preserve">, </w:t>
      </w:r>
      <w:r w:rsidR="00D7681C" w:rsidRPr="00D7681C">
        <w:t>Český plynárenský svaz</w:t>
      </w:r>
      <w:r w:rsidR="00F27630">
        <w:t>, apod.</w:t>
      </w:r>
      <w:r w:rsidR="005444AD">
        <w:t>)</w:t>
      </w:r>
      <w:r w:rsidR="00D7681C">
        <w:t xml:space="preserve"> a</w:t>
      </w:r>
    </w:p>
    <w:p w14:paraId="5877F9F8" w14:textId="77777777" w:rsidR="00A03363" w:rsidRPr="00A03363" w:rsidRDefault="00A03363" w:rsidP="00F46FDA">
      <w:pPr>
        <w:pStyle w:val="ListParagraph"/>
        <w:numPr>
          <w:ilvl w:val="0"/>
          <w:numId w:val="19"/>
        </w:numPr>
        <w:tabs>
          <w:tab w:val="left" w:pos="3435"/>
        </w:tabs>
        <w:spacing w:after="120" w:line="240" w:lineRule="auto"/>
        <w:ind w:left="709"/>
        <w:contextualSpacing w:val="0"/>
        <w:jc w:val="both"/>
        <w:rPr>
          <w:szCs w:val="18"/>
        </w:rPr>
      </w:pPr>
      <w:r>
        <w:t>V</w:t>
      </w:r>
      <w:r w:rsidR="00A40F1F">
        <w:t>lastní data</w:t>
      </w:r>
      <w:r w:rsidR="00ED3F6A">
        <w:t xml:space="preserve"> a dokumenty</w:t>
      </w:r>
      <w:r w:rsidR="00A40F1F">
        <w:t xml:space="preserve"> Dodavatele (dříve zpracované analýzy)</w:t>
      </w:r>
      <w:r w:rsidR="00325487" w:rsidRPr="00C64017">
        <w:t>.</w:t>
      </w:r>
    </w:p>
    <w:p w14:paraId="0DBD9269" w14:textId="1FA10DFC" w:rsidR="00325487" w:rsidRPr="005444AD" w:rsidRDefault="00EB7C01" w:rsidP="00F46FDA">
      <w:pPr>
        <w:tabs>
          <w:tab w:val="left" w:pos="3435"/>
        </w:tabs>
        <w:spacing w:after="120" w:line="240" w:lineRule="auto"/>
        <w:jc w:val="both"/>
        <w:rPr>
          <w:szCs w:val="18"/>
        </w:rPr>
      </w:pPr>
      <w:r w:rsidRPr="000C6B28">
        <w:t xml:space="preserve">Detailnější seznam těchto zdrojů byl součástí nabídky Dodavatele a byl dále upřesněn. Dodavatel předal Zadavateli 20. 3. 2020 datový požadavek obsahující přehled dat a dokumentů k předání ze strany Zadavatele </w:t>
      </w:r>
      <w:r w:rsidR="00325487" w:rsidRPr="00F27630">
        <w:t xml:space="preserve">(viz </w:t>
      </w:r>
      <w:r w:rsidR="00325487" w:rsidRPr="00F27630">
        <w:fldChar w:fldCharType="begin"/>
      </w:r>
      <w:r w:rsidR="00325487" w:rsidRPr="00F27630">
        <w:instrText xml:space="preserve"> REF _Ref24117639 \h </w:instrText>
      </w:r>
      <w:r w:rsidR="00C64017" w:rsidRPr="00F27630">
        <w:instrText xml:space="preserve"> \* MERGEFORMAT </w:instrText>
      </w:r>
      <w:r w:rsidR="00325487" w:rsidRPr="00F27630">
        <w:fldChar w:fldCharType="separate"/>
      </w:r>
      <w:r w:rsidR="00325487" w:rsidRPr="00F27630">
        <w:t>Příloha 1: Datový požadavek Dodavatele</w:t>
      </w:r>
      <w:r w:rsidR="00325487" w:rsidRPr="00F27630">
        <w:fldChar w:fldCharType="end"/>
      </w:r>
      <w:r w:rsidR="00325487" w:rsidRPr="00F27630">
        <w:rPr>
          <w:szCs w:val="18"/>
        </w:rPr>
        <w:t>).</w:t>
      </w:r>
      <w:r w:rsidR="005444AD" w:rsidRPr="00F27630">
        <w:rPr>
          <w:szCs w:val="18"/>
        </w:rPr>
        <w:t xml:space="preserve"> </w:t>
      </w:r>
      <w:r w:rsidR="00325487" w:rsidRPr="00F27630">
        <w:t xml:space="preserve">Pokud v průběhu realizace vyvstane potřeba, Dodavatel si dodatečně vyžádá data od Zadavatele. Zdroje předané Dodavateli </w:t>
      </w:r>
      <w:r w:rsidR="00AC34C8">
        <w:t xml:space="preserve">k termínu odevzdání této Vstupní zprávy </w:t>
      </w:r>
      <w:r w:rsidR="00325487" w:rsidRPr="00F27630">
        <w:t>jsou</w:t>
      </w:r>
      <w:r w:rsidR="00A40F1F" w:rsidRPr="0080326A">
        <w:t xml:space="preserve"> uvedeny v  tabulce v Příloze </w:t>
      </w:r>
      <w:r w:rsidR="00325487" w:rsidRPr="0080326A">
        <w:t>1.</w:t>
      </w:r>
      <w:r w:rsidR="00325487">
        <w:t xml:space="preserve"> </w:t>
      </w:r>
    </w:p>
    <w:p w14:paraId="3CA68E87" w14:textId="77777777" w:rsidR="00325487" w:rsidRDefault="00325487" w:rsidP="00F46FDA">
      <w:pPr>
        <w:spacing w:after="120" w:line="240" w:lineRule="auto"/>
        <w:jc w:val="both"/>
      </w:pPr>
      <w:r w:rsidRPr="00375E4B">
        <w:t>Cílem analýzy</w:t>
      </w:r>
      <w:r>
        <w:t xml:space="preserve"> sekundárních zdrojů a dat</w:t>
      </w:r>
      <w:r w:rsidRPr="00375E4B">
        <w:t xml:space="preserve"> </w:t>
      </w:r>
      <w:r>
        <w:t>bude především:</w:t>
      </w:r>
    </w:p>
    <w:p w14:paraId="5CB6965A" w14:textId="77777777" w:rsidR="00B22F79" w:rsidRDefault="00B22F79" w:rsidP="00F46FDA">
      <w:pPr>
        <w:pStyle w:val="ListParagraph"/>
        <w:numPr>
          <w:ilvl w:val="0"/>
          <w:numId w:val="19"/>
        </w:numPr>
        <w:tabs>
          <w:tab w:val="left" w:pos="3435"/>
        </w:tabs>
        <w:spacing w:after="120" w:line="240" w:lineRule="auto"/>
        <w:ind w:left="709"/>
        <w:contextualSpacing w:val="0"/>
        <w:jc w:val="both"/>
      </w:pPr>
      <w:r>
        <w:t>An</w:t>
      </w:r>
      <w:r w:rsidRPr="00B22F79">
        <w:t>alýz</w:t>
      </w:r>
      <w:r w:rsidR="002A3C41">
        <w:t>a</w:t>
      </w:r>
      <w:r w:rsidRPr="00B22F79">
        <w:t xml:space="preserve"> aktuálního stavu a souvisejících ukazatelů na finančním trhu</w:t>
      </w:r>
      <w:r>
        <w:t>;</w:t>
      </w:r>
    </w:p>
    <w:p w14:paraId="63B2D535" w14:textId="77777777" w:rsidR="00B22F79" w:rsidRDefault="00B22F79" w:rsidP="00F46FDA">
      <w:pPr>
        <w:pStyle w:val="ListParagraph"/>
        <w:numPr>
          <w:ilvl w:val="0"/>
          <w:numId w:val="19"/>
        </w:numPr>
        <w:tabs>
          <w:tab w:val="left" w:pos="3435"/>
        </w:tabs>
        <w:spacing w:after="120" w:line="240" w:lineRule="auto"/>
        <w:ind w:left="709"/>
        <w:contextualSpacing w:val="0"/>
        <w:jc w:val="both"/>
      </w:pPr>
      <w:r>
        <w:t>I</w:t>
      </w:r>
      <w:r w:rsidRPr="00B22F79">
        <w:t>dentifik</w:t>
      </w:r>
      <w:r>
        <w:t>ace oblastí</w:t>
      </w:r>
      <w:r w:rsidRPr="00B22F79">
        <w:t xml:space="preserve"> vyznačující</w:t>
      </w:r>
      <w:r>
        <w:t>ch</w:t>
      </w:r>
      <w:r w:rsidRPr="00B22F79">
        <w:t xml:space="preserve"> se obtížným přístupem k tržnímu financ</w:t>
      </w:r>
      <w:r>
        <w:t>ování ze strany cílových skupin</w:t>
      </w:r>
      <w:r w:rsidR="008E0D02">
        <w:t xml:space="preserve"> (tj. specifikace konkrétních investičních aktivit v rámci oblasti </w:t>
      </w:r>
      <w:r w:rsidR="008A296A">
        <w:t xml:space="preserve">posunu </w:t>
      </w:r>
      <w:r w:rsidR="008A296A">
        <w:lastRenderedPageBreak/>
        <w:t>k nízkouhlíkovému</w:t>
      </w:r>
      <w:r w:rsidR="008E0D02">
        <w:t xml:space="preserve"> hospodářství, u nichž v současné době existuje</w:t>
      </w:r>
      <w:r w:rsidR="00891DE6">
        <w:t xml:space="preserve"> </w:t>
      </w:r>
      <w:r w:rsidR="008E0D02">
        <w:t>nerovnováha mezi dostupným a potřebným/požadovaným tržním financováním investičních záměrů)</w:t>
      </w:r>
      <w:r>
        <w:t>;</w:t>
      </w:r>
    </w:p>
    <w:p w14:paraId="5EAA3C47" w14:textId="77777777" w:rsidR="007440CA" w:rsidRDefault="007440CA" w:rsidP="00F46FDA">
      <w:pPr>
        <w:pStyle w:val="ListParagraph"/>
        <w:numPr>
          <w:ilvl w:val="0"/>
          <w:numId w:val="19"/>
        </w:numPr>
        <w:tabs>
          <w:tab w:val="left" w:pos="3435"/>
        </w:tabs>
        <w:spacing w:after="120" w:line="240" w:lineRule="auto"/>
        <w:ind w:left="709"/>
        <w:contextualSpacing w:val="0"/>
        <w:jc w:val="both"/>
      </w:pPr>
      <w:r>
        <w:t xml:space="preserve">Specifikace sub-optimální situace </w:t>
      </w:r>
      <w:r w:rsidRPr="007440CA">
        <w:t xml:space="preserve">na trhu </w:t>
      </w:r>
      <w:r>
        <w:t>(převis nabídky nad poptávkou, převis poptávky nad nabídkou, nabídka i poptávka dostatečně robustní ale bez interakcí)</w:t>
      </w:r>
      <w:r w:rsidR="00891DE6">
        <w:t>.</w:t>
      </w:r>
    </w:p>
    <w:p w14:paraId="43D74A75" w14:textId="77777777" w:rsidR="007440CA" w:rsidRDefault="007440CA" w:rsidP="00F46FDA">
      <w:pPr>
        <w:pStyle w:val="ListParagraph"/>
        <w:numPr>
          <w:ilvl w:val="0"/>
          <w:numId w:val="19"/>
        </w:numPr>
        <w:tabs>
          <w:tab w:val="left" w:pos="3435"/>
        </w:tabs>
        <w:spacing w:after="120" w:line="240" w:lineRule="auto"/>
        <w:ind w:left="709"/>
        <w:contextualSpacing w:val="0"/>
        <w:jc w:val="both"/>
      </w:pPr>
      <w:r>
        <w:t>I</w:t>
      </w:r>
      <w:r w:rsidRPr="007440CA">
        <w:t>dentifik</w:t>
      </w:r>
      <w:r>
        <w:t>ace</w:t>
      </w:r>
      <w:r w:rsidRPr="007440CA">
        <w:t xml:space="preserve"> a anal</w:t>
      </w:r>
      <w:r>
        <w:t>ýza</w:t>
      </w:r>
      <w:r w:rsidR="00B22F79">
        <w:t xml:space="preserve"> bariér</w:t>
      </w:r>
      <w:r w:rsidRPr="007440CA">
        <w:t xml:space="preserve"> na straně nabídky i poptávky způsobující </w:t>
      </w:r>
      <w:r>
        <w:t>n</w:t>
      </w:r>
      <w:r w:rsidRPr="007440CA">
        <w:t>esoulady</w:t>
      </w:r>
      <w:r>
        <w:t>;</w:t>
      </w:r>
    </w:p>
    <w:p w14:paraId="35503C1A" w14:textId="77777777" w:rsidR="00861A2B" w:rsidRDefault="00861A2B" w:rsidP="00F46FDA">
      <w:pPr>
        <w:pStyle w:val="ListParagraph"/>
        <w:numPr>
          <w:ilvl w:val="0"/>
          <w:numId w:val="19"/>
        </w:numPr>
        <w:tabs>
          <w:tab w:val="left" w:pos="3435"/>
        </w:tabs>
        <w:spacing w:after="120" w:line="240" w:lineRule="auto"/>
        <w:ind w:left="709"/>
        <w:contextualSpacing w:val="0"/>
        <w:jc w:val="both"/>
      </w:pPr>
      <w:r>
        <w:t>S</w:t>
      </w:r>
      <w:r w:rsidR="005444AD">
        <w:t>egmentace</w:t>
      </w:r>
      <w:r>
        <w:t xml:space="preserve"> potenciálních příjemců podpory (dotační formou i formou finančních nástrojů) dle typu podporovaných aktivit v oblasti </w:t>
      </w:r>
      <w:r w:rsidR="00446980">
        <w:t>posunu k nízkouhlíkovému hospodářství</w:t>
      </w:r>
      <w:r>
        <w:t>, dle typu podnikatelských subjektů (MS, SP, VP)</w:t>
      </w:r>
      <w:r w:rsidR="00891DE6">
        <w:t>.</w:t>
      </w:r>
    </w:p>
    <w:p w14:paraId="621E83DD" w14:textId="77777777" w:rsidR="00325487" w:rsidRDefault="00325487" w:rsidP="00F46FDA">
      <w:pPr>
        <w:spacing w:after="120" w:line="240" w:lineRule="auto"/>
        <w:jc w:val="both"/>
      </w:pPr>
      <w:r>
        <w:t>Analýzu sekundárních zdrojů a dat Dodavatel využije v kombinaci s dalšími evaluačními metodami v průběhu všech tří etap Projektu a při zodpovězení v</w:t>
      </w:r>
      <w:r w:rsidR="005704BD">
        <w:t xml:space="preserve">šech analytických </w:t>
      </w:r>
      <w:r>
        <w:t>otázek</w:t>
      </w:r>
      <w:r w:rsidR="00E16422">
        <w:t>, přičemž výstupy z této analýzy budou sloužit jako jedny z hlavních vstupů pro všechny ostatní evaluační metody.</w:t>
      </w:r>
    </w:p>
    <w:p w14:paraId="47B5ADFF" w14:textId="77777777" w:rsidR="00325487" w:rsidRPr="00EE0921" w:rsidRDefault="00325487" w:rsidP="00F46FDA">
      <w:pPr>
        <w:keepNext/>
        <w:keepLines/>
        <w:spacing w:before="240" w:after="120" w:line="240" w:lineRule="auto"/>
        <w:rPr>
          <w:b/>
          <w:color w:val="012169" w:themeColor="accent4"/>
        </w:rPr>
      </w:pPr>
      <w:r w:rsidRPr="00EE0921">
        <w:rPr>
          <w:b/>
          <w:color w:val="012169" w:themeColor="accent4"/>
        </w:rPr>
        <w:t>Dílčí harmonogram</w:t>
      </w:r>
    </w:p>
    <w:p w14:paraId="1FE0DB04" w14:textId="77777777" w:rsidR="00325487" w:rsidRDefault="00325487" w:rsidP="00F46FDA">
      <w:pPr>
        <w:spacing w:before="113" w:line="240" w:lineRule="auto"/>
        <w:jc w:val="both"/>
        <w:rPr>
          <w:szCs w:val="18"/>
        </w:rPr>
      </w:pPr>
      <w:r>
        <w:rPr>
          <w:szCs w:val="18"/>
        </w:rPr>
        <w:t xml:space="preserve">Harmonogram níže zobrazuje přehled kroků, které bude Dodavatel v rámci analýzy sekundárních zdrojů a dat realizovat, včetně požadované součinnosti ze strany Zadavatele a její odhadované náročnosti. </w:t>
      </w:r>
    </w:p>
    <w:p w14:paraId="103EF7F5" w14:textId="77777777" w:rsidR="00325487" w:rsidRDefault="00325487" w:rsidP="00F46FDA">
      <w:pPr>
        <w:pStyle w:val="Caption"/>
        <w:spacing w:before="240" w:after="120"/>
        <w:jc w:val="center"/>
      </w:pPr>
      <w:bookmarkStart w:id="20" w:name="_Toc24384733"/>
      <w:r>
        <w:t xml:space="preserve">Tabulka </w:t>
      </w:r>
      <w:r>
        <w:fldChar w:fldCharType="begin"/>
      </w:r>
      <w:r>
        <w:instrText xml:space="preserve"> SEQ Tabulka \* ARABIC </w:instrText>
      </w:r>
      <w:r>
        <w:fldChar w:fldCharType="separate"/>
      </w:r>
      <w:r w:rsidR="00D33D5F">
        <w:rPr>
          <w:noProof/>
        </w:rPr>
        <w:t>2</w:t>
      </w:r>
      <w:r>
        <w:fldChar w:fldCharType="end"/>
      </w:r>
      <w:r>
        <w:t>: Harmonogram analýzy zdrojů dat a dokumentů</w:t>
      </w:r>
      <w:bookmarkEnd w:id="20"/>
    </w:p>
    <w:tbl>
      <w:tblPr>
        <w:tblStyle w:val="Deloittetable11"/>
        <w:tblW w:w="5000" w:type="pct"/>
        <w:jc w:val="center"/>
        <w:tblBorders>
          <w:bottom w:val="single" w:sz="4" w:space="0" w:color="86BC25" w:themeColor="accent1"/>
          <w:insideH w:val="single" w:sz="4" w:space="0" w:color="86BC25" w:themeColor="accent1"/>
        </w:tblBorders>
        <w:tblCellMar>
          <w:top w:w="0" w:type="dxa"/>
          <w:left w:w="108" w:type="dxa"/>
          <w:bottom w:w="0" w:type="dxa"/>
          <w:right w:w="108" w:type="dxa"/>
        </w:tblCellMar>
        <w:tblLook w:val="04A0" w:firstRow="1" w:lastRow="0" w:firstColumn="1" w:lastColumn="0" w:noHBand="0" w:noVBand="1"/>
      </w:tblPr>
      <w:tblGrid>
        <w:gridCol w:w="347"/>
        <w:gridCol w:w="4258"/>
        <w:gridCol w:w="1548"/>
        <w:gridCol w:w="1667"/>
        <w:gridCol w:w="1250"/>
      </w:tblGrid>
      <w:tr w:rsidR="00325487" w:rsidRPr="00A50C3A" w14:paraId="0F9EB343" w14:textId="77777777" w:rsidTr="001B11C7">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191" w:type="pct"/>
            <w:shd w:val="clear" w:color="auto" w:fill="86BC25" w:themeFill="accent1"/>
          </w:tcPr>
          <w:p w14:paraId="5ABB1AC3" w14:textId="77777777" w:rsidR="00325487" w:rsidRPr="00A50C3A" w:rsidRDefault="00325487" w:rsidP="00F46FDA">
            <w:pPr>
              <w:spacing w:after="0" w:line="240" w:lineRule="auto"/>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Č</w:t>
            </w:r>
          </w:p>
        </w:tc>
        <w:tc>
          <w:tcPr>
            <w:tcW w:w="2348" w:type="pct"/>
            <w:shd w:val="clear" w:color="auto" w:fill="86BC25" w:themeFill="accent1"/>
          </w:tcPr>
          <w:p w14:paraId="56FEA3D9" w14:textId="77777777" w:rsidR="00325487" w:rsidRPr="00A50C3A" w:rsidRDefault="00325487"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Aktivita</w:t>
            </w:r>
          </w:p>
        </w:tc>
        <w:tc>
          <w:tcPr>
            <w:tcW w:w="853" w:type="pct"/>
            <w:shd w:val="clear" w:color="auto" w:fill="86BC25" w:themeFill="accent1"/>
          </w:tcPr>
          <w:p w14:paraId="01E0A316" w14:textId="77777777" w:rsidR="00325487" w:rsidRPr="00A50C3A" w:rsidRDefault="00325487"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Odpovědnost</w:t>
            </w:r>
          </w:p>
        </w:tc>
        <w:tc>
          <w:tcPr>
            <w:tcW w:w="919" w:type="pct"/>
            <w:shd w:val="clear" w:color="auto" w:fill="86BC25" w:themeFill="accent1"/>
          </w:tcPr>
          <w:p w14:paraId="21DD4202" w14:textId="77777777" w:rsidR="00325487" w:rsidRPr="00A50C3A" w:rsidRDefault="00325487" w:rsidP="00F46F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Termín</w:t>
            </w:r>
            <w:r>
              <w:rPr>
                <w:rFonts w:eastAsia="Times New Roman" w:cs="Arial"/>
                <w:bCs/>
                <w:color w:val="FFFFFF" w:themeColor="background1"/>
                <w:szCs w:val="18"/>
                <w:lang w:eastAsia="cs-CZ"/>
              </w:rPr>
              <w:t xml:space="preserve"> (do)</w:t>
            </w:r>
          </w:p>
        </w:tc>
        <w:tc>
          <w:tcPr>
            <w:tcW w:w="689" w:type="pct"/>
            <w:shd w:val="clear" w:color="auto" w:fill="86BC25" w:themeFill="accent1"/>
          </w:tcPr>
          <w:p w14:paraId="403A175A" w14:textId="77777777" w:rsidR="00325487" w:rsidRPr="00A50C3A" w:rsidRDefault="00325487"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A50C3A">
              <w:rPr>
                <w:rFonts w:eastAsia="Times New Roman" w:cs="Arial"/>
                <w:bCs/>
                <w:color w:val="FFFFFF" w:themeColor="background1"/>
                <w:szCs w:val="18"/>
                <w:lang w:eastAsia="cs-CZ"/>
              </w:rPr>
              <w:t>Náročnost</w:t>
            </w:r>
          </w:p>
        </w:tc>
      </w:tr>
      <w:tr w:rsidR="001B11C7" w:rsidRPr="00A50C3A" w14:paraId="199BF22E" w14:textId="77777777" w:rsidTr="00E13A3D">
        <w:trPr>
          <w:trHeight w:val="340"/>
          <w:jc w:val="center"/>
        </w:trPr>
        <w:tc>
          <w:tcPr>
            <w:cnfStyle w:val="001000000000" w:firstRow="0" w:lastRow="0" w:firstColumn="1" w:lastColumn="0" w:oddVBand="0" w:evenVBand="0" w:oddHBand="0" w:evenHBand="0" w:firstRowFirstColumn="0" w:firstRowLastColumn="0" w:lastRowFirstColumn="0" w:lastRowLastColumn="0"/>
            <w:tcW w:w="191" w:type="pct"/>
            <w:vAlign w:val="center"/>
          </w:tcPr>
          <w:p w14:paraId="564FC377" w14:textId="77777777" w:rsidR="001B11C7" w:rsidRDefault="001B11C7"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1</w:t>
            </w:r>
          </w:p>
        </w:tc>
        <w:tc>
          <w:tcPr>
            <w:tcW w:w="2348" w:type="pct"/>
            <w:vAlign w:val="center"/>
          </w:tcPr>
          <w:p w14:paraId="4D0A99ED" w14:textId="77777777" w:rsidR="001B11C7" w:rsidRDefault="001B11C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datového požadavku MPO</w:t>
            </w:r>
          </w:p>
        </w:tc>
        <w:tc>
          <w:tcPr>
            <w:tcW w:w="853" w:type="pct"/>
            <w:vAlign w:val="center"/>
          </w:tcPr>
          <w:p w14:paraId="2ABFEFF1" w14:textId="77777777" w:rsidR="001B11C7" w:rsidRDefault="001B11C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Deloitte</w:t>
            </w:r>
          </w:p>
        </w:tc>
        <w:tc>
          <w:tcPr>
            <w:tcW w:w="919" w:type="pct"/>
            <w:vAlign w:val="center"/>
          </w:tcPr>
          <w:p w14:paraId="2064B809" w14:textId="1BC6EB70" w:rsidR="001B11C7" w:rsidRPr="00295219" w:rsidDel="00673195" w:rsidRDefault="00EB7C01"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20</w:t>
            </w:r>
            <w:r w:rsidR="001B11C7">
              <w:rPr>
                <w:rFonts w:asciiTheme="majorHAnsi" w:hAnsiTheme="majorHAnsi" w:cs="Calibri"/>
                <w:color w:val="000000"/>
                <w:szCs w:val="18"/>
                <w:lang w:eastAsia="cs-CZ"/>
              </w:rPr>
              <w:t>. 3. 2020</w:t>
            </w:r>
          </w:p>
        </w:tc>
        <w:tc>
          <w:tcPr>
            <w:tcW w:w="689" w:type="pct"/>
            <w:shd w:val="clear" w:color="auto" w:fill="auto"/>
            <w:vAlign w:val="center"/>
          </w:tcPr>
          <w:p w14:paraId="52F4EFAF" w14:textId="77777777" w:rsidR="001B11C7" w:rsidRPr="00A50C3A" w:rsidRDefault="001B11C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25487" w:rsidRPr="00A50C3A" w14:paraId="000E80DA" w14:textId="77777777" w:rsidTr="001B11C7">
        <w:trPr>
          <w:trHeight w:val="340"/>
          <w:jc w:val="center"/>
        </w:trPr>
        <w:tc>
          <w:tcPr>
            <w:cnfStyle w:val="001000000000" w:firstRow="0" w:lastRow="0" w:firstColumn="1" w:lastColumn="0" w:oddVBand="0" w:evenVBand="0" w:oddHBand="0" w:evenHBand="0" w:firstRowFirstColumn="0" w:firstRowLastColumn="0" w:lastRowFirstColumn="0" w:lastRowLastColumn="0"/>
            <w:tcW w:w="191" w:type="pct"/>
            <w:vAlign w:val="center"/>
          </w:tcPr>
          <w:p w14:paraId="0EA68DE1" w14:textId="77777777" w:rsidR="00325487" w:rsidRPr="00A50C3A" w:rsidRDefault="001B11C7"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2</w:t>
            </w:r>
          </w:p>
        </w:tc>
        <w:tc>
          <w:tcPr>
            <w:tcW w:w="2348" w:type="pct"/>
            <w:vAlign w:val="center"/>
          </w:tcPr>
          <w:p w14:paraId="269DA8F0" w14:textId="77777777" w:rsidR="00325487" w:rsidRPr="00A50C3A"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dat a dokumentů ze strany MPO</w:t>
            </w:r>
          </w:p>
        </w:tc>
        <w:tc>
          <w:tcPr>
            <w:tcW w:w="853" w:type="pct"/>
            <w:vAlign w:val="center"/>
          </w:tcPr>
          <w:p w14:paraId="0966BB82" w14:textId="77777777" w:rsidR="00325487"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MPO</w:t>
            </w:r>
          </w:p>
        </w:tc>
        <w:tc>
          <w:tcPr>
            <w:tcW w:w="919" w:type="pct"/>
            <w:vAlign w:val="center"/>
          </w:tcPr>
          <w:p w14:paraId="4534262B" w14:textId="77777777" w:rsidR="00325487" w:rsidRPr="00295219" w:rsidDel="00673195" w:rsidRDefault="001B11C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30. 3. 2020</w:t>
            </w:r>
          </w:p>
        </w:tc>
        <w:tc>
          <w:tcPr>
            <w:tcW w:w="689" w:type="pct"/>
            <w:shd w:val="clear" w:color="auto" w:fill="FFC000"/>
            <w:vAlign w:val="center"/>
          </w:tcPr>
          <w:p w14:paraId="7CA92572" w14:textId="77777777" w:rsidR="00325487" w:rsidRPr="00A50C3A" w:rsidRDefault="00AE4558"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střední</w:t>
            </w:r>
          </w:p>
        </w:tc>
      </w:tr>
      <w:tr w:rsidR="00325487" w:rsidRPr="00A50C3A" w14:paraId="24CAB664" w14:textId="77777777" w:rsidTr="001B11C7">
        <w:trPr>
          <w:trHeight w:val="340"/>
          <w:jc w:val="center"/>
        </w:trPr>
        <w:tc>
          <w:tcPr>
            <w:cnfStyle w:val="001000000000" w:firstRow="0" w:lastRow="0" w:firstColumn="1" w:lastColumn="0" w:oddVBand="0" w:evenVBand="0" w:oddHBand="0" w:evenHBand="0" w:firstRowFirstColumn="0" w:firstRowLastColumn="0" w:lastRowFirstColumn="0" w:lastRowLastColumn="0"/>
            <w:tcW w:w="191" w:type="pct"/>
            <w:vAlign w:val="center"/>
          </w:tcPr>
          <w:p w14:paraId="4771D72E" w14:textId="77777777" w:rsidR="00325487" w:rsidRPr="00A50C3A" w:rsidRDefault="001B11C7" w:rsidP="00F46FDA">
            <w:pPr>
              <w:spacing w:after="0" w:line="240" w:lineRule="auto"/>
              <w:rPr>
                <w:rFonts w:asciiTheme="majorHAnsi" w:hAnsiTheme="majorHAnsi" w:cs="Calibri"/>
                <w:color w:val="000000"/>
                <w:szCs w:val="18"/>
                <w:lang w:eastAsia="cs-CZ"/>
              </w:rPr>
            </w:pPr>
            <w:r>
              <w:rPr>
                <w:rFonts w:eastAsia="Times New Roman" w:cs="Calibri"/>
                <w:color w:val="000000"/>
                <w:szCs w:val="18"/>
                <w:lang w:eastAsia="cs-CZ"/>
              </w:rPr>
              <w:t>3</w:t>
            </w:r>
          </w:p>
        </w:tc>
        <w:tc>
          <w:tcPr>
            <w:tcW w:w="2348" w:type="pct"/>
            <w:vAlign w:val="center"/>
          </w:tcPr>
          <w:p w14:paraId="7558CB16" w14:textId="77777777" w:rsidR="00325487" w:rsidRPr="00A50C3A"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A50C3A">
              <w:rPr>
                <w:color w:val="000000"/>
                <w:szCs w:val="18"/>
              </w:rPr>
              <w:t>Sběr dostupných materiálů na národní úrovni</w:t>
            </w:r>
            <w:r>
              <w:rPr>
                <w:color w:val="000000"/>
                <w:szCs w:val="18"/>
              </w:rPr>
              <w:t xml:space="preserve">, </w:t>
            </w:r>
            <w:r w:rsidRPr="00A50C3A">
              <w:rPr>
                <w:color w:val="000000"/>
                <w:szCs w:val="18"/>
              </w:rPr>
              <w:t>dalších dokumentů a analýz třetích stran</w:t>
            </w:r>
          </w:p>
        </w:tc>
        <w:tc>
          <w:tcPr>
            <w:tcW w:w="853" w:type="pct"/>
            <w:vAlign w:val="center"/>
          </w:tcPr>
          <w:p w14:paraId="6A740E7D" w14:textId="77777777" w:rsidR="00325487" w:rsidRPr="00A50C3A"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Deloitte</w:t>
            </w:r>
          </w:p>
        </w:tc>
        <w:tc>
          <w:tcPr>
            <w:tcW w:w="919" w:type="pct"/>
            <w:vAlign w:val="center"/>
          </w:tcPr>
          <w:p w14:paraId="015CC93A" w14:textId="77777777" w:rsidR="00325487" w:rsidRPr="00C932CA" w:rsidRDefault="001B11C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10. 4. 2020</w:t>
            </w:r>
          </w:p>
        </w:tc>
        <w:tc>
          <w:tcPr>
            <w:tcW w:w="689" w:type="pct"/>
            <w:shd w:val="clear" w:color="auto" w:fill="auto"/>
            <w:vAlign w:val="center"/>
          </w:tcPr>
          <w:p w14:paraId="5FA05431" w14:textId="77777777" w:rsidR="00325487" w:rsidRPr="00A50C3A"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25487" w:rsidRPr="00A50C3A" w14:paraId="079BED63" w14:textId="77777777" w:rsidTr="001B11C7">
        <w:trPr>
          <w:trHeight w:val="340"/>
          <w:jc w:val="center"/>
        </w:trPr>
        <w:tc>
          <w:tcPr>
            <w:cnfStyle w:val="001000000000" w:firstRow="0" w:lastRow="0" w:firstColumn="1" w:lastColumn="0" w:oddVBand="0" w:evenVBand="0" w:oddHBand="0" w:evenHBand="0" w:firstRowFirstColumn="0" w:firstRowLastColumn="0" w:lastRowFirstColumn="0" w:lastRowLastColumn="0"/>
            <w:tcW w:w="191" w:type="pct"/>
            <w:vAlign w:val="center"/>
          </w:tcPr>
          <w:p w14:paraId="0FC3F06D" w14:textId="77777777" w:rsidR="00325487" w:rsidRPr="00A50C3A" w:rsidRDefault="001B11C7" w:rsidP="00F46FDA">
            <w:pPr>
              <w:spacing w:after="0" w:line="240" w:lineRule="auto"/>
              <w:rPr>
                <w:rFonts w:asciiTheme="majorHAnsi" w:hAnsiTheme="majorHAnsi" w:cs="Calibri"/>
                <w:color w:val="000000"/>
                <w:szCs w:val="18"/>
                <w:lang w:eastAsia="cs-CZ"/>
              </w:rPr>
            </w:pPr>
            <w:r>
              <w:rPr>
                <w:rFonts w:eastAsia="Times New Roman" w:cs="Calibri"/>
                <w:color w:val="000000"/>
                <w:szCs w:val="18"/>
                <w:lang w:eastAsia="cs-CZ"/>
              </w:rPr>
              <w:t>4</w:t>
            </w:r>
          </w:p>
        </w:tc>
        <w:tc>
          <w:tcPr>
            <w:tcW w:w="2348" w:type="pct"/>
            <w:vAlign w:val="center"/>
          </w:tcPr>
          <w:p w14:paraId="6AEB2DC2" w14:textId="77777777" w:rsidR="00325487" w:rsidRPr="00A50C3A"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A50C3A">
              <w:rPr>
                <w:color w:val="000000"/>
                <w:szCs w:val="18"/>
              </w:rPr>
              <w:t xml:space="preserve">Sběr </w:t>
            </w:r>
            <w:r>
              <w:rPr>
                <w:color w:val="000000"/>
                <w:szCs w:val="18"/>
              </w:rPr>
              <w:t xml:space="preserve">případných dalších dokumentů </w:t>
            </w:r>
            <w:r w:rsidRPr="00A50C3A">
              <w:rPr>
                <w:color w:val="000000"/>
                <w:szCs w:val="18"/>
              </w:rPr>
              <w:t>a</w:t>
            </w:r>
            <w:r w:rsidR="001B11C7">
              <w:rPr>
                <w:color w:val="000000"/>
                <w:szCs w:val="18"/>
              </w:rPr>
              <w:t> </w:t>
            </w:r>
            <w:r w:rsidRPr="00A50C3A">
              <w:rPr>
                <w:color w:val="000000"/>
                <w:szCs w:val="18"/>
              </w:rPr>
              <w:t xml:space="preserve">dalších podkladů od </w:t>
            </w:r>
            <w:r w:rsidR="00513B89">
              <w:rPr>
                <w:color w:val="000000"/>
                <w:szCs w:val="18"/>
              </w:rPr>
              <w:t>MPO</w:t>
            </w:r>
            <w:r>
              <w:rPr>
                <w:color w:val="000000"/>
                <w:szCs w:val="18"/>
              </w:rPr>
              <w:t xml:space="preserve"> identifikovaných v průběhu evaluace</w:t>
            </w:r>
            <w:r>
              <w:rPr>
                <w:rStyle w:val="CommentReference"/>
              </w:rPr>
              <w:t xml:space="preserve"> </w:t>
            </w:r>
          </w:p>
        </w:tc>
        <w:tc>
          <w:tcPr>
            <w:tcW w:w="853" w:type="pct"/>
            <w:vAlign w:val="center"/>
          </w:tcPr>
          <w:p w14:paraId="5B47531A" w14:textId="77777777" w:rsidR="00325487" w:rsidRPr="00A50C3A"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MPO</w:t>
            </w:r>
          </w:p>
        </w:tc>
        <w:tc>
          <w:tcPr>
            <w:tcW w:w="919" w:type="pct"/>
            <w:vAlign w:val="center"/>
          </w:tcPr>
          <w:p w14:paraId="5A4BEE60" w14:textId="77777777" w:rsidR="00325487" w:rsidRPr="00A50C3A" w:rsidRDefault="001B11C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průběžně</w:t>
            </w:r>
          </w:p>
        </w:tc>
        <w:tc>
          <w:tcPr>
            <w:tcW w:w="689" w:type="pct"/>
            <w:shd w:val="clear" w:color="auto" w:fill="86BC25" w:themeFill="accent1"/>
            <w:vAlign w:val="center"/>
          </w:tcPr>
          <w:p w14:paraId="2E04C23A" w14:textId="77777777" w:rsidR="00325487" w:rsidRPr="00A50C3A" w:rsidRDefault="00AE4558"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nízká</w:t>
            </w:r>
          </w:p>
        </w:tc>
      </w:tr>
      <w:tr w:rsidR="00325487" w:rsidRPr="00A50C3A" w14:paraId="4C32F648" w14:textId="77777777" w:rsidTr="001B11C7">
        <w:trPr>
          <w:trHeight w:val="340"/>
          <w:jc w:val="center"/>
        </w:trPr>
        <w:tc>
          <w:tcPr>
            <w:cnfStyle w:val="001000000000" w:firstRow="0" w:lastRow="0" w:firstColumn="1" w:lastColumn="0" w:oddVBand="0" w:evenVBand="0" w:oddHBand="0" w:evenHBand="0" w:firstRowFirstColumn="0" w:firstRowLastColumn="0" w:lastRowFirstColumn="0" w:lastRowLastColumn="0"/>
            <w:tcW w:w="191" w:type="pct"/>
            <w:vAlign w:val="center"/>
          </w:tcPr>
          <w:p w14:paraId="03EE98EE" w14:textId="77777777" w:rsidR="00325487" w:rsidRDefault="001B11C7"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5</w:t>
            </w:r>
          </w:p>
        </w:tc>
        <w:tc>
          <w:tcPr>
            <w:tcW w:w="2348" w:type="pct"/>
            <w:vAlign w:val="center"/>
          </w:tcPr>
          <w:p w14:paraId="736D8B25" w14:textId="77777777" w:rsidR="00325487" w:rsidRPr="00A50C3A" w:rsidRDefault="00325487" w:rsidP="001B11C7">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 xml:space="preserve">Analýza sekundárních dat </w:t>
            </w:r>
            <w:r w:rsidR="002A3C41">
              <w:rPr>
                <w:color w:val="000000"/>
                <w:szCs w:val="18"/>
              </w:rPr>
              <w:t>a dokumentů</w:t>
            </w:r>
          </w:p>
        </w:tc>
        <w:tc>
          <w:tcPr>
            <w:tcW w:w="853" w:type="pct"/>
            <w:vAlign w:val="center"/>
          </w:tcPr>
          <w:p w14:paraId="4C7FFC7B" w14:textId="77777777" w:rsidR="00325487"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919" w:type="pct"/>
            <w:vAlign w:val="center"/>
          </w:tcPr>
          <w:p w14:paraId="6505E634" w14:textId="77777777" w:rsidR="00325487" w:rsidRPr="00E13A3D" w:rsidRDefault="001B11C7" w:rsidP="00F5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1. 5. 2020</w:t>
            </w:r>
          </w:p>
        </w:tc>
        <w:tc>
          <w:tcPr>
            <w:tcW w:w="689" w:type="pct"/>
            <w:shd w:val="clear" w:color="auto" w:fill="auto"/>
            <w:vAlign w:val="center"/>
          </w:tcPr>
          <w:p w14:paraId="2E5D4BD5" w14:textId="77777777" w:rsidR="00325487" w:rsidRPr="00A50C3A"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5A1F0212" w14:textId="77777777" w:rsidR="00325487" w:rsidRPr="009A3D1B" w:rsidRDefault="00325487" w:rsidP="00F46FDA">
      <w:pPr>
        <w:pStyle w:val="Heading2"/>
        <w:spacing w:line="240" w:lineRule="auto"/>
      </w:pPr>
      <w:bookmarkStart w:id="21" w:name="_Toc25228650"/>
      <w:bookmarkStart w:id="22" w:name="_Toc37248820"/>
      <w:r w:rsidRPr="009A3D1B">
        <w:t>Dotazníkové šetření</w:t>
      </w:r>
      <w:bookmarkEnd w:id="21"/>
      <w:bookmarkEnd w:id="22"/>
    </w:p>
    <w:p w14:paraId="729F452D" w14:textId="77777777" w:rsidR="00325487" w:rsidRDefault="00325487" w:rsidP="00F46FDA">
      <w:pPr>
        <w:spacing w:before="240" w:after="120" w:line="240" w:lineRule="auto"/>
        <w:rPr>
          <w:b/>
          <w:color w:val="012169" w:themeColor="accent4"/>
        </w:rPr>
      </w:pPr>
      <w:r w:rsidRPr="00E934FE">
        <w:rPr>
          <w:b/>
          <w:color w:val="012169" w:themeColor="accent4"/>
        </w:rPr>
        <w:t>Způsob realizace</w:t>
      </w:r>
    </w:p>
    <w:p w14:paraId="632DCAFA" w14:textId="57E6C903" w:rsidR="00961D14" w:rsidRPr="009E2663" w:rsidRDefault="00961D14" w:rsidP="00F46FDA">
      <w:pPr>
        <w:spacing w:before="113" w:after="113" w:line="240" w:lineRule="auto"/>
        <w:jc w:val="both"/>
        <w:rPr>
          <w:szCs w:val="18"/>
        </w:rPr>
      </w:pPr>
      <w:r>
        <w:rPr>
          <w:szCs w:val="18"/>
        </w:rPr>
        <w:t xml:space="preserve">Dotazníkové šetření (dále také jen „DŠ“) jakožto jednu z nejefektivnějších metod sběru primárních </w:t>
      </w:r>
      <w:r w:rsidRPr="00073A25">
        <w:rPr>
          <w:szCs w:val="18"/>
        </w:rPr>
        <w:t>početných homogenních dat</w:t>
      </w:r>
      <w:r>
        <w:rPr>
          <w:szCs w:val="18"/>
        </w:rPr>
        <w:t xml:space="preserve"> navrhl </w:t>
      </w:r>
      <w:r w:rsidR="006878F2">
        <w:rPr>
          <w:szCs w:val="18"/>
        </w:rPr>
        <w:t xml:space="preserve">Dodavatel </w:t>
      </w:r>
      <w:r>
        <w:rPr>
          <w:szCs w:val="18"/>
        </w:rPr>
        <w:t>v souladu s požadavky Zadavatele jako hlavní nebo doplňkovou evaluační metodu u analytických otázek 1</w:t>
      </w:r>
      <w:r w:rsidR="006878F2">
        <w:rPr>
          <w:szCs w:val="18"/>
        </w:rPr>
        <w:t xml:space="preserve"> – </w:t>
      </w:r>
      <w:r>
        <w:rPr>
          <w:szCs w:val="18"/>
        </w:rPr>
        <w:t xml:space="preserve">4. </w:t>
      </w:r>
      <w:r w:rsidRPr="00A26C0B">
        <w:rPr>
          <w:szCs w:val="18"/>
        </w:rPr>
        <w:t>Cílem DŠ</w:t>
      </w:r>
      <w:r>
        <w:rPr>
          <w:szCs w:val="18"/>
        </w:rPr>
        <w:t xml:space="preserve"> </w:t>
      </w:r>
      <w:r>
        <w:t>mezi zástupci podnikatelských subjektů (tj. subjektů poptávky po finančních zdrojích)</w:t>
      </w:r>
      <w:r>
        <w:rPr>
          <w:szCs w:val="18"/>
        </w:rPr>
        <w:t xml:space="preserve"> bude z</w:t>
      </w:r>
      <w:r w:rsidR="00E16422">
        <w:rPr>
          <w:szCs w:val="18"/>
        </w:rPr>
        <w:t xml:space="preserve">ískat od </w:t>
      </w:r>
      <w:r>
        <w:t xml:space="preserve">zástupců </w:t>
      </w:r>
      <w:r w:rsidR="00C41688">
        <w:t xml:space="preserve">energetických </w:t>
      </w:r>
      <w:r>
        <w:t xml:space="preserve">odvětví a soukromých podnikatelských subjektů zabývajících se </w:t>
      </w:r>
      <w:r w:rsidR="00C41688">
        <w:t>činností s potenciálem pro posun k nízkouhlíkovému hospodářství</w:t>
      </w:r>
      <w:r w:rsidR="00C41688" w:rsidRPr="001B11C7">
        <w:t>:</w:t>
      </w:r>
    </w:p>
    <w:p w14:paraId="6ED0CDEE" w14:textId="77777777" w:rsidR="00E16422" w:rsidRDefault="00E16422" w:rsidP="00F46FDA">
      <w:pPr>
        <w:pStyle w:val="ListParagraph"/>
        <w:numPr>
          <w:ilvl w:val="0"/>
          <w:numId w:val="22"/>
        </w:numPr>
        <w:tabs>
          <w:tab w:val="left" w:pos="3435"/>
        </w:tabs>
        <w:spacing w:after="120" w:line="240" w:lineRule="auto"/>
        <w:contextualSpacing w:val="0"/>
        <w:jc w:val="both"/>
      </w:pPr>
      <w:r>
        <w:t>I</w:t>
      </w:r>
      <w:r w:rsidRPr="00B22F79">
        <w:t>dentifik</w:t>
      </w:r>
      <w:r>
        <w:t>aci</w:t>
      </w:r>
      <w:r w:rsidR="00477C74">
        <w:t xml:space="preserve"> konkrétních investičních aktivit v rámci oblasti </w:t>
      </w:r>
      <w:r w:rsidR="00C41688">
        <w:t>posunu k nízkouhlíkovému hospodářství</w:t>
      </w:r>
      <w:r w:rsidR="00477C74" w:rsidRPr="00B22F79">
        <w:t xml:space="preserve"> </w:t>
      </w:r>
      <w:r w:rsidRPr="00B22F79">
        <w:t>vyznačující</w:t>
      </w:r>
      <w:r>
        <w:t>ch</w:t>
      </w:r>
      <w:r w:rsidRPr="00B22F79">
        <w:t xml:space="preserve"> se obtížným přístupem k</w:t>
      </w:r>
      <w:r w:rsidR="00477C74">
        <w:t> </w:t>
      </w:r>
      <w:r w:rsidRPr="00B22F79">
        <w:t>tržnímu financ</w:t>
      </w:r>
      <w:r>
        <w:t>ování ze strany cílových skupin;</w:t>
      </w:r>
    </w:p>
    <w:p w14:paraId="5B791FFE" w14:textId="77777777" w:rsidR="00E16422" w:rsidRDefault="00E16422" w:rsidP="00F46FDA">
      <w:pPr>
        <w:pStyle w:val="ListParagraph"/>
        <w:numPr>
          <w:ilvl w:val="0"/>
          <w:numId w:val="22"/>
        </w:numPr>
        <w:tabs>
          <w:tab w:val="left" w:pos="3435"/>
        </w:tabs>
        <w:spacing w:after="120" w:line="240" w:lineRule="auto"/>
        <w:contextualSpacing w:val="0"/>
        <w:jc w:val="both"/>
      </w:pPr>
      <w:r>
        <w:t>An</w:t>
      </w:r>
      <w:r w:rsidRPr="007440CA">
        <w:t>al</w:t>
      </w:r>
      <w:r>
        <w:t>ý</w:t>
      </w:r>
      <w:r w:rsidRPr="007440CA">
        <w:t>z</w:t>
      </w:r>
      <w:r>
        <w:t>u</w:t>
      </w:r>
      <w:r w:rsidRPr="007440CA">
        <w:t xml:space="preserve"> poptávk</w:t>
      </w:r>
      <w:r>
        <w:t>y</w:t>
      </w:r>
      <w:r w:rsidRPr="007440CA">
        <w:t xml:space="preserve"> po finančních prostředcích určených k</w:t>
      </w:r>
      <w:r w:rsidR="00477C74">
        <w:t> </w:t>
      </w:r>
      <w:r w:rsidRPr="007440CA">
        <w:t>financování</w:t>
      </w:r>
      <w:r w:rsidR="00477C74">
        <w:t xml:space="preserve"> předmětných </w:t>
      </w:r>
      <w:r w:rsidRPr="007440CA">
        <w:t>investičních záměrů</w:t>
      </w:r>
      <w:r>
        <w:t>;</w:t>
      </w:r>
    </w:p>
    <w:p w14:paraId="50CD28EA" w14:textId="77777777" w:rsidR="00E16422" w:rsidRDefault="00E16422" w:rsidP="00F46FDA">
      <w:pPr>
        <w:pStyle w:val="ListParagraph"/>
        <w:numPr>
          <w:ilvl w:val="0"/>
          <w:numId w:val="22"/>
        </w:numPr>
        <w:tabs>
          <w:tab w:val="left" w:pos="3435"/>
        </w:tabs>
        <w:spacing w:after="120" w:line="240" w:lineRule="auto"/>
        <w:contextualSpacing w:val="0"/>
        <w:jc w:val="both"/>
      </w:pPr>
      <w:r>
        <w:t>Specifikac</w:t>
      </w:r>
      <w:r w:rsidR="00477C74">
        <w:t>i</w:t>
      </w:r>
      <w:r>
        <w:t xml:space="preserve"> sub-optimální situace </w:t>
      </w:r>
      <w:r w:rsidRPr="007440CA">
        <w:t xml:space="preserve">na trhu </w:t>
      </w:r>
      <w:r>
        <w:t>(převis nabídky nad poptávkou, převis poptávky nad nabídkou, nabídka i poptávka dostatečně robustní ale bez interakcí)</w:t>
      </w:r>
      <w:r w:rsidR="00FB1F4E">
        <w:t xml:space="preserve"> v krajích ČR</w:t>
      </w:r>
      <w:r>
        <w:t>;</w:t>
      </w:r>
    </w:p>
    <w:p w14:paraId="7A941A95" w14:textId="77777777" w:rsidR="00631B08" w:rsidRDefault="00477C74" w:rsidP="00631B08">
      <w:pPr>
        <w:pStyle w:val="ListParagraph"/>
        <w:numPr>
          <w:ilvl w:val="0"/>
          <w:numId w:val="22"/>
        </w:numPr>
        <w:tabs>
          <w:tab w:val="left" w:pos="3435"/>
        </w:tabs>
        <w:spacing w:after="120" w:line="240" w:lineRule="auto"/>
        <w:contextualSpacing w:val="0"/>
        <w:jc w:val="both"/>
      </w:pPr>
      <w:r>
        <w:t>Bližší specifikaci</w:t>
      </w:r>
      <w:r w:rsidR="00E16422">
        <w:t xml:space="preserve"> bariér</w:t>
      </w:r>
      <w:r w:rsidR="00E16422" w:rsidRPr="007440CA">
        <w:t xml:space="preserve"> na straně poptávky </w:t>
      </w:r>
      <w:r>
        <w:t xml:space="preserve">po finančních prostředcích </w:t>
      </w:r>
      <w:r w:rsidR="00631B08" w:rsidRPr="007440CA">
        <w:t>(</w:t>
      </w:r>
      <w:r w:rsidR="00631B08">
        <w:t xml:space="preserve">tj. zodpovězení otázky, </w:t>
      </w:r>
      <w:r w:rsidR="00631B08" w:rsidRPr="009247BB">
        <w:t>proč subjekty cílov</w:t>
      </w:r>
      <w:r w:rsidR="00631B08">
        <w:t xml:space="preserve">ých skupin na straně poptávky projekty tohoto typu nejsou schopny realizovat nebo o to nemají zájem: nejsou </w:t>
      </w:r>
      <w:r w:rsidR="00631B08" w:rsidRPr="009247BB">
        <w:t>schopny financovat své investiční záměry za tržních podmínek</w:t>
      </w:r>
      <w:r w:rsidR="00631B08">
        <w:t xml:space="preserve">; </w:t>
      </w:r>
      <w:r w:rsidR="00631B08" w:rsidRPr="007440CA">
        <w:t>informační bariéry, nízká motivace k investicím s dlouhodobější dobou</w:t>
      </w:r>
      <w:r w:rsidR="00631B08">
        <w:t xml:space="preserve"> návratnosti apod.);</w:t>
      </w:r>
    </w:p>
    <w:p w14:paraId="5B7737C4" w14:textId="77777777" w:rsidR="00477C74" w:rsidRDefault="00477C74" w:rsidP="00F46FDA">
      <w:pPr>
        <w:pStyle w:val="ListParagraph"/>
        <w:numPr>
          <w:ilvl w:val="0"/>
          <w:numId w:val="22"/>
        </w:numPr>
        <w:tabs>
          <w:tab w:val="left" w:pos="3435"/>
        </w:tabs>
        <w:spacing w:after="120" w:line="240" w:lineRule="auto"/>
        <w:contextualSpacing w:val="0"/>
        <w:jc w:val="both"/>
      </w:pPr>
      <w:r>
        <w:t>Identifikaci a analýzu případných regionálních rozdílů v tržním selhání či sub-optimálních investičních situacích;</w:t>
      </w:r>
    </w:p>
    <w:p w14:paraId="07A339D1" w14:textId="77777777" w:rsidR="003822E4" w:rsidRPr="003822E4" w:rsidRDefault="003822E4" w:rsidP="00F46FDA">
      <w:pPr>
        <w:pStyle w:val="ListParagraph"/>
        <w:numPr>
          <w:ilvl w:val="0"/>
          <w:numId w:val="22"/>
        </w:numPr>
        <w:tabs>
          <w:tab w:val="left" w:pos="3435"/>
        </w:tabs>
        <w:spacing w:after="120" w:line="240" w:lineRule="auto"/>
        <w:contextualSpacing w:val="0"/>
        <w:jc w:val="both"/>
      </w:pPr>
      <w:r w:rsidRPr="003822E4">
        <w:lastRenderedPageBreak/>
        <w:t>Identifikac</w:t>
      </w:r>
      <w:r w:rsidR="002A3C41">
        <w:t>i</w:t>
      </w:r>
      <w:r w:rsidRPr="003822E4">
        <w:t xml:space="preserve"> příjemců a typů projektů, kterým současná podoba nabídky financování neskýtá vhodná řešení jejich investiční potřeby;</w:t>
      </w:r>
    </w:p>
    <w:p w14:paraId="1BEDB1B6" w14:textId="77777777" w:rsidR="00477C74" w:rsidRPr="00477C74" w:rsidRDefault="00477C74" w:rsidP="00F46FDA">
      <w:pPr>
        <w:pStyle w:val="ListParagraph"/>
        <w:numPr>
          <w:ilvl w:val="0"/>
          <w:numId w:val="22"/>
        </w:numPr>
        <w:tabs>
          <w:tab w:val="left" w:pos="3435"/>
        </w:tabs>
        <w:spacing w:after="120" w:line="240" w:lineRule="auto"/>
        <w:contextualSpacing w:val="0"/>
        <w:jc w:val="both"/>
      </w:pPr>
      <w:r w:rsidRPr="00477C74">
        <w:t>Z</w:t>
      </w:r>
      <w:r w:rsidR="005444AD" w:rsidRPr="00477C74">
        <w:t xml:space="preserve">pětnou vazbu od respondentů na optimální typ </w:t>
      </w:r>
      <w:r w:rsidRPr="00477C74">
        <w:t xml:space="preserve">formy podpory resp. </w:t>
      </w:r>
      <w:r w:rsidR="005444AD" w:rsidRPr="00477C74">
        <w:t>intervence</w:t>
      </w:r>
      <w:r w:rsidR="00FA44D4">
        <w:t>;</w:t>
      </w:r>
    </w:p>
    <w:p w14:paraId="08C76218" w14:textId="77777777" w:rsidR="009247BB" w:rsidRDefault="00477C74" w:rsidP="00F46FDA">
      <w:pPr>
        <w:pStyle w:val="ListParagraph"/>
        <w:numPr>
          <w:ilvl w:val="0"/>
          <w:numId w:val="22"/>
        </w:numPr>
        <w:tabs>
          <w:tab w:val="left" w:pos="3435"/>
        </w:tabs>
        <w:spacing w:after="120" w:line="240" w:lineRule="auto"/>
        <w:contextualSpacing w:val="0"/>
        <w:jc w:val="both"/>
      </w:pPr>
      <w:r w:rsidRPr="00477C74">
        <w:t xml:space="preserve">Identifikaci </w:t>
      </w:r>
      <w:r w:rsidR="005444AD" w:rsidRPr="00477C74">
        <w:t>další</w:t>
      </w:r>
      <w:r w:rsidRPr="00477C74">
        <w:t>ch</w:t>
      </w:r>
      <w:r w:rsidR="005444AD" w:rsidRPr="00477C74">
        <w:t xml:space="preserve"> nefinanční</w:t>
      </w:r>
      <w:r w:rsidRPr="00477C74">
        <w:t>ch</w:t>
      </w:r>
      <w:r w:rsidR="005444AD" w:rsidRPr="00477C74">
        <w:t>, legislativní</w:t>
      </w:r>
      <w:r w:rsidRPr="00477C74">
        <w:t>ch</w:t>
      </w:r>
      <w:r w:rsidR="005444AD" w:rsidRPr="00477C74">
        <w:t xml:space="preserve"> a daňov</w:t>
      </w:r>
      <w:r w:rsidRPr="00477C74">
        <w:t>ých</w:t>
      </w:r>
      <w:r w:rsidR="005444AD" w:rsidRPr="00477C74">
        <w:t xml:space="preserve"> pobíd</w:t>
      </w:r>
      <w:r w:rsidRPr="00477C74">
        <w:t>e</w:t>
      </w:r>
      <w:r w:rsidR="005444AD" w:rsidRPr="00477C74">
        <w:t>k</w:t>
      </w:r>
      <w:r w:rsidR="00FD4552">
        <w:t xml:space="preserve"> k</w:t>
      </w:r>
      <w:r w:rsidR="005444AD" w:rsidRPr="00477C74">
        <w:t xml:space="preserve"> </w:t>
      </w:r>
      <w:r w:rsidR="00FD4552">
        <w:t>posunu k nízkouhlíkovému hospodářství</w:t>
      </w:r>
      <w:r w:rsidR="009247BB">
        <w:t>;</w:t>
      </w:r>
    </w:p>
    <w:p w14:paraId="640AF76D" w14:textId="77777777" w:rsidR="00961D14" w:rsidRDefault="00961D14" w:rsidP="00F46FDA">
      <w:pPr>
        <w:spacing w:before="113" w:after="113" w:line="240" w:lineRule="auto"/>
        <w:jc w:val="both"/>
        <w:rPr>
          <w:szCs w:val="18"/>
        </w:rPr>
      </w:pPr>
      <w:r w:rsidRPr="00DD613F">
        <w:rPr>
          <w:szCs w:val="18"/>
        </w:rPr>
        <w:t>D</w:t>
      </w:r>
      <w:r>
        <w:rPr>
          <w:szCs w:val="18"/>
        </w:rPr>
        <w:t>Š</w:t>
      </w:r>
      <w:r w:rsidRPr="00DD613F">
        <w:rPr>
          <w:szCs w:val="18"/>
        </w:rPr>
        <w:t xml:space="preserve"> bude realizováno prost</w:t>
      </w:r>
      <w:r>
        <w:rPr>
          <w:szCs w:val="18"/>
        </w:rPr>
        <w:t xml:space="preserve">řednictvím souhrnného </w:t>
      </w:r>
      <w:r w:rsidRPr="00DD613F">
        <w:rPr>
          <w:szCs w:val="18"/>
        </w:rPr>
        <w:t xml:space="preserve">dotazníku (tj. pro vyhodnocení všech relevantních </w:t>
      </w:r>
      <w:r>
        <w:rPr>
          <w:szCs w:val="18"/>
        </w:rPr>
        <w:t xml:space="preserve">analytických </w:t>
      </w:r>
      <w:r w:rsidRPr="00DD613F">
        <w:rPr>
          <w:szCs w:val="18"/>
        </w:rPr>
        <w:t xml:space="preserve">otázek bude využito jedno </w:t>
      </w:r>
      <w:r>
        <w:rPr>
          <w:szCs w:val="18"/>
        </w:rPr>
        <w:t>DŠ</w:t>
      </w:r>
      <w:r w:rsidRPr="00DD613F">
        <w:rPr>
          <w:szCs w:val="18"/>
        </w:rPr>
        <w:t>) zpracovaného v on-line nástroji Dodavatele, který umožňuje vytvořit a strukturovat dotazník, včetně vytvoření šablony dotazníku (např. umístnění logolinku OP.). Nástroj umožňuje podmiňovat otázky nebo celé sekce, čímž v rámci jednoho dotazníku lze vytvořit více variant. Po vyplnění dotazníku respondentem jsou údaje nástrojem automaticky uloženy a vyhodnocovány, přičemž statistika evid</w:t>
      </w:r>
      <w:r>
        <w:rPr>
          <w:szCs w:val="18"/>
        </w:rPr>
        <w:t>uje počet ukončených dotazníků.</w:t>
      </w:r>
      <w:r w:rsidRPr="00DD613F">
        <w:rPr>
          <w:szCs w:val="18"/>
        </w:rPr>
        <w:t xml:space="preserve"> </w:t>
      </w:r>
      <w:r w:rsidR="002B564A">
        <w:rPr>
          <w:szCs w:val="18"/>
        </w:rPr>
        <w:t xml:space="preserve">DŠ </w:t>
      </w:r>
      <w:r w:rsidR="002B564A" w:rsidRPr="002B564A">
        <w:rPr>
          <w:szCs w:val="18"/>
        </w:rPr>
        <w:t>mezi žadateli / potenciálními žadateli bude využito na zodpovězení všech analytických otázek.</w:t>
      </w:r>
    </w:p>
    <w:p w14:paraId="13C30018" w14:textId="77777777" w:rsidR="00961D14" w:rsidRDefault="00961D14" w:rsidP="00F46FDA">
      <w:pPr>
        <w:spacing w:before="113" w:after="113" w:line="240" w:lineRule="auto"/>
        <w:jc w:val="both"/>
        <w:rPr>
          <w:szCs w:val="18"/>
        </w:rPr>
      </w:pPr>
      <w:r>
        <w:rPr>
          <w:szCs w:val="18"/>
        </w:rPr>
        <w:t>Jakmile bude se Zadavatelem odsouhlaseno znění a finální podoba dotazníku, bude odkaz na webovou adresu s umístěným dotazníkem zaslán respondentům spolu s průvodním dopisem Zadavatele, představujícím respondentům Projekt a jeho cíle a vyzývající ke spolupráci a účasti na DŠ. Po ukončení DŠ budou veškerá data získaná v rámci tohoto šetření v anonymizované a</w:t>
      </w:r>
      <w:r w:rsidR="002A3C41">
        <w:rPr>
          <w:szCs w:val="18"/>
        </w:rPr>
        <w:t> </w:t>
      </w:r>
      <w:r>
        <w:rPr>
          <w:szCs w:val="18"/>
        </w:rPr>
        <w:t>agregované podobě (tabulky, grafy) předána Zadavateli.</w:t>
      </w:r>
    </w:p>
    <w:p w14:paraId="3AE756FC" w14:textId="77777777" w:rsidR="00325487" w:rsidRPr="00F57E36" w:rsidRDefault="00325487" w:rsidP="00F46FDA">
      <w:pPr>
        <w:spacing w:after="120" w:line="240" w:lineRule="auto"/>
        <w:jc w:val="both"/>
      </w:pPr>
      <w:r>
        <w:rPr>
          <w:szCs w:val="18"/>
        </w:rPr>
        <w:t xml:space="preserve">Výsledky a zjištění </w:t>
      </w:r>
      <w:r w:rsidR="00961D14">
        <w:rPr>
          <w:szCs w:val="18"/>
        </w:rPr>
        <w:t xml:space="preserve">DŠ </w:t>
      </w:r>
      <w:r>
        <w:rPr>
          <w:szCs w:val="18"/>
        </w:rPr>
        <w:t xml:space="preserve">poslouží jako vstupní data pro </w:t>
      </w:r>
      <w:r w:rsidR="00961D14">
        <w:rPr>
          <w:szCs w:val="18"/>
        </w:rPr>
        <w:t>expertní panel (dále také jen „EP“), fokusní skupinu (dále také jen „FS“)</w:t>
      </w:r>
      <w:r w:rsidR="00E6687F">
        <w:rPr>
          <w:szCs w:val="18"/>
        </w:rPr>
        <w:t xml:space="preserve"> </w:t>
      </w:r>
      <w:r w:rsidR="00961D14">
        <w:rPr>
          <w:szCs w:val="18"/>
        </w:rPr>
        <w:t xml:space="preserve">a </w:t>
      </w:r>
      <w:r w:rsidR="00910F15">
        <w:rPr>
          <w:szCs w:val="18"/>
        </w:rPr>
        <w:t xml:space="preserve">některé </w:t>
      </w:r>
      <w:r w:rsidR="00961D14">
        <w:rPr>
          <w:szCs w:val="18"/>
        </w:rPr>
        <w:t>individuální h</w:t>
      </w:r>
      <w:r>
        <w:rPr>
          <w:szCs w:val="18"/>
        </w:rPr>
        <w:t xml:space="preserve">loubkové rozhovory </w:t>
      </w:r>
      <w:r w:rsidR="00961D14">
        <w:rPr>
          <w:szCs w:val="18"/>
        </w:rPr>
        <w:t>(dále také jen „IHR“)</w:t>
      </w:r>
      <w:r w:rsidR="001C7807">
        <w:rPr>
          <w:szCs w:val="18"/>
        </w:rPr>
        <w:t>.</w:t>
      </w:r>
    </w:p>
    <w:p w14:paraId="5800D936" w14:textId="77777777" w:rsidR="00325487" w:rsidRPr="00E934FE" w:rsidRDefault="00325487" w:rsidP="00F46FDA">
      <w:pPr>
        <w:keepNext/>
        <w:keepLines/>
        <w:spacing w:before="240" w:after="120" w:line="240" w:lineRule="auto"/>
        <w:rPr>
          <w:b/>
          <w:color w:val="012169" w:themeColor="accent4"/>
        </w:rPr>
      </w:pPr>
      <w:r w:rsidRPr="00E934FE">
        <w:rPr>
          <w:b/>
          <w:color w:val="012169" w:themeColor="accent4"/>
        </w:rPr>
        <w:t>Respondenti</w:t>
      </w:r>
    </w:p>
    <w:p w14:paraId="3399DA63" w14:textId="77777777" w:rsidR="00755E4C" w:rsidRDefault="00EC0E54" w:rsidP="00F46FDA">
      <w:pPr>
        <w:spacing w:after="60" w:line="240" w:lineRule="auto"/>
        <w:jc w:val="both"/>
      </w:pPr>
      <w:r>
        <w:t xml:space="preserve">Respondenty </w:t>
      </w:r>
      <w:r w:rsidR="00325487">
        <w:t>DŠ</w:t>
      </w:r>
      <w:r w:rsidR="00325487" w:rsidRPr="00DD613F">
        <w:t xml:space="preserve"> budou </w:t>
      </w:r>
      <w:r>
        <w:t xml:space="preserve">zástupci </w:t>
      </w:r>
      <w:r w:rsidR="004D36C5">
        <w:t>relevantní</w:t>
      </w:r>
      <w:r>
        <w:t>ch</w:t>
      </w:r>
      <w:r w:rsidR="004D36C5">
        <w:t xml:space="preserve"> </w:t>
      </w:r>
      <w:r w:rsidR="00704199">
        <w:t>podnikatelsk</w:t>
      </w:r>
      <w:r>
        <w:t>ých</w:t>
      </w:r>
      <w:r w:rsidR="00704199">
        <w:t xml:space="preserve"> subjekt</w:t>
      </w:r>
      <w:r>
        <w:t>ů</w:t>
      </w:r>
      <w:r w:rsidR="004D36C5">
        <w:rPr>
          <w:szCs w:val="18"/>
        </w:rPr>
        <w:t xml:space="preserve">, tj. </w:t>
      </w:r>
      <w:r w:rsidR="003D10A2">
        <w:rPr>
          <w:szCs w:val="18"/>
        </w:rPr>
        <w:t>podnik</w:t>
      </w:r>
      <w:r>
        <w:rPr>
          <w:szCs w:val="18"/>
        </w:rPr>
        <w:t>ů</w:t>
      </w:r>
      <w:r w:rsidR="003D10A2">
        <w:rPr>
          <w:szCs w:val="18"/>
        </w:rPr>
        <w:t xml:space="preserve"> </w:t>
      </w:r>
      <w:r w:rsidR="004D36C5">
        <w:t xml:space="preserve">z </w:t>
      </w:r>
      <w:r w:rsidR="0047764F">
        <w:t>energetických</w:t>
      </w:r>
      <w:r w:rsidR="0047764F" w:rsidRPr="004D36C5">
        <w:t xml:space="preserve"> </w:t>
      </w:r>
      <w:r w:rsidR="004D36C5" w:rsidRPr="004D36C5">
        <w:t>odvětví</w:t>
      </w:r>
      <w:r w:rsidR="0047764F" w:rsidRPr="006D4B07">
        <w:t xml:space="preserve"> </w:t>
      </w:r>
      <w:r w:rsidR="004D36C5">
        <w:t>(</w:t>
      </w:r>
      <w:r w:rsidR="004D36C5" w:rsidRPr="004D36C5">
        <w:t xml:space="preserve">např. </w:t>
      </w:r>
      <w:r w:rsidR="004F3F2F">
        <w:t>provozovatelé OZE, teplárny, provozovatelé přenosových a distribučních soustav v elektroenergetice a plynárenství</w:t>
      </w:r>
      <w:r w:rsidR="004D36C5">
        <w:t>)</w:t>
      </w:r>
      <w:r w:rsidR="004D36C5" w:rsidRPr="004D36C5">
        <w:t xml:space="preserve"> a </w:t>
      </w:r>
      <w:r w:rsidR="004D36C5">
        <w:t>zástupci soukromých podnikatelských</w:t>
      </w:r>
      <w:r w:rsidR="004D36C5" w:rsidRPr="004D36C5">
        <w:t xml:space="preserve"> subjekt</w:t>
      </w:r>
      <w:r w:rsidR="004D36C5">
        <w:t>ů</w:t>
      </w:r>
      <w:r w:rsidR="004D36C5" w:rsidRPr="004D36C5">
        <w:t xml:space="preserve"> zabývající</w:t>
      </w:r>
      <w:r w:rsidR="004D36C5">
        <w:t>ch</w:t>
      </w:r>
      <w:r w:rsidR="004D36C5" w:rsidRPr="004D36C5">
        <w:t xml:space="preserve"> </w:t>
      </w:r>
      <w:r w:rsidR="004F3F2F">
        <w:t>technologiemi s potenciálem pro posun k nízkouhlíkovému hospodářství.</w:t>
      </w:r>
    </w:p>
    <w:p w14:paraId="305BE5C7" w14:textId="77777777" w:rsidR="00EC0E54" w:rsidRDefault="003D10A2" w:rsidP="00F46FDA">
      <w:pPr>
        <w:spacing w:after="60" w:line="240" w:lineRule="auto"/>
        <w:jc w:val="both"/>
      </w:pPr>
      <w:r>
        <w:t>P</w:t>
      </w:r>
      <w:r w:rsidR="00EC0E54">
        <w:t xml:space="preserve">ro </w:t>
      </w:r>
      <w:r>
        <w:t>oslovování respondentů Dodavatel</w:t>
      </w:r>
      <w:r w:rsidR="003245BB">
        <w:t xml:space="preserve"> jednak </w:t>
      </w:r>
      <w:r>
        <w:t>požádá o součinnost jejich zastřešující organizace</w:t>
      </w:r>
      <w:r w:rsidR="00C34735">
        <w:t xml:space="preserve"> (např. </w:t>
      </w:r>
      <w:r w:rsidR="00C34735" w:rsidRPr="006D4B07">
        <w:t xml:space="preserve">Svaz průmyslu a dopravy ČR, </w:t>
      </w:r>
      <w:r w:rsidR="004F3F2F" w:rsidRPr="004F3F2F">
        <w:t>Komora obnovitelných zdrojů energie</w:t>
      </w:r>
      <w:r w:rsidR="004F3F2F">
        <w:t xml:space="preserve">, </w:t>
      </w:r>
      <w:r w:rsidR="00FB13CA" w:rsidRPr="00FB13CA">
        <w:t>Teplárenské sdružení ČR</w:t>
      </w:r>
      <w:r w:rsidR="00FB13CA">
        <w:t>, Český plynárenský svaz</w:t>
      </w:r>
      <w:r w:rsidR="00F27630">
        <w:t>, apod.</w:t>
      </w:r>
      <w:r w:rsidR="00C34735">
        <w:t>)</w:t>
      </w:r>
      <w:r w:rsidR="00EC0E54">
        <w:t xml:space="preserve"> a</w:t>
      </w:r>
      <w:r w:rsidR="003245BB">
        <w:t xml:space="preserve"> dále</w:t>
      </w:r>
      <w:r w:rsidR="00EC0E54">
        <w:t xml:space="preserve"> </w:t>
      </w:r>
      <w:r w:rsidR="00755E4C">
        <w:t>oslov</w:t>
      </w:r>
      <w:r w:rsidR="00EC0E54">
        <w:t>í také</w:t>
      </w:r>
      <w:r w:rsidR="00755E4C">
        <w:t xml:space="preserve"> </w:t>
      </w:r>
      <w:r w:rsidR="004D36C5" w:rsidRPr="00640CAD">
        <w:t>žadatel</w:t>
      </w:r>
      <w:r w:rsidR="00EC0E54">
        <w:t>e</w:t>
      </w:r>
      <w:r w:rsidR="004D36C5" w:rsidRPr="00640CAD">
        <w:t xml:space="preserve"> a příjemc</w:t>
      </w:r>
      <w:r w:rsidR="00EC0E54">
        <w:t>e</w:t>
      </w:r>
      <w:r w:rsidR="004D36C5" w:rsidRPr="00640CAD">
        <w:t xml:space="preserve"> </w:t>
      </w:r>
      <w:r>
        <w:t xml:space="preserve">(dále také jen „ŽaP“) </w:t>
      </w:r>
      <w:r w:rsidR="00EC0E54">
        <w:t xml:space="preserve">aktuálně </w:t>
      </w:r>
      <w:r w:rsidR="004D36C5" w:rsidRPr="00640CAD">
        <w:t>se ucházející o podporu nebo již čerpající podporu v</w:t>
      </w:r>
      <w:r w:rsidR="00EC0E54">
        <w:t> </w:t>
      </w:r>
      <w:r w:rsidR="004D36C5" w:rsidRPr="00640CAD">
        <w:t>rámci</w:t>
      </w:r>
      <w:r w:rsidR="00EC0E54">
        <w:t>:</w:t>
      </w:r>
    </w:p>
    <w:p w14:paraId="508AC6A7" w14:textId="77777777" w:rsidR="00351AC8" w:rsidRDefault="00EC0E54" w:rsidP="00931A41">
      <w:pPr>
        <w:pStyle w:val="ListParagraph"/>
        <w:numPr>
          <w:ilvl w:val="0"/>
          <w:numId w:val="23"/>
        </w:numPr>
        <w:spacing w:after="120" w:line="240" w:lineRule="auto"/>
        <w:contextualSpacing w:val="0"/>
        <w:jc w:val="both"/>
      </w:pPr>
      <w:r w:rsidRPr="00640CAD">
        <w:t xml:space="preserve">OP PIK </w:t>
      </w:r>
      <w:r w:rsidR="007C5132">
        <w:t>–</w:t>
      </w:r>
      <w:r>
        <w:t xml:space="preserve"> </w:t>
      </w:r>
      <w:r w:rsidR="004D36C5" w:rsidRPr="00640CAD">
        <w:t>PO 3</w:t>
      </w:r>
      <w:r>
        <w:t xml:space="preserve"> </w:t>
      </w:r>
      <w:r w:rsidR="003F3D57">
        <w:t xml:space="preserve">- </w:t>
      </w:r>
      <w:r w:rsidR="00931A41" w:rsidRPr="00931A41">
        <w:t xml:space="preserve"> Efektivnější nakládání energií</w:t>
      </w:r>
    </w:p>
    <w:p w14:paraId="76F3D9D1" w14:textId="77777777" w:rsidR="00941460" w:rsidRDefault="00351AC8" w:rsidP="00351AC8">
      <w:pPr>
        <w:pStyle w:val="ListParagraph"/>
        <w:numPr>
          <w:ilvl w:val="0"/>
          <w:numId w:val="23"/>
        </w:numPr>
        <w:spacing w:after="120" w:line="240" w:lineRule="auto"/>
        <w:contextualSpacing w:val="0"/>
        <w:jc w:val="both"/>
      </w:pPr>
      <w:r w:rsidRPr="00351AC8">
        <w:t>OPŽP</w:t>
      </w:r>
    </w:p>
    <w:p w14:paraId="03F82F60" w14:textId="77777777" w:rsidR="00325487" w:rsidRPr="00CE7B5B" w:rsidRDefault="00325487" w:rsidP="00F46FDA">
      <w:pPr>
        <w:spacing w:before="240" w:after="120" w:line="240" w:lineRule="auto"/>
        <w:rPr>
          <w:b/>
          <w:color w:val="012169" w:themeColor="accent4"/>
        </w:rPr>
      </w:pPr>
      <w:r w:rsidRPr="00CE7B5B">
        <w:rPr>
          <w:b/>
          <w:color w:val="012169" w:themeColor="accent4"/>
        </w:rPr>
        <w:t>Dílčí harmonogram</w:t>
      </w:r>
    </w:p>
    <w:p w14:paraId="633E2082" w14:textId="77777777" w:rsidR="00325487" w:rsidRDefault="00325487" w:rsidP="00F46FDA">
      <w:pPr>
        <w:spacing w:before="113" w:line="240" w:lineRule="auto"/>
        <w:jc w:val="both"/>
        <w:rPr>
          <w:szCs w:val="18"/>
        </w:rPr>
      </w:pPr>
      <w:r>
        <w:rPr>
          <w:szCs w:val="18"/>
        </w:rPr>
        <w:t xml:space="preserve">Harmonogram níže zobrazuje přehled kroků, které bude Dodavatel v rámci analýzy sekundárních zdrojů a dat realizovat, včetně požadované součinnosti ze strany Zadavatele a její odhadované náročnosti. </w:t>
      </w:r>
    </w:p>
    <w:p w14:paraId="617202A0" w14:textId="77777777" w:rsidR="00325487" w:rsidRDefault="00325487" w:rsidP="00F46FDA">
      <w:pPr>
        <w:pStyle w:val="Caption"/>
        <w:spacing w:before="240" w:after="120"/>
        <w:jc w:val="center"/>
      </w:pPr>
      <w:bookmarkStart w:id="23" w:name="_Toc24384735"/>
      <w:r>
        <w:t xml:space="preserve">Tabulka </w:t>
      </w:r>
      <w:r>
        <w:fldChar w:fldCharType="begin"/>
      </w:r>
      <w:r>
        <w:instrText xml:space="preserve"> SEQ Tabulka \* ARABIC </w:instrText>
      </w:r>
      <w:r>
        <w:fldChar w:fldCharType="separate"/>
      </w:r>
      <w:r w:rsidR="00AB39A7">
        <w:rPr>
          <w:noProof/>
        </w:rPr>
        <w:t>3</w:t>
      </w:r>
      <w:r>
        <w:fldChar w:fldCharType="end"/>
      </w:r>
      <w:r>
        <w:t>: Harmonogram dotazníkového šetření</w:t>
      </w:r>
      <w:bookmarkEnd w:id="23"/>
    </w:p>
    <w:tbl>
      <w:tblPr>
        <w:tblStyle w:val="Deloittetable11"/>
        <w:tblW w:w="5000" w:type="pct"/>
        <w:tblBorders>
          <w:bottom w:val="single" w:sz="4" w:space="0" w:color="86BC25" w:themeColor="accent1"/>
          <w:insideH w:val="single" w:sz="4" w:space="0" w:color="86BC25" w:themeColor="accent1"/>
        </w:tblBorders>
        <w:tblCellMar>
          <w:top w:w="0" w:type="dxa"/>
          <w:left w:w="108" w:type="dxa"/>
          <w:bottom w:w="0" w:type="dxa"/>
          <w:right w:w="108" w:type="dxa"/>
        </w:tblCellMar>
        <w:tblLook w:val="04A0" w:firstRow="1" w:lastRow="0" w:firstColumn="1" w:lastColumn="0" w:noHBand="0" w:noVBand="1"/>
      </w:tblPr>
      <w:tblGrid>
        <w:gridCol w:w="347"/>
        <w:gridCol w:w="4344"/>
        <w:gridCol w:w="1548"/>
        <w:gridCol w:w="1444"/>
        <w:gridCol w:w="1387"/>
      </w:tblGrid>
      <w:tr w:rsidR="00325487" w:rsidRPr="00793EC0" w14:paraId="312B4358" w14:textId="77777777" w:rsidTr="00FA6087">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92" w:type="pct"/>
            <w:shd w:val="clear" w:color="auto" w:fill="86BC25" w:themeFill="accent1"/>
            <w:vAlign w:val="center"/>
          </w:tcPr>
          <w:p w14:paraId="6DDBA770" w14:textId="77777777" w:rsidR="00325487" w:rsidRPr="00CE0A96" w:rsidRDefault="00325487" w:rsidP="00F46FDA">
            <w:pPr>
              <w:keepNext/>
              <w:spacing w:after="0" w:line="240" w:lineRule="auto"/>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Č</w:t>
            </w:r>
          </w:p>
        </w:tc>
        <w:tc>
          <w:tcPr>
            <w:tcW w:w="2399" w:type="pct"/>
            <w:shd w:val="clear" w:color="auto" w:fill="86BC25" w:themeFill="accent1"/>
            <w:vAlign w:val="center"/>
          </w:tcPr>
          <w:p w14:paraId="1EB3626F" w14:textId="77777777" w:rsidR="00325487" w:rsidRPr="00CE0A96" w:rsidRDefault="00325487" w:rsidP="00F46FDA">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Aktivita</w:t>
            </w:r>
          </w:p>
        </w:tc>
        <w:tc>
          <w:tcPr>
            <w:tcW w:w="844" w:type="pct"/>
            <w:shd w:val="clear" w:color="auto" w:fill="86BC25" w:themeFill="accent1"/>
            <w:vAlign w:val="center"/>
          </w:tcPr>
          <w:p w14:paraId="62D401C8" w14:textId="77777777" w:rsidR="00325487" w:rsidRPr="00CE0A96" w:rsidRDefault="00325487" w:rsidP="00F46FDA">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Odpovědnost</w:t>
            </w:r>
          </w:p>
        </w:tc>
        <w:tc>
          <w:tcPr>
            <w:tcW w:w="798" w:type="pct"/>
            <w:shd w:val="clear" w:color="auto" w:fill="86BC25" w:themeFill="accent1"/>
            <w:vAlign w:val="center"/>
          </w:tcPr>
          <w:p w14:paraId="7A553E1A" w14:textId="77777777" w:rsidR="00325487" w:rsidRPr="00CE0A96" w:rsidRDefault="00325487" w:rsidP="00F46FDA">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Termín (do)</w:t>
            </w:r>
          </w:p>
        </w:tc>
        <w:tc>
          <w:tcPr>
            <w:tcW w:w="767" w:type="pct"/>
            <w:shd w:val="clear" w:color="auto" w:fill="86BC25" w:themeFill="accent1"/>
            <w:vAlign w:val="center"/>
          </w:tcPr>
          <w:p w14:paraId="333C7397" w14:textId="77777777" w:rsidR="00325487" w:rsidRPr="00CE0A96" w:rsidRDefault="00325487" w:rsidP="00F46FDA">
            <w:pPr>
              <w:keepNext/>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CE0A96">
              <w:rPr>
                <w:rFonts w:eastAsia="Times New Roman" w:cs="Arial"/>
                <w:bCs/>
                <w:color w:val="FFFFFF" w:themeColor="background1"/>
                <w:szCs w:val="18"/>
                <w:lang w:eastAsia="cs-CZ"/>
              </w:rPr>
              <w:t>Náročnost</w:t>
            </w:r>
          </w:p>
        </w:tc>
      </w:tr>
      <w:tr w:rsidR="00325487" w:rsidRPr="00793EC0" w14:paraId="2BAF9607" w14:textId="77777777" w:rsidTr="00FA6087">
        <w:trPr>
          <w:trHeight w:val="340"/>
        </w:trPr>
        <w:tc>
          <w:tcPr>
            <w:cnfStyle w:val="001000000000" w:firstRow="0" w:lastRow="0" w:firstColumn="1" w:lastColumn="0" w:oddVBand="0" w:evenVBand="0" w:oddHBand="0" w:evenHBand="0" w:firstRowFirstColumn="0" w:firstRowLastColumn="0" w:lastRowFirstColumn="0" w:lastRowLastColumn="0"/>
            <w:tcW w:w="192" w:type="pct"/>
            <w:vAlign w:val="center"/>
          </w:tcPr>
          <w:p w14:paraId="63C3587D" w14:textId="77777777" w:rsidR="00325487" w:rsidRPr="00CE0A96" w:rsidRDefault="00325487" w:rsidP="00F46FDA">
            <w:pPr>
              <w:spacing w:after="0" w:line="240" w:lineRule="auto"/>
              <w:rPr>
                <w:rFonts w:asciiTheme="majorHAnsi" w:hAnsiTheme="majorHAnsi" w:cs="Calibri"/>
                <w:color w:val="000000"/>
                <w:szCs w:val="18"/>
                <w:lang w:eastAsia="cs-CZ"/>
              </w:rPr>
            </w:pPr>
            <w:r w:rsidRPr="00CE0A96">
              <w:rPr>
                <w:rFonts w:eastAsia="Times New Roman" w:cs="Calibri"/>
                <w:color w:val="000000"/>
                <w:szCs w:val="18"/>
                <w:lang w:eastAsia="cs-CZ"/>
              </w:rPr>
              <w:t>1</w:t>
            </w:r>
          </w:p>
        </w:tc>
        <w:tc>
          <w:tcPr>
            <w:tcW w:w="2399" w:type="pct"/>
            <w:vAlign w:val="center"/>
          </w:tcPr>
          <w:p w14:paraId="5826A53A"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Návrh znění dotazníku</w:t>
            </w:r>
          </w:p>
        </w:tc>
        <w:tc>
          <w:tcPr>
            <w:tcW w:w="844" w:type="pct"/>
            <w:vAlign w:val="center"/>
          </w:tcPr>
          <w:p w14:paraId="5D9D7889" w14:textId="77777777" w:rsidR="00325487" w:rsidRPr="00CE0A96"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E0A96">
              <w:rPr>
                <w:rFonts w:eastAsia="Times New Roman" w:cs="Calibri"/>
                <w:color w:val="000000"/>
                <w:szCs w:val="18"/>
                <w:lang w:eastAsia="cs-CZ"/>
              </w:rPr>
              <w:t>Deloitte</w:t>
            </w:r>
          </w:p>
        </w:tc>
        <w:tc>
          <w:tcPr>
            <w:tcW w:w="798" w:type="pct"/>
            <w:vAlign w:val="center"/>
          </w:tcPr>
          <w:p w14:paraId="7D261122" w14:textId="0002AA5F" w:rsidR="00325487" w:rsidRPr="00CE0A96" w:rsidRDefault="00631B08"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20</w:t>
            </w:r>
            <w:r w:rsidR="00960DA7">
              <w:rPr>
                <w:rFonts w:asciiTheme="majorHAnsi" w:hAnsiTheme="majorHAnsi" w:cs="Calibri"/>
                <w:color w:val="000000"/>
                <w:szCs w:val="18"/>
                <w:lang w:eastAsia="cs-CZ"/>
              </w:rPr>
              <w:t>. 3. 2020</w:t>
            </w:r>
          </w:p>
        </w:tc>
        <w:tc>
          <w:tcPr>
            <w:tcW w:w="767" w:type="pct"/>
            <w:shd w:val="clear" w:color="auto" w:fill="auto"/>
            <w:vAlign w:val="center"/>
          </w:tcPr>
          <w:p w14:paraId="386C3EBC"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25487" w:rsidRPr="00793EC0" w14:paraId="3AB63C0D" w14:textId="77777777" w:rsidTr="00FA6087">
        <w:trPr>
          <w:trHeight w:val="340"/>
        </w:trPr>
        <w:tc>
          <w:tcPr>
            <w:cnfStyle w:val="001000000000" w:firstRow="0" w:lastRow="0" w:firstColumn="1" w:lastColumn="0" w:oddVBand="0" w:evenVBand="0" w:oddHBand="0" w:evenHBand="0" w:firstRowFirstColumn="0" w:firstRowLastColumn="0" w:lastRowFirstColumn="0" w:lastRowLastColumn="0"/>
            <w:tcW w:w="192" w:type="pct"/>
            <w:vAlign w:val="center"/>
          </w:tcPr>
          <w:p w14:paraId="0A1B5B52" w14:textId="77777777" w:rsidR="00325487" w:rsidRPr="00CE0A96" w:rsidRDefault="00325487" w:rsidP="00F46FDA">
            <w:pPr>
              <w:spacing w:after="0" w:line="240" w:lineRule="auto"/>
              <w:rPr>
                <w:rFonts w:asciiTheme="majorHAnsi" w:hAnsiTheme="majorHAnsi" w:cs="Calibri"/>
                <w:color w:val="000000"/>
                <w:szCs w:val="18"/>
                <w:lang w:eastAsia="cs-CZ"/>
              </w:rPr>
            </w:pPr>
            <w:r w:rsidRPr="00CE0A96">
              <w:rPr>
                <w:rFonts w:eastAsia="Times New Roman" w:cs="Calibri"/>
                <w:color w:val="000000"/>
                <w:szCs w:val="18"/>
                <w:lang w:eastAsia="cs-CZ"/>
              </w:rPr>
              <w:t>2</w:t>
            </w:r>
          </w:p>
        </w:tc>
        <w:tc>
          <w:tcPr>
            <w:tcW w:w="2399" w:type="pct"/>
            <w:vAlign w:val="center"/>
          </w:tcPr>
          <w:p w14:paraId="568B04EC"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Předání kontaktů a pověřovacího dopisu MPO</w:t>
            </w:r>
          </w:p>
        </w:tc>
        <w:tc>
          <w:tcPr>
            <w:tcW w:w="844" w:type="pct"/>
            <w:vAlign w:val="center"/>
          </w:tcPr>
          <w:p w14:paraId="2E48AB0D" w14:textId="77777777" w:rsidR="00325487" w:rsidRPr="00CE0A96"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E0A96">
              <w:rPr>
                <w:rFonts w:eastAsia="Times New Roman" w:cs="Calibri"/>
                <w:color w:val="000000"/>
                <w:szCs w:val="18"/>
                <w:lang w:eastAsia="cs-CZ"/>
              </w:rPr>
              <w:t>MPO</w:t>
            </w:r>
          </w:p>
        </w:tc>
        <w:tc>
          <w:tcPr>
            <w:tcW w:w="798" w:type="pct"/>
            <w:vAlign w:val="center"/>
          </w:tcPr>
          <w:p w14:paraId="34D6D8FB" w14:textId="77777777" w:rsidR="00325487" w:rsidRPr="00960DA7" w:rsidRDefault="00960DA7" w:rsidP="00F5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F53F0A">
              <w:rPr>
                <w:rFonts w:asciiTheme="majorHAnsi" w:hAnsiTheme="majorHAnsi" w:cs="Calibri"/>
                <w:color w:val="000000"/>
                <w:szCs w:val="18"/>
                <w:lang w:eastAsia="cs-CZ"/>
              </w:rPr>
              <w:t>30. 3. 2020</w:t>
            </w:r>
          </w:p>
        </w:tc>
        <w:tc>
          <w:tcPr>
            <w:tcW w:w="767" w:type="pct"/>
            <w:shd w:val="clear" w:color="auto" w:fill="FFC000"/>
            <w:vAlign w:val="center"/>
          </w:tcPr>
          <w:p w14:paraId="314EE50F" w14:textId="77777777" w:rsidR="00325487" w:rsidRPr="00CE0A96" w:rsidRDefault="00AE4558"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střední</w:t>
            </w:r>
          </w:p>
        </w:tc>
      </w:tr>
      <w:tr w:rsidR="00325487" w:rsidRPr="00793EC0" w14:paraId="3E541C54" w14:textId="77777777" w:rsidTr="00FA6087">
        <w:trPr>
          <w:trHeight w:val="340"/>
        </w:trPr>
        <w:tc>
          <w:tcPr>
            <w:cnfStyle w:val="001000000000" w:firstRow="0" w:lastRow="0" w:firstColumn="1" w:lastColumn="0" w:oddVBand="0" w:evenVBand="0" w:oddHBand="0" w:evenHBand="0" w:firstRowFirstColumn="0" w:firstRowLastColumn="0" w:lastRowFirstColumn="0" w:lastRowLastColumn="0"/>
            <w:tcW w:w="192" w:type="pct"/>
            <w:vAlign w:val="center"/>
          </w:tcPr>
          <w:p w14:paraId="7C2AA320" w14:textId="77777777" w:rsidR="00325487" w:rsidRPr="00CE0A96" w:rsidRDefault="00325487" w:rsidP="00F46FDA">
            <w:pPr>
              <w:spacing w:after="0" w:line="240" w:lineRule="auto"/>
              <w:rPr>
                <w:rFonts w:eastAsia="Times New Roman" w:cs="Calibri"/>
                <w:color w:val="000000"/>
                <w:szCs w:val="18"/>
                <w:lang w:eastAsia="cs-CZ"/>
              </w:rPr>
            </w:pPr>
            <w:r w:rsidRPr="00CE0A96">
              <w:rPr>
                <w:rFonts w:eastAsia="Times New Roman" w:cs="Calibri"/>
                <w:color w:val="000000"/>
                <w:szCs w:val="18"/>
                <w:lang w:eastAsia="cs-CZ"/>
              </w:rPr>
              <w:t>3</w:t>
            </w:r>
          </w:p>
        </w:tc>
        <w:tc>
          <w:tcPr>
            <w:tcW w:w="2399" w:type="pct"/>
            <w:vAlign w:val="center"/>
          </w:tcPr>
          <w:p w14:paraId="0AC0EBC1"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Validace otázek se Zadavatelem</w:t>
            </w:r>
          </w:p>
        </w:tc>
        <w:tc>
          <w:tcPr>
            <w:tcW w:w="844" w:type="pct"/>
            <w:vAlign w:val="center"/>
          </w:tcPr>
          <w:p w14:paraId="2620F899" w14:textId="77777777" w:rsidR="00325487" w:rsidRPr="00CE0A96"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MPO</w:t>
            </w:r>
          </w:p>
        </w:tc>
        <w:tc>
          <w:tcPr>
            <w:tcW w:w="798" w:type="pct"/>
            <w:vAlign w:val="center"/>
          </w:tcPr>
          <w:p w14:paraId="59EDC2DF" w14:textId="014EA0AF" w:rsidR="00325487" w:rsidRPr="00E13A3D" w:rsidRDefault="00631B08" w:rsidP="00F5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30</w:t>
            </w:r>
            <w:r w:rsidR="00960DA7" w:rsidRPr="00E13A3D">
              <w:rPr>
                <w:rFonts w:asciiTheme="majorHAnsi" w:hAnsiTheme="majorHAnsi" w:cs="Calibri"/>
                <w:color w:val="000000"/>
                <w:szCs w:val="18"/>
                <w:lang w:eastAsia="cs-CZ"/>
              </w:rPr>
              <w:t>. 3. 2020</w:t>
            </w:r>
          </w:p>
        </w:tc>
        <w:tc>
          <w:tcPr>
            <w:tcW w:w="767" w:type="pct"/>
            <w:shd w:val="clear" w:color="auto" w:fill="FFC000"/>
            <w:vAlign w:val="center"/>
          </w:tcPr>
          <w:p w14:paraId="1159D52F" w14:textId="77777777" w:rsidR="00325487" w:rsidRPr="00CE0A96" w:rsidRDefault="00AE4558"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střední</w:t>
            </w:r>
          </w:p>
        </w:tc>
      </w:tr>
      <w:tr w:rsidR="00325487" w:rsidRPr="00793EC0" w14:paraId="2F716660" w14:textId="77777777" w:rsidTr="00FA6087">
        <w:trPr>
          <w:trHeight w:val="340"/>
        </w:trPr>
        <w:tc>
          <w:tcPr>
            <w:cnfStyle w:val="001000000000" w:firstRow="0" w:lastRow="0" w:firstColumn="1" w:lastColumn="0" w:oddVBand="0" w:evenVBand="0" w:oddHBand="0" w:evenHBand="0" w:firstRowFirstColumn="0" w:firstRowLastColumn="0" w:lastRowFirstColumn="0" w:lastRowLastColumn="0"/>
            <w:tcW w:w="192" w:type="pct"/>
            <w:vAlign w:val="center"/>
          </w:tcPr>
          <w:p w14:paraId="3BCF9B75" w14:textId="77777777" w:rsidR="00325487" w:rsidRPr="00CE0A96" w:rsidRDefault="00325487" w:rsidP="00F46FDA">
            <w:pPr>
              <w:spacing w:after="0" w:line="240" w:lineRule="auto"/>
              <w:rPr>
                <w:rFonts w:eastAsia="Times New Roman" w:cs="Calibri"/>
                <w:color w:val="000000"/>
                <w:szCs w:val="18"/>
                <w:lang w:eastAsia="cs-CZ"/>
              </w:rPr>
            </w:pPr>
            <w:r w:rsidRPr="00CE0A96">
              <w:rPr>
                <w:rFonts w:eastAsia="Times New Roman" w:cs="Calibri"/>
                <w:color w:val="000000"/>
                <w:szCs w:val="18"/>
                <w:lang w:eastAsia="cs-CZ"/>
              </w:rPr>
              <w:t>4</w:t>
            </w:r>
          </w:p>
        </w:tc>
        <w:tc>
          <w:tcPr>
            <w:tcW w:w="2399" w:type="pct"/>
            <w:vAlign w:val="center"/>
          </w:tcPr>
          <w:p w14:paraId="268BA249"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Finalizace dotazníku v online nástroji</w:t>
            </w:r>
            <w:r>
              <w:rPr>
                <w:color w:val="000000"/>
                <w:szCs w:val="18"/>
              </w:rPr>
              <w:t xml:space="preserve"> a jeho rozeslání</w:t>
            </w:r>
          </w:p>
        </w:tc>
        <w:tc>
          <w:tcPr>
            <w:tcW w:w="844" w:type="pct"/>
            <w:vAlign w:val="center"/>
          </w:tcPr>
          <w:p w14:paraId="55DD88A2" w14:textId="77777777" w:rsidR="00325487" w:rsidRPr="00CE0A96"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Deloitte</w:t>
            </w:r>
          </w:p>
        </w:tc>
        <w:tc>
          <w:tcPr>
            <w:tcW w:w="798" w:type="pct"/>
            <w:vAlign w:val="center"/>
          </w:tcPr>
          <w:p w14:paraId="2ECF9EF2" w14:textId="40770675" w:rsidR="00325487" w:rsidRPr="00E13A3D" w:rsidRDefault="00631B08" w:rsidP="00F5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3. 4</w:t>
            </w:r>
            <w:r w:rsidR="00960DA7" w:rsidRPr="00E13A3D">
              <w:rPr>
                <w:rFonts w:asciiTheme="majorHAnsi" w:hAnsiTheme="majorHAnsi" w:cs="Calibri"/>
                <w:color w:val="000000"/>
                <w:szCs w:val="18"/>
                <w:lang w:eastAsia="cs-CZ"/>
              </w:rPr>
              <w:t>. 2020</w:t>
            </w:r>
          </w:p>
        </w:tc>
        <w:tc>
          <w:tcPr>
            <w:tcW w:w="767" w:type="pct"/>
            <w:shd w:val="clear" w:color="auto" w:fill="auto"/>
            <w:vAlign w:val="center"/>
          </w:tcPr>
          <w:p w14:paraId="6E11798F"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25487" w:rsidRPr="00793EC0" w14:paraId="43013382" w14:textId="77777777" w:rsidTr="00FA6087">
        <w:trPr>
          <w:trHeight w:val="340"/>
        </w:trPr>
        <w:tc>
          <w:tcPr>
            <w:cnfStyle w:val="001000000000" w:firstRow="0" w:lastRow="0" w:firstColumn="1" w:lastColumn="0" w:oddVBand="0" w:evenVBand="0" w:oddHBand="0" w:evenHBand="0" w:firstRowFirstColumn="0" w:firstRowLastColumn="0" w:lastRowFirstColumn="0" w:lastRowLastColumn="0"/>
            <w:tcW w:w="192" w:type="pct"/>
            <w:vAlign w:val="center"/>
          </w:tcPr>
          <w:p w14:paraId="2C713B6E" w14:textId="77777777" w:rsidR="00325487" w:rsidRPr="00CE0A96" w:rsidRDefault="00325487" w:rsidP="00F46FDA">
            <w:pPr>
              <w:spacing w:after="0" w:line="240" w:lineRule="auto"/>
              <w:rPr>
                <w:rFonts w:eastAsia="Times New Roman" w:cs="Calibri"/>
                <w:color w:val="000000"/>
                <w:szCs w:val="18"/>
                <w:lang w:eastAsia="cs-CZ"/>
              </w:rPr>
            </w:pPr>
            <w:r w:rsidRPr="00CE0A96">
              <w:rPr>
                <w:rFonts w:eastAsia="Times New Roman" w:cs="Calibri"/>
                <w:color w:val="000000"/>
                <w:szCs w:val="18"/>
                <w:lang w:eastAsia="cs-CZ"/>
              </w:rPr>
              <w:t>5</w:t>
            </w:r>
          </w:p>
        </w:tc>
        <w:tc>
          <w:tcPr>
            <w:tcW w:w="2399" w:type="pct"/>
            <w:vAlign w:val="center"/>
          </w:tcPr>
          <w:p w14:paraId="0F01BA8A"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Ukončení</w:t>
            </w:r>
            <w:r w:rsidRPr="00CE0A96">
              <w:rPr>
                <w:color w:val="000000"/>
                <w:szCs w:val="18"/>
              </w:rPr>
              <w:t xml:space="preserve"> dotazníkového šetření</w:t>
            </w:r>
          </w:p>
        </w:tc>
        <w:tc>
          <w:tcPr>
            <w:tcW w:w="844" w:type="pct"/>
            <w:vAlign w:val="center"/>
          </w:tcPr>
          <w:p w14:paraId="505DEFDD" w14:textId="77777777" w:rsidR="00325487" w:rsidRPr="00CE0A96"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Deloitte</w:t>
            </w:r>
          </w:p>
        </w:tc>
        <w:tc>
          <w:tcPr>
            <w:tcW w:w="798" w:type="pct"/>
            <w:vAlign w:val="center"/>
          </w:tcPr>
          <w:p w14:paraId="3EC7BFCF" w14:textId="313F969C" w:rsidR="00325487" w:rsidRPr="00E13A3D" w:rsidRDefault="00631B08" w:rsidP="00F5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30</w:t>
            </w:r>
            <w:r w:rsidR="00960DA7" w:rsidRPr="00E13A3D">
              <w:rPr>
                <w:rFonts w:asciiTheme="majorHAnsi" w:hAnsiTheme="majorHAnsi" w:cs="Calibri"/>
                <w:color w:val="000000"/>
                <w:szCs w:val="18"/>
                <w:lang w:eastAsia="cs-CZ"/>
              </w:rPr>
              <w:t>. 4. 2020</w:t>
            </w:r>
          </w:p>
        </w:tc>
        <w:tc>
          <w:tcPr>
            <w:tcW w:w="767" w:type="pct"/>
            <w:shd w:val="clear" w:color="auto" w:fill="auto"/>
            <w:vAlign w:val="center"/>
          </w:tcPr>
          <w:p w14:paraId="10164FD4"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325487" w:rsidRPr="001A335C" w14:paraId="1C68F814" w14:textId="77777777" w:rsidTr="00FA6087">
        <w:trPr>
          <w:trHeight w:val="340"/>
        </w:trPr>
        <w:tc>
          <w:tcPr>
            <w:cnfStyle w:val="001000000000" w:firstRow="0" w:lastRow="0" w:firstColumn="1" w:lastColumn="0" w:oddVBand="0" w:evenVBand="0" w:oddHBand="0" w:evenHBand="0" w:firstRowFirstColumn="0" w:firstRowLastColumn="0" w:lastRowFirstColumn="0" w:lastRowLastColumn="0"/>
            <w:tcW w:w="192" w:type="pct"/>
            <w:vAlign w:val="center"/>
          </w:tcPr>
          <w:p w14:paraId="2021E49C" w14:textId="77777777" w:rsidR="00325487" w:rsidRPr="00CE0A96" w:rsidRDefault="00325487"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6</w:t>
            </w:r>
          </w:p>
        </w:tc>
        <w:tc>
          <w:tcPr>
            <w:tcW w:w="2399" w:type="pct"/>
            <w:vAlign w:val="center"/>
          </w:tcPr>
          <w:p w14:paraId="4F4BFB1B"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E0A96">
              <w:rPr>
                <w:color w:val="000000"/>
                <w:szCs w:val="18"/>
              </w:rPr>
              <w:t>Vyhodnocení výsledků</w:t>
            </w:r>
          </w:p>
        </w:tc>
        <w:tc>
          <w:tcPr>
            <w:tcW w:w="844" w:type="pct"/>
            <w:vAlign w:val="center"/>
          </w:tcPr>
          <w:p w14:paraId="30ED0AC2" w14:textId="77777777" w:rsidR="00325487" w:rsidRPr="00CE0A96"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E0A96">
              <w:rPr>
                <w:rFonts w:eastAsia="Times New Roman" w:cs="Calibri"/>
                <w:color w:val="000000"/>
                <w:szCs w:val="18"/>
                <w:lang w:eastAsia="cs-CZ"/>
              </w:rPr>
              <w:t>Deloitte</w:t>
            </w:r>
          </w:p>
        </w:tc>
        <w:tc>
          <w:tcPr>
            <w:tcW w:w="798" w:type="pct"/>
            <w:vAlign w:val="center"/>
          </w:tcPr>
          <w:p w14:paraId="10C2870D" w14:textId="77777777" w:rsidR="00325487" w:rsidRPr="00E13A3D" w:rsidRDefault="00960DA7" w:rsidP="00F53F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E13A3D">
              <w:rPr>
                <w:rFonts w:asciiTheme="majorHAnsi" w:hAnsiTheme="majorHAnsi" w:cs="Calibri"/>
                <w:color w:val="000000"/>
                <w:szCs w:val="18"/>
                <w:lang w:eastAsia="cs-CZ"/>
              </w:rPr>
              <w:t>15. 5. 2020</w:t>
            </w:r>
          </w:p>
        </w:tc>
        <w:tc>
          <w:tcPr>
            <w:tcW w:w="767" w:type="pct"/>
            <w:shd w:val="clear" w:color="auto" w:fill="auto"/>
            <w:vAlign w:val="center"/>
          </w:tcPr>
          <w:p w14:paraId="11C3B7A5" w14:textId="77777777" w:rsidR="00325487" w:rsidRPr="00CE0A96" w:rsidRDefault="00325487"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1E1B7B09" w14:textId="77777777" w:rsidR="00E6687F" w:rsidRDefault="00E6687F" w:rsidP="00F46FDA">
      <w:pPr>
        <w:pStyle w:val="Heading2"/>
        <w:spacing w:line="240" w:lineRule="auto"/>
      </w:pPr>
      <w:bookmarkStart w:id="24" w:name="_Toc25228652"/>
      <w:bookmarkStart w:id="25" w:name="_Toc25228651"/>
      <w:bookmarkStart w:id="26" w:name="_Toc37248821"/>
      <w:r>
        <w:t>Fokusní skupina</w:t>
      </w:r>
      <w:bookmarkEnd w:id="24"/>
      <w:bookmarkEnd w:id="26"/>
    </w:p>
    <w:p w14:paraId="1F4BD813" w14:textId="77777777" w:rsidR="00E6687F" w:rsidRDefault="00E6687F" w:rsidP="00F46FDA">
      <w:pPr>
        <w:spacing w:before="240" w:after="120" w:line="240" w:lineRule="auto"/>
        <w:rPr>
          <w:b/>
          <w:color w:val="012169" w:themeColor="accent4"/>
        </w:rPr>
      </w:pPr>
      <w:r w:rsidRPr="00CE7B5B">
        <w:rPr>
          <w:b/>
          <w:color w:val="012169" w:themeColor="accent4"/>
        </w:rPr>
        <w:t>Způsob realizace</w:t>
      </w:r>
    </w:p>
    <w:p w14:paraId="3BAD062D" w14:textId="19A0606F" w:rsidR="00817AA6" w:rsidRDefault="00E6687F" w:rsidP="00F46FDA">
      <w:pPr>
        <w:spacing w:after="120" w:line="240" w:lineRule="auto"/>
        <w:jc w:val="both"/>
      </w:pPr>
      <w:r w:rsidRPr="008272B2">
        <w:t xml:space="preserve">Dodavatel </w:t>
      </w:r>
      <w:r w:rsidR="00031C63">
        <w:t xml:space="preserve">zrealizuje </w:t>
      </w:r>
      <w:r w:rsidRPr="008272B2">
        <w:t>fokusní skupinu</w:t>
      </w:r>
      <w:r>
        <w:t xml:space="preserve"> </w:t>
      </w:r>
      <w:r w:rsidR="00031C63" w:rsidRPr="00031C63">
        <w:t xml:space="preserve">se zástupci podnikatelských subjektů </w:t>
      </w:r>
      <w:r w:rsidR="00852E3B">
        <w:t xml:space="preserve">se zkušenostmi </w:t>
      </w:r>
      <w:r w:rsidR="00031C63" w:rsidRPr="00031C63">
        <w:t xml:space="preserve">z oblastí </w:t>
      </w:r>
      <w:r w:rsidR="0064778F">
        <w:rPr>
          <w:szCs w:val="18"/>
        </w:rPr>
        <w:t>posunu k nízkouhlíkovému hospodářství</w:t>
      </w:r>
      <w:r w:rsidR="00031C63" w:rsidRPr="00031C63">
        <w:t xml:space="preserve"> </w:t>
      </w:r>
      <w:r w:rsidR="00BB245D" w:rsidRPr="00031C63">
        <w:t>(tj. subjekty poptávky po finančních zdrojích)</w:t>
      </w:r>
      <w:r w:rsidR="00882158">
        <w:t>,</w:t>
      </w:r>
      <w:r w:rsidR="00882158" w:rsidRPr="00882158">
        <w:t xml:space="preserve"> </w:t>
      </w:r>
      <w:r w:rsidR="00882158">
        <w:t xml:space="preserve">případně s potenciálními zájemci, </w:t>
      </w:r>
      <w:r w:rsidR="00BB245D">
        <w:t xml:space="preserve"> </w:t>
      </w:r>
      <w:r w:rsidR="00031C63" w:rsidRPr="00960DA7">
        <w:t xml:space="preserve">a zástupci zastřešujících organizací a firem z těchto odvětví </w:t>
      </w:r>
      <w:r w:rsidR="00BB245D" w:rsidRPr="00960DA7">
        <w:t xml:space="preserve">za účelem </w:t>
      </w:r>
      <w:r w:rsidR="00BB245D" w:rsidRPr="00960DA7">
        <w:lastRenderedPageBreak/>
        <w:t xml:space="preserve">zodpovězení analytické otázky </w:t>
      </w:r>
      <w:r w:rsidR="00453916" w:rsidRPr="00960DA7">
        <w:t xml:space="preserve">1 a </w:t>
      </w:r>
      <w:r w:rsidR="00BB245D" w:rsidRPr="00960DA7">
        <w:t>2 a</w:t>
      </w:r>
      <w:r w:rsidR="00453916" w:rsidRPr="00960DA7">
        <w:t> </w:t>
      </w:r>
      <w:r w:rsidR="00BB245D" w:rsidRPr="00960DA7">
        <w:t xml:space="preserve">doplnění a prohloubení poznatků získaných v rámci </w:t>
      </w:r>
      <w:r w:rsidR="00D00B79" w:rsidRPr="00960DA7">
        <w:t xml:space="preserve">analýzy sekundárních dat, </w:t>
      </w:r>
      <w:r w:rsidR="00817AA6" w:rsidRPr="00960DA7">
        <w:t xml:space="preserve">DŠ, </w:t>
      </w:r>
      <w:r w:rsidR="00882158">
        <w:t xml:space="preserve">případně </w:t>
      </w:r>
      <w:r w:rsidR="00817AA6" w:rsidRPr="00960DA7">
        <w:t>EP</w:t>
      </w:r>
      <w:r w:rsidR="00BB245D" w:rsidRPr="00960DA7">
        <w:t xml:space="preserve"> a </w:t>
      </w:r>
      <w:r w:rsidR="00D00B79" w:rsidRPr="00960DA7">
        <w:t>některých</w:t>
      </w:r>
      <w:r w:rsidR="00D00B79">
        <w:t xml:space="preserve"> </w:t>
      </w:r>
      <w:r w:rsidR="00817AA6">
        <w:t>IHR.</w:t>
      </w:r>
      <w:r w:rsidR="00BB245D">
        <w:t xml:space="preserve"> </w:t>
      </w:r>
      <w:r w:rsidR="00817AA6">
        <w:t xml:space="preserve">Metodu FS zvolil Dodavatel </w:t>
      </w:r>
      <w:r w:rsidR="003C6557">
        <w:t>právě</w:t>
      </w:r>
      <w:r w:rsidR="00817AA6">
        <w:t xml:space="preserve"> kvůli možnosti účastníků diskutovat dané téma a vzájemně na sebe reagovat, což umožní lepší pochopení a interpretaci zjištění z</w:t>
      </w:r>
      <w:r w:rsidR="00D00B79">
        <w:t> předchozích šetření</w:t>
      </w:r>
      <w:r w:rsidR="003C6557">
        <w:t>, zejména DŠ</w:t>
      </w:r>
      <w:r w:rsidR="00817AA6">
        <w:t>.</w:t>
      </w:r>
    </w:p>
    <w:p w14:paraId="77D2CBCE" w14:textId="77777777" w:rsidR="00FF1F00" w:rsidRDefault="00E6687F" w:rsidP="00F46FDA">
      <w:pPr>
        <w:spacing w:after="120" w:line="240" w:lineRule="auto"/>
        <w:jc w:val="both"/>
      </w:pPr>
      <w:r>
        <w:t xml:space="preserve">Cílem FS je </w:t>
      </w:r>
      <w:r w:rsidR="00FF1F00">
        <w:t>především:</w:t>
      </w:r>
    </w:p>
    <w:p w14:paraId="6CE18768" w14:textId="77777777" w:rsidR="00453916" w:rsidRPr="00960DA7" w:rsidRDefault="00453916" w:rsidP="00453916">
      <w:pPr>
        <w:pStyle w:val="ListParagraph"/>
        <w:numPr>
          <w:ilvl w:val="0"/>
          <w:numId w:val="25"/>
        </w:numPr>
        <w:spacing w:after="120" w:line="240" w:lineRule="auto"/>
        <w:ind w:left="714" w:hanging="357"/>
        <w:contextualSpacing w:val="0"/>
        <w:jc w:val="both"/>
      </w:pPr>
      <w:r>
        <w:t xml:space="preserve">Analýza dostupnosti a </w:t>
      </w:r>
      <w:r w:rsidRPr="00960DA7">
        <w:t>atraktivnosti nabídky financování investičních záměrů v jednotlivých oblastech podpory v rámci SC 3.1 – 3.4;</w:t>
      </w:r>
    </w:p>
    <w:p w14:paraId="23149E70" w14:textId="77777777" w:rsidR="00FA44D4" w:rsidRDefault="00FF1F00" w:rsidP="00F46FDA">
      <w:pPr>
        <w:pStyle w:val="ListParagraph"/>
        <w:numPr>
          <w:ilvl w:val="0"/>
          <w:numId w:val="25"/>
        </w:numPr>
        <w:spacing w:after="120" w:line="240" w:lineRule="auto"/>
        <w:contextualSpacing w:val="0"/>
        <w:jc w:val="both"/>
      </w:pPr>
      <w:r w:rsidRPr="00960DA7">
        <w:t>Z</w:t>
      </w:r>
      <w:r w:rsidR="00BB245D" w:rsidRPr="00960DA7">
        <w:t xml:space="preserve">mapování poptávky po finančních </w:t>
      </w:r>
      <w:r w:rsidR="00FA44D4" w:rsidRPr="00960DA7">
        <w:t>prostředcích určených k financování investičních záměrů</w:t>
      </w:r>
      <w:r w:rsidR="00726BB0" w:rsidRPr="00960DA7">
        <w:t xml:space="preserve"> z oblasti </w:t>
      </w:r>
      <w:r w:rsidR="0064778F" w:rsidRPr="00960DA7">
        <w:rPr>
          <w:szCs w:val="18"/>
        </w:rPr>
        <w:t>posunu k nízkouhlík</w:t>
      </w:r>
      <w:r w:rsidR="0064778F">
        <w:rPr>
          <w:szCs w:val="18"/>
        </w:rPr>
        <w:t>ovému hospodářství</w:t>
      </w:r>
      <w:r w:rsidR="00FA44D4">
        <w:t>;</w:t>
      </w:r>
    </w:p>
    <w:p w14:paraId="690EF9B0" w14:textId="5D332C6B" w:rsidR="00FA44D4" w:rsidRPr="00960DA7" w:rsidRDefault="00726BB0" w:rsidP="00F46FDA">
      <w:pPr>
        <w:pStyle w:val="ListParagraph"/>
        <w:numPr>
          <w:ilvl w:val="0"/>
          <w:numId w:val="25"/>
        </w:numPr>
        <w:tabs>
          <w:tab w:val="left" w:pos="3435"/>
        </w:tabs>
        <w:spacing w:after="120" w:line="240" w:lineRule="auto"/>
        <w:contextualSpacing w:val="0"/>
        <w:jc w:val="both"/>
      </w:pPr>
      <w:r>
        <w:t>B</w:t>
      </w:r>
      <w:r w:rsidR="00FA44D4">
        <w:t>ližší specifikac</w:t>
      </w:r>
      <w:r w:rsidR="00453916">
        <w:t>e</w:t>
      </w:r>
      <w:r w:rsidR="00FA44D4">
        <w:t xml:space="preserve"> bariér</w:t>
      </w:r>
      <w:r w:rsidR="00FA44D4" w:rsidRPr="007440CA">
        <w:t xml:space="preserve"> na </w:t>
      </w:r>
      <w:r w:rsidR="00FA44D4" w:rsidRPr="00960DA7">
        <w:t>straně poptávky po finančních prostředcích (informační bariéry, nízká motivace k investicím s dlouhodobější dobou návratnosti apod.)</w:t>
      </w:r>
      <w:r w:rsidR="00453916" w:rsidRPr="00960DA7">
        <w:t>.</w:t>
      </w:r>
    </w:p>
    <w:p w14:paraId="7E8DCE51" w14:textId="15159DFA" w:rsidR="00854366" w:rsidRDefault="00854366" w:rsidP="00F46FDA">
      <w:pPr>
        <w:spacing w:after="120" w:line="240" w:lineRule="auto"/>
        <w:jc w:val="both"/>
        <w:rPr>
          <w:szCs w:val="18"/>
        </w:rPr>
      </w:pPr>
      <w:r w:rsidRPr="00960DA7">
        <w:rPr>
          <w:szCs w:val="18"/>
        </w:rPr>
        <w:t>Dodavatel</w:t>
      </w:r>
      <w:r w:rsidR="005F6774" w:rsidRPr="00960DA7">
        <w:rPr>
          <w:szCs w:val="18"/>
        </w:rPr>
        <w:t xml:space="preserve"> vybere nejvhodnější účastníky FS z</w:t>
      </w:r>
      <w:r w:rsidR="003245BB" w:rsidRPr="00960DA7">
        <w:rPr>
          <w:szCs w:val="18"/>
        </w:rPr>
        <w:t> účastníků DŠ</w:t>
      </w:r>
      <w:r w:rsidR="00453916" w:rsidRPr="00960DA7">
        <w:rPr>
          <w:szCs w:val="18"/>
        </w:rPr>
        <w:t>, na základě využití vlastních kontaktů a na základě nominace Zadavatelem</w:t>
      </w:r>
      <w:r w:rsidR="003245BB" w:rsidRPr="00960DA7">
        <w:rPr>
          <w:szCs w:val="18"/>
        </w:rPr>
        <w:t>,</w:t>
      </w:r>
      <w:r w:rsidRPr="00960DA7">
        <w:rPr>
          <w:szCs w:val="18"/>
        </w:rPr>
        <w:t xml:space="preserve"> osloví nominované účastníky s dostatečným předstihem a zajistí nejvhodnější termín a místo realizace FS. Po dohodě s účastníky bude FS realizována v sídle Deloitte v Praze nebo v jednom z vybraných sídel MPO. </w:t>
      </w:r>
      <w:r w:rsidR="00387B30" w:rsidRPr="00960DA7">
        <w:rPr>
          <w:szCs w:val="18"/>
        </w:rPr>
        <w:t xml:space="preserve">V případě potřeby lze realizovat </w:t>
      </w:r>
      <w:r w:rsidR="00D00492">
        <w:rPr>
          <w:szCs w:val="18"/>
        </w:rPr>
        <w:t>fokusní skupinu</w:t>
      </w:r>
      <w:r w:rsidR="00387B30" w:rsidRPr="00960DA7">
        <w:rPr>
          <w:szCs w:val="18"/>
        </w:rPr>
        <w:t xml:space="preserve"> formou telekonference. </w:t>
      </w:r>
      <w:r w:rsidR="008458A0">
        <w:rPr>
          <w:szCs w:val="18"/>
        </w:rPr>
        <w:t>V případě potřeby může být fokusní skupina nahrazena několika individuálním</w:t>
      </w:r>
      <w:r w:rsidR="00860027">
        <w:rPr>
          <w:szCs w:val="18"/>
        </w:rPr>
        <w:t>i</w:t>
      </w:r>
      <w:r w:rsidR="008458A0">
        <w:rPr>
          <w:szCs w:val="18"/>
        </w:rPr>
        <w:t xml:space="preserve">, příp. skupinovými rozhovory. </w:t>
      </w:r>
      <w:r w:rsidR="00FF1F00" w:rsidRPr="00960DA7">
        <w:t xml:space="preserve">Interakce skupiny bude </w:t>
      </w:r>
      <w:r w:rsidR="00387B30" w:rsidRPr="00960DA7">
        <w:t>řízena zkušenými facilitátory,</w:t>
      </w:r>
      <w:r w:rsidR="00FF1F00" w:rsidRPr="00960DA7">
        <w:t xml:space="preserve"> kte</w:t>
      </w:r>
      <w:r w:rsidR="00387B30" w:rsidRPr="00960DA7">
        <w:t>ří</w:t>
      </w:r>
      <w:r w:rsidR="00FF1F00" w:rsidRPr="00960DA7">
        <w:t xml:space="preserve"> předloží skupině témata nebo otázky k diskusi. </w:t>
      </w:r>
      <w:r w:rsidRPr="00960DA7">
        <w:rPr>
          <w:szCs w:val="18"/>
        </w:rPr>
        <w:t>Samotná fokusní skupina</w:t>
      </w:r>
      <w:r w:rsidRPr="00BC7275">
        <w:rPr>
          <w:szCs w:val="18"/>
        </w:rPr>
        <w:t xml:space="preserve"> bude trvat cca 1,5 - 2 hodiny.</w:t>
      </w:r>
    </w:p>
    <w:p w14:paraId="21310385" w14:textId="77777777" w:rsidR="00E6687F" w:rsidRPr="00E13A3D" w:rsidRDefault="00E6687F" w:rsidP="00F46FDA">
      <w:pPr>
        <w:spacing w:before="240" w:after="120" w:line="240" w:lineRule="auto"/>
        <w:rPr>
          <w:b/>
          <w:color w:val="012169" w:themeColor="accent4"/>
        </w:rPr>
      </w:pPr>
      <w:r w:rsidRPr="004839FC">
        <w:rPr>
          <w:b/>
          <w:color w:val="012169" w:themeColor="accent4"/>
        </w:rPr>
        <w:t>Účastníci</w:t>
      </w:r>
    </w:p>
    <w:p w14:paraId="7060D629" w14:textId="77777777" w:rsidR="00D10A75" w:rsidRDefault="00817AA6" w:rsidP="00F46FDA">
      <w:pPr>
        <w:spacing w:after="120" w:line="240" w:lineRule="auto"/>
        <w:jc w:val="both"/>
      </w:pPr>
      <w:r>
        <w:t>Dodavatel</w:t>
      </w:r>
      <w:r w:rsidR="00BB245D">
        <w:t xml:space="preserve"> předpokládá zapojení především</w:t>
      </w:r>
      <w:r w:rsidR="00D10A75">
        <w:t>:</w:t>
      </w:r>
    </w:p>
    <w:p w14:paraId="4E04E2B9" w14:textId="77777777" w:rsidR="00D10A75" w:rsidRPr="00D10A75" w:rsidRDefault="00D10A75" w:rsidP="00F46FDA">
      <w:pPr>
        <w:pStyle w:val="ListParagraph"/>
        <w:numPr>
          <w:ilvl w:val="0"/>
          <w:numId w:val="25"/>
        </w:numPr>
        <w:spacing w:after="120" w:line="240" w:lineRule="auto"/>
        <w:ind w:left="714" w:hanging="357"/>
        <w:contextualSpacing w:val="0"/>
        <w:jc w:val="both"/>
      </w:pPr>
      <w:r>
        <w:t>Z</w:t>
      </w:r>
      <w:r w:rsidR="00BB245D">
        <w:t xml:space="preserve">ástupců podnikatelských subjektů </w:t>
      </w:r>
      <w:r>
        <w:t>(</w:t>
      </w:r>
      <w:r w:rsidR="00E91488">
        <w:t xml:space="preserve">především MSP, případně i VP) </w:t>
      </w:r>
      <w:r>
        <w:t xml:space="preserve">z odvětví </w:t>
      </w:r>
      <w:r w:rsidR="0064778F">
        <w:t>energetiky</w:t>
      </w:r>
      <w:r w:rsidR="00E63DCC">
        <w:t xml:space="preserve"> jako např.</w:t>
      </w:r>
      <w:r w:rsidRPr="00D10A75">
        <w:t xml:space="preserve"> </w:t>
      </w:r>
      <w:r w:rsidR="0064778F">
        <w:t>provozovatelé OZE, teplárny, provozovatelé přenosových a distribučních soustav v elektroenergetice a plynárenství</w:t>
      </w:r>
      <w:r w:rsidR="002244B6">
        <w:t>, kteří již mají alespoň nějakou zkušenost s projekty v</w:t>
      </w:r>
      <w:r w:rsidR="00387B30">
        <w:t> </w:t>
      </w:r>
      <w:r w:rsidR="002244B6">
        <w:t xml:space="preserve">oblasti </w:t>
      </w:r>
      <w:r w:rsidR="0064778F">
        <w:rPr>
          <w:szCs w:val="18"/>
        </w:rPr>
        <w:t>posunu k nízkouhlíkovému hospodářství</w:t>
      </w:r>
      <w:r w:rsidR="002244B6">
        <w:t>;</w:t>
      </w:r>
    </w:p>
    <w:p w14:paraId="2C7AA88D" w14:textId="77777777" w:rsidR="00BB245D" w:rsidRDefault="00D10A75" w:rsidP="00F46FDA">
      <w:pPr>
        <w:pStyle w:val="ListParagraph"/>
        <w:numPr>
          <w:ilvl w:val="0"/>
          <w:numId w:val="25"/>
        </w:numPr>
        <w:spacing w:after="120" w:line="240" w:lineRule="auto"/>
        <w:ind w:left="714" w:hanging="357"/>
        <w:contextualSpacing w:val="0"/>
        <w:jc w:val="both"/>
      </w:pPr>
      <w:r>
        <w:t>Z</w:t>
      </w:r>
      <w:r w:rsidR="00BB245D">
        <w:t>ástupců zastřešujících organizací a firem z</w:t>
      </w:r>
      <w:r w:rsidR="00E91488">
        <w:t xml:space="preserve"> výše uvedených </w:t>
      </w:r>
      <w:r w:rsidR="00BB245D">
        <w:t>odvětví (</w:t>
      </w:r>
      <w:r w:rsidR="00FF1F00">
        <w:t>n</w:t>
      </w:r>
      <w:r w:rsidR="00BB245D">
        <w:t>apř. Svaz průmyslu a dopravy</w:t>
      </w:r>
      <w:r w:rsidR="00FF1F00">
        <w:t xml:space="preserve"> ČR</w:t>
      </w:r>
      <w:r w:rsidR="00BB245D">
        <w:t xml:space="preserve">, </w:t>
      </w:r>
      <w:r w:rsidR="0064778F" w:rsidRPr="004F3F2F">
        <w:t>Komora obnovitelných zdrojů energie</w:t>
      </w:r>
      <w:r w:rsidR="0064778F">
        <w:t xml:space="preserve">, </w:t>
      </w:r>
      <w:r w:rsidR="0064778F" w:rsidRPr="00FB13CA">
        <w:t>Teplárenské sdružení ČR</w:t>
      </w:r>
      <w:r w:rsidR="0064778F">
        <w:t>, Český plynárenský svaz</w:t>
      </w:r>
      <w:r w:rsidR="00BB245D">
        <w:t>,</w:t>
      </w:r>
      <w:r w:rsidR="00BB245D" w:rsidRPr="00DF7682">
        <w:t xml:space="preserve"> </w:t>
      </w:r>
      <w:r w:rsidR="00BB245D">
        <w:t>apod.).</w:t>
      </w:r>
      <w:r w:rsidR="00BB245D" w:rsidRPr="00BB245D">
        <w:t xml:space="preserve"> </w:t>
      </w:r>
    </w:p>
    <w:p w14:paraId="78A0FECA" w14:textId="77777777" w:rsidR="00E91488" w:rsidRDefault="00E91488" w:rsidP="00F46FDA">
      <w:pPr>
        <w:spacing w:after="120" w:line="240" w:lineRule="auto"/>
        <w:jc w:val="both"/>
      </w:pPr>
      <w:r>
        <w:t>Fokusní skupiny s</w:t>
      </w:r>
      <w:r w:rsidRPr="00E91488">
        <w:t xml:space="preserve">e zúčastní </w:t>
      </w:r>
      <w:r w:rsidR="00387B30">
        <w:t>přibližně 5</w:t>
      </w:r>
      <w:r w:rsidRPr="00E91488">
        <w:t xml:space="preserve"> – </w:t>
      </w:r>
      <w:r>
        <w:t>8</w:t>
      </w:r>
      <w:r w:rsidRPr="00E91488">
        <w:t xml:space="preserve"> účastníků.</w:t>
      </w:r>
    </w:p>
    <w:p w14:paraId="535B75DB" w14:textId="77777777" w:rsidR="00E6687F" w:rsidRPr="00CE7B5B" w:rsidRDefault="00E6687F" w:rsidP="00F46FDA">
      <w:pPr>
        <w:spacing w:before="240" w:after="120" w:line="240" w:lineRule="auto"/>
        <w:rPr>
          <w:b/>
          <w:color w:val="012169" w:themeColor="accent4"/>
        </w:rPr>
      </w:pPr>
      <w:r w:rsidRPr="00CE7B5B">
        <w:rPr>
          <w:b/>
          <w:color w:val="012169" w:themeColor="accent4"/>
        </w:rPr>
        <w:t>Dílčí harmonogram</w:t>
      </w:r>
    </w:p>
    <w:p w14:paraId="76C530BE" w14:textId="77777777" w:rsidR="00E6687F" w:rsidRDefault="00E6687F" w:rsidP="00F46FDA">
      <w:pPr>
        <w:spacing w:line="240" w:lineRule="auto"/>
        <w:jc w:val="both"/>
      </w:pPr>
      <w:r w:rsidRPr="00BC7275">
        <w:t xml:space="preserve">V rámci realizace </w:t>
      </w:r>
      <w:r>
        <w:t>FS</w:t>
      </w:r>
      <w:r w:rsidRPr="00BC7275">
        <w:t xml:space="preserve"> podnikne Dodavatel tyto klíčové kroky, přičemž u některých z nich bude od Za</w:t>
      </w:r>
      <w:r>
        <w:t>davatele potřebovat součinnost.</w:t>
      </w:r>
    </w:p>
    <w:p w14:paraId="05EBCF3B" w14:textId="77777777" w:rsidR="00E6687F" w:rsidRDefault="00E6687F" w:rsidP="00F46FDA">
      <w:pPr>
        <w:pStyle w:val="Caption"/>
        <w:spacing w:before="240" w:after="120"/>
        <w:jc w:val="center"/>
      </w:pPr>
      <w:bookmarkStart w:id="27" w:name="_Toc24384737"/>
      <w:r>
        <w:t xml:space="preserve">Tabulka </w:t>
      </w:r>
      <w:r>
        <w:fldChar w:fldCharType="begin"/>
      </w:r>
      <w:r>
        <w:instrText xml:space="preserve"> SEQ Tabulka \* ARABIC </w:instrText>
      </w:r>
      <w:r>
        <w:fldChar w:fldCharType="separate"/>
      </w:r>
      <w:r w:rsidR="00AB39A7">
        <w:rPr>
          <w:noProof/>
        </w:rPr>
        <w:t>4</w:t>
      </w:r>
      <w:r>
        <w:fldChar w:fldCharType="end"/>
      </w:r>
      <w:r>
        <w:t>: Harmonogram fokusní skupiny</w:t>
      </w:r>
      <w:bookmarkEnd w:id="27"/>
    </w:p>
    <w:tbl>
      <w:tblPr>
        <w:tblStyle w:val="Deloittetable11"/>
        <w:tblW w:w="4997" w:type="pct"/>
        <w:tblBorders>
          <w:bottom w:val="single" w:sz="4" w:space="0" w:color="86BC25" w:themeColor="accent1"/>
          <w:insideH w:val="single" w:sz="4" w:space="0" w:color="86BC25" w:themeColor="accent1"/>
        </w:tblBorders>
        <w:tblCellMar>
          <w:top w:w="0" w:type="dxa"/>
          <w:left w:w="108" w:type="dxa"/>
          <w:bottom w:w="0" w:type="dxa"/>
          <w:right w:w="108" w:type="dxa"/>
        </w:tblCellMar>
        <w:tblLook w:val="04A0" w:firstRow="1" w:lastRow="0" w:firstColumn="1" w:lastColumn="0" w:noHBand="0" w:noVBand="1"/>
      </w:tblPr>
      <w:tblGrid>
        <w:gridCol w:w="447"/>
        <w:gridCol w:w="4253"/>
        <w:gridCol w:w="1548"/>
        <w:gridCol w:w="1474"/>
        <w:gridCol w:w="1343"/>
      </w:tblGrid>
      <w:tr w:rsidR="00E6687F" w:rsidRPr="00BC7275" w14:paraId="7B5D794F" w14:textId="77777777" w:rsidTr="00E13A3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46" w:type="pct"/>
            <w:shd w:val="clear" w:color="auto" w:fill="86BC25" w:themeFill="accent1"/>
          </w:tcPr>
          <w:p w14:paraId="4279B49E" w14:textId="77777777" w:rsidR="00E6687F" w:rsidRPr="00BC7275" w:rsidRDefault="00E6687F" w:rsidP="00F46FDA">
            <w:pPr>
              <w:spacing w:after="0" w:line="240" w:lineRule="auto"/>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Č</w:t>
            </w:r>
          </w:p>
        </w:tc>
        <w:tc>
          <w:tcPr>
            <w:tcW w:w="2346" w:type="pct"/>
            <w:shd w:val="clear" w:color="auto" w:fill="86BC25" w:themeFill="accent1"/>
          </w:tcPr>
          <w:p w14:paraId="5212F55A" w14:textId="77777777" w:rsidR="00E6687F" w:rsidRPr="00BC7275" w:rsidRDefault="00E6687F"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Aktivita</w:t>
            </w:r>
          </w:p>
        </w:tc>
        <w:tc>
          <w:tcPr>
            <w:tcW w:w="854" w:type="pct"/>
            <w:shd w:val="clear" w:color="auto" w:fill="86BC25" w:themeFill="accent1"/>
          </w:tcPr>
          <w:p w14:paraId="3C5B6360" w14:textId="77777777" w:rsidR="00E6687F" w:rsidRPr="00BC7275" w:rsidRDefault="00E6687F" w:rsidP="00F46F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Odpovědnost</w:t>
            </w:r>
          </w:p>
        </w:tc>
        <w:tc>
          <w:tcPr>
            <w:tcW w:w="813" w:type="pct"/>
            <w:shd w:val="clear" w:color="auto" w:fill="86BC25" w:themeFill="accent1"/>
          </w:tcPr>
          <w:p w14:paraId="19002003" w14:textId="77777777" w:rsidR="00E6687F" w:rsidRPr="00BC7275" w:rsidRDefault="00E6687F" w:rsidP="00F46F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Termín</w:t>
            </w:r>
            <w:r w:rsidR="00E260CA">
              <w:rPr>
                <w:rFonts w:eastAsia="Times New Roman" w:cs="Arial"/>
                <w:bCs/>
                <w:color w:val="FFFFFF" w:themeColor="background1"/>
                <w:szCs w:val="18"/>
                <w:lang w:eastAsia="cs-CZ"/>
              </w:rPr>
              <w:t xml:space="preserve"> (do)</w:t>
            </w:r>
          </w:p>
        </w:tc>
        <w:tc>
          <w:tcPr>
            <w:tcW w:w="741" w:type="pct"/>
            <w:shd w:val="clear" w:color="auto" w:fill="86BC25" w:themeFill="accent1"/>
          </w:tcPr>
          <w:p w14:paraId="34D8C72B" w14:textId="77777777" w:rsidR="00E6687F" w:rsidRPr="00BC7275" w:rsidRDefault="00E6687F"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Náročnost</w:t>
            </w:r>
          </w:p>
        </w:tc>
      </w:tr>
      <w:tr w:rsidR="00E6687F" w:rsidRPr="00BC7275" w14:paraId="759D7533"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4C03D0D9" w14:textId="77777777" w:rsidR="00E6687F" w:rsidRPr="00BC7275" w:rsidRDefault="00E6687F" w:rsidP="00F46FDA">
            <w:pPr>
              <w:spacing w:after="0" w:line="240" w:lineRule="auto"/>
              <w:rPr>
                <w:rFonts w:asciiTheme="majorHAnsi" w:hAnsiTheme="majorHAnsi" w:cs="Calibri"/>
                <w:color w:val="000000"/>
                <w:szCs w:val="18"/>
                <w:lang w:eastAsia="cs-CZ"/>
              </w:rPr>
            </w:pPr>
            <w:r w:rsidRPr="00BC7275">
              <w:rPr>
                <w:rFonts w:eastAsia="Times New Roman" w:cs="Calibri"/>
                <w:color w:val="000000"/>
                <w:szCs w:val="18"/>
                <w:lang w:eastAsia="cs-CZ"/>
              </w:rPr>
              <w:t>1</w:t>
            </w:r>
          </w:p>
        </w:tc>
        <w:tc>
          <w:tcPr>
            <w:tcW w:w="2346" w:type="pct"/>
            <w:vAlign w:val="center"/>
          </w:tcPr>
          <w:p w14:paraId="496FE621" w14:textId="77777777" w:rsidR="00E6687F" w:rsidRPr="00BC7275" w:rsidRDefault="00960DA7" w:rsidP="00960DA7">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 xml:space="preserve">Příprava fokusních skupin </w:t>
            </w:r>
            <w:r w:rsidR="002E223C">
              <w:rPr>
                <w:color w:val="000000"/>
                <w:szCs w:val="18"/>
              </w:rPr>
              <w:br/>
            </w:r>
            <w:r w:rsidRPr="00960DA7">
              <w:rPr>
                <w:color w:val="000000"/>
                <w:szCs w:val="18"/>
              </w:rPr>
              <w:t>(návrh scénáře a seznamu respondentů</w:t>
            </w:r>
            <w:r>
              <w:rPr>
                <w:color w:val="000000"/>
                <w:szCs w:val="18"/>
              </w:rPr>
              <w:t>)</w:t>
            </w:r>
          </w:p>
        </w:tc>
        <w:tc>
          <w:tcPr>
            <w:tcW w:w="854" w:type="pct"/>
            <w:vAlign w:val="center"/>
          </w:tcPr>
          <w:p w14:paraId="64DC5CE6" w14:textId="77777777" w:rsidR="00E6687F" w:rsidRPr="00BC7275" w:rsidRDefault="00E6687F"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Deloitte</w:t>
            </w:r>
          </w:p>
        </w:tc>
        <w:tc>
          <w:tcPr>
            <w:tcW w:w="813" w:type="pct"/>
            <w:vAlign w:val="center"/>
          </w:tcPr>
          <w:p w14:paraId="74E4C662" w14:textId="795A4593" w:rsidR="00E6687F" w:rsidRPr="00960DA7" w:rsidRDefault="00791090" w:rsidP="00960D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10</w:t>
            </w:r>
            <w:r w:rsidR="00960DA7">
              <w:rPr>
                <w:rFonts w:asciiTheme="majorHAnsi" w:hAnsiTheme="majorHAnsi" w:cs="Calibri"/>
                <w:color w:val="000000"/>
                <w:szCs w:val="18"/>
                <w:lang w:eastAsia="cs-CZ"/>
              </w:rPr>
              <w:t>. 4. 2020</w:t>
            </w:r>
          </w:p>
        </w:tc>
        <w:tc>
          <w:tcPr>
            <w:tcW w:w="741" w:type="pct"/>
            <w:shd w:val="clear" w:color="auto" w:fill="auto"/>
            <w:vAlign w:val="center"/>
          </w:tcPr>
          <w:p w14:paraId="079B8DD9" w14:textId="77777777" w:rsidR="00E6687F" w:rsidRPr="00BC7275" w:rsidRDefault="00E6687F"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6687F" w:rsidRPr="00BC7275" w14:paraId="73C6FFBA"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34A62EA6" w14:textId="77777777" w:rsidR="00E6687F" w:rsidRPr="00BC7275" w:rsidRDefault="00E6687F" w:rsidP="00F46FDA">
            <w:pPr>
              <w:spacing w:after="0" w:line="240" w:lineRule="auto"/>
              <w:rPr>
                <w:rFonts w:asciiTheme="majorHAnsi" w:hAnsiTheme="majorHAnsi" w:cs="Calibri"/>
                <w:color w:val="000000"/>
                <w:szCs w:val="18"/>
                <w:lang w:eastAsia="cs-CZ"/>
              </w:rPr>
            </w:pPr>
            <w:r w:rsidRPr="00BC7275">
              <w:rPr>
                <w:rFonts w:eastAsia="Times New Roman" w:cs="Calibri"/>
                <w:color w:val="000000"/>
                <w:szCs w:val="18"/>
                <w:lang w:eastAsia="cs-CZ"/>
              </w:rPr>
              <w:t>2</w:t>
            </w:r>
          </w:p>
        </w:tc>
        <w:tc>
          <w:tcPr>
            <w:tcW w:w="2346" w:type="pct"/>
            <w:vAlign w:val="center"/>
          </w:tcPr>
          <w:p w14:paraId="6658595D" w14:textId="77777777" w:rsidR="00E6687F" w:rsidRPr="00BC7275" w:rsidRDefault="00E6687F" w:rsidP="00F53F0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 xml:space="preserve">Validace </w:t>
            </w:r>
            <w:r w:rsidR="002E223C">
              <w:rPr>
                <w:color w:val="000000"/>
                <w:szCs w:val="18"/>
              </w:rPr>
              <w:t xml:space="preserve">scénáře, </w:t>
            </w:r>
            <w:r>
              <w:rPr>
                <w:color w:val="000000"/>
                <w:szCs w:val="18"/>
              </w:rPr>
              <w:t xml:space="preserve">seznamu </w:t>
            </w:r>
            <w:r w:rsidR="00F53F0A">
              <w:rPr>
                <w:color w:val="000000"/>
                <w:szCs w:val="18"/>
              </w:rPr>
              <w:t xml:space="preserve">respondentů </w:t>
            </w:r>
            <w:r w:rsidR="002E223C">
              <w:rPr>
                <w:color w:val="000000"/>
                <w:szCs w:val="18"/>
              </w:rPr>
              <w:t>a </w:t>
            </w:r>
            <w:r w:rsidRPr="00BC7275">
              <w:rPr>
                <w:color w:val="000000"/>
                <w:szCs w:val="18"/>
              </w:rPr>
              <w:t>předání kontaktů</w:t>
            </w:r>
          </w:p>
        </w:tc>
        <w:tc>
          <w:tcPr>
            <w:tcW w:w="854" w:type="pct"/>
            <w:vAlign w:val="center"/>
          </w:tcPr>
          <w:p w14:paraId="6669346D" w14:textId="77777777" w:rsidR="00E6687F" w:rsidRPr="00BC7275" w:rsidRDefault="00E6687F"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MPO</w:t>
            </w:r>
          </w:p>
        </w:tc>
        <w:tc>
          <w:tcPr>
            <w:tcW w:w="813" w:type="pct"/>
            <w:vAlign w:val="center"/>
          </w:tcPr>
          <w:p w14:paraId="6D0D2C29" w14:textId="172C1CBB" w:rsidR="00E6687F" w:rsidRPr="00BC7275" w:rsidRDefault="002E223C" w:rsidP="00960D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w:t>
            </w:r>
            <w:r w:rsidR="00791090">
              <w:rPr>
                <w:rFonts w:asciiTheme="majorHAnsi" w:hAnsiTheme="majorHAnsi" w:cs="Calibri"/>
                <w:color w:val="000000"/>
                <w:szCs w:val="18"/>
                <w:lang w:eastAsia="cs-CZ"/>
              </w:rPr>
              <w:t>7</w:t>
            </w:r>
            <w:r>
              <w:rPr>
                <w:rFonts w:asciiTheme="majorHAnsi" w:hAnsiTheme="majorHAnsi" w:cs="Calibri"/>
                <w:color w:val="000000"/>
                <w:szCs w:val="18"/>
                <w:lang w:eastAsia="cs-CZ"/>
              </w:rPr>
              <w:t>. 4. 2020</w:t>
            </w:r>
          </w:p>
        </w:tc>
        <w:tc>
          <w:tcPr>
            <w:tcW w:w="741" w:type="pct"/>
            <w:shd w:val="clear" w:color="auto" w:fill="FFC000"/>
            <w:vAlign w:val="center"/>
          </w:tcPr>
          <w:p w14:paraId="2D6416AF" w14:textId="77777777" w:rsidR="00E6687F" w:rsidRPr="00BC7275" w:rsidRDefault="002E223C"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střední</w:t>
            </w:r>
          </w:p>
        </w:tc>
      </w:tr>
      <w:tr w:rsidR="00E6687F" w:rsidRPr="00BC7275" w14:paraId="529C65E2"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344D7FB4" w14:textId="77777777" w:rsidR="00E6687F" w:rsidRPr="00BC7275" w:rsidRDefault="00E260CA"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3</w:t>
            </w:r>
          </w:p>
        </w:tc>
        <w:tc>
          <w:tcPr>
            <w:tcW w:w="2346" w:type="pct"/>
            <w:vAlign w:val="center"/>
          </w:tcPr>
          <w:p w14:paraId="1C28DD0E" w14:textId="1256DD05" w:rsidR="00E6687F" w:rsidRPr="00BC7275" w:rsidRDefault="00D00492"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Organizace</w:t>
            </w:r>
            <w:r w:rsidRPr="00BC7275">
              <w:rPr>
                <w:color w:val="000000"/>
                <w:szCs w:val="18"/>
              </w:rPr>
              <w:t xml:space="preserve"> </w:t>
            </w:r>
            <w:r w:rsidR="00E6687F">
              <w:rPr>
                <w:color w:val="000000"/>
                <w:szCs w:val="18"/>
              </w:rPr>
              <w:t>fokusní skupiny a oslovení účastníků</w:t>
            </w:r>
          </w:p>
        </w:tc>
        <w:tc>
          <w:tcPr>
            <w:tcW w:w="854" w:type="pct"/>
            <w:vAlign w:val="center"/>
          </w:tcPr>
          <w:p w14:paraId="66B5328F" w14:textId="77777777" w:rsidR="00E6687F" w:rsidRPr="00BC7275" w:rsidRDefault="00E6687F"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813" w:type="pct"/>
            <w:vAlign w:val="center"/>
          </w:tcPr>
          <w:p w14:paraId="506174EF" w14:textId="2969CD4D" w:rsidR="00E6687F" w:rsidRPr="00BC7275" w:rsidRDefault="00791090" w:rsidP="00960D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24</w:t>
            </w:r>
            <w:r w:rsidR="002E223C">
              <w:rPr>
                <w:rFonts w:asciiTheme="majorHAnsi" w:hAnsiTheme="majorHAnsi" w:cs="Calibri"/>
                <w:color w:val="000000"/>
                <w:szCs w:val="18"/>
                <w:lang w:eastAsia="cs-CZ"/>
              </w:rPr>
              <w:t>. 4. 2020</w:t>
            </w:r>
          </w:p>
        </w:tc>
        <w:tc>
          <w:tcPr>
            <w:tcW w:w="741" w:type="pct"/>
            <w:shd w:val="clear" w:color="auto" w:fill="auto"/>
            <w:vAlign w:val="center"/>
          </w:tcPr>
          <w:p w14:paraId="45CFDE9F" w14:textId="77777777" w:rsidR="00E6687F" w:rsidRPr="00BC7275" w:rsidRDefault="00E6687F"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6687F" w:rsidRPr="00BC7275" w14:paraId="37CD781F"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54FD6D10" w14:textId="77777777" w:rsidR="00E6687F" w:rsidRPr="00BC7275" w:rsidRDefault="00E260CA"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4</w:t>
            </w:r>
          </w:p>
        </w:tc>
        <w:tc>
          <w:tcPr>
            <w:tcW w:w="2346" w:type="pct"/>
            <w:vAlign w:val="center"/>
          </w:tcPr>
          <w:p w14:paraId="194DD01D" w14:textId="77777777" w:rsidR="00E6687F" w:rsidRPr="00BC7275" w:rsidRDefault="00E6687F"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Realizace </w:t>
            </w:r>
            <w:r>
              <w:rPr>
                <w:color w:val="000000"/>
                <w:szCs w:val="18"/>
              </w:rPr>
              <w:t>fokusní skupiny</w:t>
            </w:r>
          </w:p>
        </w:tc>
        <w:tc>
          <w:tcPr>
            <w:tcW w:w="854" w:type="pct"/>
            <w:vAlign w:val="center"/>
          </w:tcPr>
          <w:p w14:paraId="59359F15" w14:textId="77777777" w:rsidR="00E6687F" w:rsidRPr="00BC7275" w:rsidRDefault="00E6687F"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813" w:type="pct"/>
            <w:vAlign w:val="center"/>
          </w:tcPr>
          <w:p w14:paraId="7924CB75" w14:textId="77777777" w:rsidR="00E6687F" w:rsidRPr="00BC7275" w:rsidRDefault="002E223C" w:rsidP="00960D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22. 5. 2020</w:t>
            </w:r>
          </w:p>
        </w:tc>
        <w:tc>
          <w:tcPr>
            <w:tcW w:w="741" w:type="pct"/>
            <w:shd w:val="clear" w:color="auto" w:fill="auto"/>
            <w:vAlign w:val="center"/>
          </w:tcPr>
          <w:p w14:paraId="139E37C0" w14:textId="77777777" w:rsidR="00E6687F" w:rsidRPr="00BC7275" w:rsidRDefault="00E6687F"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6687F" w:rsidRPr="00BC7275" w14:paraId="27AB89F1"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60862004" w14:textId="77777777" w:rsidR="00E6687F" w:rsidRPr="00BC7275" w:rsidRDefault="00E260CA" w:rsidP="00F46FDA">
            <w:pPr>
              <w:spacing w:after="0" w:line="240" w:lineRule="auto"/>
              <w:rPr>
                <w:rFonts w:eastAsia="Times New Roman" w:cs="Calibri"/>
                <w:color w:val="000000"/>
                <w:szCs w:val="18"/>
                <w:lang w:eastAsia="cs-CZ"/>
              </w:rPr>
            </w:pPr>
            <w:r>
              <w:rPr>
                <w:rFonts w:eastAsia="Times New Roman" w:cs="Calibri"/>
                <w:color w:val="000000"/>
                <w:szCs w:val="18"/>
                <w:lang w:eastAsia="cs-CZ"/>
              </w:rPr>
              <w:t>5</w:t>
            </w:r>
          </w:p>
        </w:tc>
        <w:tc>
          <w:tcPr>
            <w:tcW w:w="2346" w:type="pct"/>
            <w:vAlign w:val="center"/>
          </w:tcPr>
          <w:p w14:paraId="148722BB" w14:textId="77777777" w:rsidR="00E6687F" w:rsidRPr="00BC7275" w:rsidRDefault="00E6687F" w:rsidP="00F46FD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Vyhodnocení výstupů</w:t>
            </w:r>
          </w:p>
        </w:tc>
        <w:tc>
          <w:tcPr>
            <w:tcW w:w="854" w:type="pct"/>
            <w:vAlign w:val="center"/>
          </w:tcPr>
          <w:p w14:paraId="1F4C1B47" w14:textId="77777777" w:rsidR="00E6687F" w:rsidRPr="00BC7275" w:rsidRDefault="00E6687F"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813" w:type="pct"/>
            <w:vAlign w:val="center"/>
          </w:tcPr>
          <w:p w14:paraId="45BF473D" w14:textId="77777777" w:rsidR="00E6687F" w:rsidRPr="00BC7275" w:rsidRDefault="002E223C" w:rsidP="00960D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29. 5. 2020</w:t>
            </w:r>
          </w:p>
        </w:tc>
        <w:tc>
          <w:tcPr>
            <w:tcW w:w="741" w:type="pct"/>
            <w:shd w:val="clear" w:color="auto" w:fill="auto"/>
            <w:vAlign w:val="center"/>
          </w:tcPr>
          <w:p w14:paraId="561CBDD5" w14:textId="77777777" w:rsidR="00E6687F" w:rsidRPr="00BC7275" w:rsidRDefault="00E6687F"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415A7A63" w14:textId="77777777" w:rsidR="00325487" w:rsidRDefault="00325487" w:rsidP="00F46FDA">
      <w:pPr>
        <w:pStyle w:val="Heading2"/>
        <w:spacing w:line="240" w:lineRule="auto"/>
      </w:pPr>
      <w:bookmarkStart w:id="28" w:name="_Toc37248822"/>
      <w:r>
        <w:t>Individuální hloubkové rozhovory</w:t>
      </w:r>
      <w:bookmarkEnd w:id="25"/>
      <w:bookmarkEnd w:id="28"/>
      <w:r>
        <w:t xml:space="preserve"> </w:t>
      </w:r>
    </w:p>
    <w:p w14:paraId="47160DCB" w14:textId="77777777" w:rsidR="00325487" w:rsidRDefault="00325487" w:rsidP="00F46FDA">
      <w:pPr>
        <w:spacing w:before="240" w:after="120" w:line="240" w:lineRule="auto"/>
        <w:rPr>
          <w:b/>
          <w:color w:val="012169" w:themeColor="accent4"/>
        </w:rPr>
      </w:pPr>
      <w:r w:rsidRPr="00800ACB">
        <w:rPr>
          <w:b/>
          <w:color w:val="012169" w:themeColor="accent4"/>
        </w:rPr>
        <w:t>Způsob realizace</w:t>
      </w:r>
    </w:p>
    <w:p w14:paraId="341BF8D1" w14:textId="77777777" w:rsidR="0001245E" w:rsidRDefault="00325487" w:rsidP="00F46FDA">
      <w:pPr>
        <w:spacing w:before="113" w:after="113" w:line="240" w:lineRule="auto"/>
        <w:jc w:val="both"/>
      </w:pPr>
      <w:r w:rsidRPr="00CA1B17">
        <w:t xml:space="preserve">Individuální </w:t>
      </w:r>
      <w:r>
        <w:t>hloubkové</w:t>
      </w:r>
      <w:r w:rsidRPr="00CA1B17">
        <w:t xml:space="preserve"> rozhovory</w:t>
      </w:r>
      <w:r>
        <w:t xml:space="preserve"> </w:t>
      </w:r>
      <w:r w:rsidRPr="00CA1B17">
        <w:t xml:space="preserve">byly navrženy pro </w:t>
      </w:r>
      <w:r w:rsidR="00387B30">
        <w:t xml:space="preserve">zodpovězení </w:t>
      </w:r>
      <w:r w:rsidR="0001245E">
        <w:t>analytick</w:t>
      </w:r>
      <w:r w:rsidR="00387B30">
        <w:t>ých</w:t>
      </w:r>
      <w:r w:rsidR="0001245E">
        <w:t xml:space="preserve"> otáz</w:t>
      </w:r>
      <w:r w:rsidR="00387B30">
        <w:t>ek</w:t>
      </w:r>
      <w:r w:rsidR="0001245E">
        <w:t xml:space="preserve"> 2, 3 a 4</w:t>
      </w:r>
      <w:r>
        <w:t xml:space="preserve">. </w:t>
      </w:r>
      <w:r w:rsidR="0001245E">
        <w:t xml:space="preserve">Rozhovory především </w:t>
      </w:r>
      <w:r w:rsidR="0001245E" w:rsidRPr="0001245E">
        <w:t>s poskytovateli grantového a jiného financování (tj. subjekty nabídky finančních zdrojů)</w:t>
      </w:r>
      <w:r w:rsidR="00387B30">
        <w:t xml:space="preserve">, </w:t>
      </w:r>
      <w:r w:rsidR="00387B30" w:rsidRPr="00A372F6">
        <w:t xml:space="preserve">zástupci Svazu měst a obcí, případně zástupců rozvojových a investičních odborů krajských </w:t>
      </w:r>
      <w:r w:rsidR="00387B30" w:rsidRPr="00E13A3D">
        <w:t>samospráv</w:t>
      </w:r>
      <w:r w:rsidR="0001245E" w:rsidRPr="0001245E">
        <w:t xml:space="preserve"> a dalšími experty na oblast </w:t>
      </w:r>
      <w:r w:rsidR="0064778F">
        <w:rPr>
          <w:szCs w:val="18"/>
        </w:rPr>
        <w:t>posunu k nízkouhlíkovému hospodářství</w:t>
      </w:r>
      <w:r w:rsidR="0064778F" w:rsidRPr="0001245E">
        <w:t xml:space="preserve"> </w:t>
      </w:r>
      <w:r w:rsidR="0001245E" w:rsidRPr="0001245E">
        <w:t xml:space="preserve">a jejich financování </w:t>
      </w:r>
      <w:r w:rsidR="0001245E">
        <w:t xml:space="preserve">budou realizovány v průběhu celé II. etapy projektu, případně také na začátku III. etapy </w:t>
      </w:r>
      <w:r w:rsidR="0001245E">
        <w:lastRenderedPageBreak/>
        <w:t>(doplňující IHR) a budou tak sloužit jako vstupy pro jiné evaluační metody, ale zároveň budou jejich prostřednictvím diskutována zjištění jiných evaluačních metod (především analýzy sekundárních dat a DŠ).</w:t>
      </w:r>
    </w:p>
    <w:p w14:paraId="30253C20" w14:textId="77777777" w:rsidR="009F2C3D" w:rsidRDefault="00D00B79" w:rsidP="00F46FDA">
      <w:pPr>
        <w:spacing w:after="120" w:line="240" w:lineRule="auto"/>
        <w:jc w:val="both"/>
      </w:pPr>
      <w:r>
        <w:t xml:space="preserve">Cílem hloubkových rozhovorů je </w:t>
      </w:r>
      <w:r w:rsidR="009F2C3D">
        <w:t>především:</w:t>
      </w:r>
    </w:p>
    <w:p w14:paraId="1F805512" w14:textId="77777777" w:rsidR="009247BB" w:rsidRDefault="009247BB" w:rsidP="00F46FDA">
      <w:pPr>
        <w:pStyle w:val="ListParagraph"/>
        <w:numPr>
          <w:ilvl w:val="0"/>
          <w:numId w:val="24"/>
        </w:numPr>
        <w:spacing w:after="120" w:line="240" w:lineRule="auto"/>
        <w:ind w:left="714" w:hanging="357"/>
        <w:contextualSpacing w:val="0"/>
        <w:jc w:val="both"/>
      </w:pPr>
      <w:r>
        <w:t>Identifikace bariér na straně nabídky</w:t>
      </w:r>
      <w:r w:rsidR="00174504">
        <w:t>;</w:t>
      </w:r>
    </w:p>
    <w:p w14:paraId="194C44EB" w14:textId="77777777" w:rsidR="009F2C3D" w:rsidRDefault="009F2C3D" w:rsidP="00F46FDA">
      <w:pPr>
        <w:pStyle w:val="ListParagraph"/>
        <w:numPr>
          <w:ilvl w:val="0"/>
          <w:numId w:val="24"/>
        </w:numPr>
        <w:spacing w:after="120" w:line="240" w:lineRule="auto"/>
        <w:ind w:left="714" w:hanging="357"/>
        <w:contextualSpacing w:val="0"/>
        <w:jc w:val="both"/>
      </w:pPr>
      <w:r>
        <w:t>H</w:t>
      </w:r>
      <w:r w:rsidR="00D00B79">
        <w:t>lubší analýza a popis návrhů řešení předcházení a minimalizace identifikovaných bariér na straně poptávky a nabídky</w:t>
      </w:r>
      <w:r>
        <w:t>;</w:t>
      </w:r>
    </w:p>
    <w:p w14:paraId="1DFCB9C0" w14:textId="77777777" w:rsidR="009F2C3D" w:rsidRDefault="00D00B79" w:rsidP="00F46FDA">
      <w:pPr>
        <w:pStyle w:val="ListParagraph"/>
        <w:numPr>
          <w:ilvl w:val="0"/>
          <w:numId w:val="24"/>
        </w:numPr>
        <w:spacing w:after="120" w:line="240" w:lineRule="auto"/>
        <w:ind w:left="714" w:hanging="357"/>
        <w:contextualSpacing w:val="0"/>
        <w:jc w:val="both"/>
      </w:pPr>
      <w:r>
        <w:t xml:space="preserve">Reflexe dosavadních zkušeností s podporou podnikatelů a přenositelnost těchto zkušeností do sektoru </w:t>
      </w:r>
      <w:r w:rsidR="00052286" w:rsidRPr="001B11C7">
        <w:t>energetiky</w:t>
      </w:r>
      <w:r>
        <w:t xml:space="preserve"> a oblasti </w:t>
      </w:r>
      <w:r w:rsidR="00052286">
        <w:rPr>
          <w:szCs w:val="18"/>
        </w:rPr>
        <w:t>posunu k nízkouhlíkovému hospodářství</w:t>
      </w:r>
      <w:r>
        <w:t xml:space="preserve"> po roce 2021</w:t>
      </w:r>
      <w:r w:rsidR="009F2C3D">
        <w:t>;</w:t>
      </w:r>
    </w:p>
    <w:p w14:paraId="036EAE14" w14:textId="77777777" w:rsidR="00CE426B" w:rsidRDefault="009F2C3D" w:rsidP="00F46FDA">
      <w:pPr>
        <w:pStyle w:val="ListParagraph"/>
        <w:numPr>
          <w:ilvl w:val="0"/>
          <w:numId w:val="24"/>
        </w:numPr>
        <w:spacing w:after="120" w:line="240" w:lineRule="auto"/>
        <w:ind w:left="714" w:hanging="357"/>
        <w:contextualSpacing w:val="0"/>
        <w:jc w:val="both"/>
      </w:pPr>
      <w:r>
        <w:t>Zma</w:t>
      </w:r>
      <w:r w:rsidR="00D00B79">
        <w:t>pov</w:t>
      </w:r>
      <w:r>
        <w:t>ání</w:t>
      </w:r>
      <w:r w:rsidR="00D00B79">
        <w:t xml:space="preserve"> vliv</w:t>
      </w:r>
      <w:r>
        <w:t>u</w:t>
      </w:r>
      <w:r w:rsidR="00D00B79">
        <w:t xml:space="preserve"> regionů na výskyt a důvody tržního selhání či sub</w:t>
      </w:r>
      <w:r>
        <w:t>-</w:t>
      </w:r>
      <w:r w:rsidR="00D00B79">
        <w:t>o</w:t>
      </w:r>
      <w:r>
        <w:t>ptimálních investičních situací;</w:t>
      </w:r>
      <w:r w:rsidR="00CE426B">
        <w:t xml:space="preserve"> </w:t>
      </w:r>
    </w:p>
    <w:p w14:paraId="4818F900" w14:textId="77777777" w:rsidR="009F2C3D" w:rsidRPr="00CE426B" w:rsidRDefault="009F2C3D" w:rsidP="00F46FDA">
      <w:pPr>
        <w:pStyle w:val="ListParagraph"/>
        <w:numPr>
          <w:ilvl w:val="0"/>
          <w:numId w:val="24"/>
        </w:numPr>
        <w:spacing w:after="120" w:line="240" w:lineRule="auto"/>
        <w:ind w:left="714" w:hanging="357"/>
        <w:contextualSpacing w:val="0"/>
        <w:jc w:val="both"/>
      </w:pPr>
      <w:r>
        <w:t>I</w:t>
      </w:r>
      <w:r w:rsidR="00D00B79">
        <w:t>dentifik</w:t>
      </w:r>
      <w:r>
        <w:t xml:space="preserve">ace </w:t>
      </w:r>
      <w:r w:rsidR="00D00B79">
        <w:t>a anal</w:t>
      </w:r>
      <w:r>
        <w:t>ý</w:t>
      </w:r>
      <w:r w:rsidR="00D00B79">
        <w:t>z</w:t>
      </w:r>
      <w:r>
        <w:t xml:space="preserve">a </w:t>
      </w:r>
      <w:r w:rsidR="00D00B79">
        <w:t>výhod, limit</w:t>
      </w:r>
      <w:r>
        <w:t>ů</w:t>
      </w:r>
      <w:r w:rsidR="00D00B79">
        <w:t xml:space="preserve"> a nevýhod jednotlivých forem podpory pro specifické cílové skupiny a typy projektů či investičních akcí</w:t>
      </w:r>
      <w:r>
        <w:t>;</w:t>
      </w:r>
    </w:p>
    <w:p w14:paraId="011556A3" w14:textId="77777777" w:rsidR="00D00B79" w:rsidRPr="00D00B79" w:rsidRDefault="009F2C3D" w:rsidP="00F46FDA">
      <w:pPr>
        <w:pStyle w:val="ListParagraph"/>
        <w:numPr>
          <w:ilvl w:val="0"/>
          <w:numId w:val="24"/>
        </w:numPr>
        <w:spacing w:after="120" w:line="240" w:lineRule="auto"/>
        <w:ind w:left="714" w:hanging="357"/>
        <w:contextualSpacing w:val="0"/>
        <w:jc w:val="both"/>
        <w:rPr>
          <w:szCs w:val="18"/>
        </w:rPr>
      </w:pPr>
      <w:r>
        <w:t>D</w:t>
      </w:r>
      <w:r w:rsidR="00D00B79">
        <w:t>efin</w:t>
      </w:r>
      <w:r>
        <w:t xml:space="preserve">ice </w:t>
      </w:r>
      <w:r w:rsidR="00D00B79">
        <w:t>podmín</w:t>
      </w:r>
      <w:r>
        <w:t>e</w:t>
      </w:r>
      <w:r w:rsidR="00D00B79">
        <w:t>k a okolnost</w:t>
      </w:r>
      <w:r>
        <w:t>í</w:t>
      </w:r>
      <w:r w:rsidR="00D00B79">
        <w:t xml:space="preserve"> nutn</w:t>
      </w:r>
      <w:r>
        <w:t>ých</w:t>
      </w:r>
      <w:r w:rsidR="00D00B79">
        <w:t xml:space="preserve"> pro ekonomicky smysluplné projekty, včetně návrhu potřebných souvisejících legislativních změn.</w:t>
      </w:r>
    </w:p>
    <w:p w14:paraId="2AA95254" w14:textId="77777777" w:rsidR="00325487" w:rsidRPr="00CA1B17" w:rsidRDefault="00325487" w:rsidP="00F46FDA">
      <w:pPr>
        <w:spacing w:before="113" w:after="113" w:line="240" w:lineRule="auto"/>
        <w:jc w:val="both"/>
        <w:rPr>
          <w:szCs w:val="18"/>
        </w:rPr>
      </w:pPr>
      <w:r w:rsidRPr="00CA1B17">
        <w:rPr>
          <w:szCs w:val="18"/>
        </w:rPr>
        <w:t xml:space="preserve">Dodavatel osloví nominované účastníky, zašle jim pověřovací dopis MPO a dle jejich časových možností si s nimi sjedná osobní schůzku nebo domluví termín pro telefonický rozhovor. </w:t>
      </w:r>
    </w:p>
    <w:p w14:paraId="3CC83350" w14:textId="77777777" w:rsidR="00325487" w:rsidRPr="00800ACB" w:rsidRDefault="00325487" w:rsidP="00F46FDA">
      <w:pPr>
        <w:spacing w:before="113" w:after="113" w:line="240" w:lineRule="auto"/>
        <w:jc w:val="both"/>
        <w:rPr>
          <w:b/>
          <w:color w:val="012169" w:themeColor="accent4"/>
        </w:rPr>
      </w:pPr>
      <w:r>
        <w:rPr>
          <w:b/>
          <w:color w:val="012169" w:themeColor="accent4"/>
        </w:rPr>
        <w:t>Respondenti</w:t>
      </w:r>
    </w:p>
    <w:p w14:paraId="67655E63" w14:textId="77777777" w:rsidR="00325487" w:rsidRDefault="00325487" w:rsidP="00F46FDA">
      <w:pPr>
        <w:spacing w:before="113" w:after="113" w:line="240" w:lineRule="auto"/>
        <w:jc w:val="both"/>
      </w:pPr>
      <w:r w:rsidRPr="00CA1B17">
        <w:t xml:space="preserve">Účastníky </w:t>
      </w:r>
      <w:r>
        <w:t>IHR</w:t>
      </w:r>
      <w:r w:rsidRPr="00CA1B17">
        <w:t xml:space="preserve"> </w:t>
      </w:r>
      <w:r w:rsidR="007E5E4C">
        <w:t xml:space="preserve">budou </w:t>
      </w:r>
      <w:r w:rsidR="00990D45">
        <w:t xml:space="preserve">především </w:t>
      </w:r>
      <w:r w:rsidR="007E5E4C">
        <w:t xml:space="preserve">poskytovatelé grantového a jiného financování a experti na oblast </w:t>
      </w:r>
      <w:r w:rsidR="00052286">
        <w:rPr>
          <w:szCs w:val="18"/>
        </w:rPr>
        <w:t>posunu k nízkouhlíkovému hospodářství</w:t>
      </w:r>
      <w:r w:rsidR="007E5E4C">
        <w:t xml:space="preserve"> a je</w:t>
      </w:r>
      <w:r w:rsidR="00E94CD7">
        <w:t>ho</w:t>
      </w:r>
      <w:r w:rsidR="007E5E4C">
        <w:t xml:space="preserve"> financování</w:t>
      </w:r>
      <w:r w:rsidR="00D35007">
        <w:t xml:space="preserve">, </w:t>
      </w:r>
      <w:r w:rsidR="00990D45">
        <w:t>ale také vybraní zástupci podnikatelských subjektů (viz. tabulka níže).</w:t>
      </w:r>
    </w:p>
    <w:p w14:paraId="36E2E7B6" w14:textId="77777777" w:rsidR="00990D45" w:rsidRDefault="00D33D5F" w:rsidP="00F46FDA">
      <w:pPr>
        <w:pStyle w:val="Caption"/>
        <w:spacing w:before="240" w:after="120"/>
        <w:jc w:val="center"/>
      </w:pPr>
      <w:r>
        <w:t xml:space="preserve">Tabulka </w:t>
      </w:r>
      <w:r>
        <w:fldChar w:fldCharType="begin"/>
      </w:r>
      <w:r>
        <w:instrText xml:space="preserve"> SEQ Tabulka \* ARABIC </w:instrText>
      </w:r>
      <w:r>
        <w:fldChar w:fldCharType="separate"/>
      </w:r>
      <w:r w:rsidR="001A4FDE">
        <w:rPr>
          <w:noProof/>
        </w:rPr>
        <w:t>5</w:t>
      </w:r>
      <w:r>
        <w:fldChar w:fldCharType="end"/>
      </w:r>
      <w:r>
        <w:t>: Přehled organizací respondentů individuálních hloubkových rozhovorů</w:t>
      </w:r>
    </w:p>
    <w:tbl>
      <w:tblPr>
        <w:tblStyle w:val="ListTable3-Accent11"/>
        <w:tblW w:w="0" w:type="auto"/>
        <w:tblBorders>
          <w:top w:val="single" w:sz="4" w:space="0" w:color="00B0F0"/>
          <w:left w:val="none" w:sz="0" w:space="0" w:color="auto"/>
          <w:bottom w:val="single" w:sz="4" w:space="0" w:color="00B0F0"/>
          <w:right w:val="none" w:sz="0" w:space="0" w:color="auto"/>
          <w:insideH w:val="single" w:sz="4" w:space="0" w:color="00B0F0"/>
        </w:tblBorders>
        <w:tblLook w:val="04A0" w:firstRow="1" w:lastRow="0" w:firstColumn="1" w:lastColumn="0" w:noHBand="0" w:noVBand="1"/>
      </w:tblPr>
      <w:tblGrid>
        <w:gridCol w:w="2803"/>
        <w:gridCol w:w="6267"/>
      </w:tblGrid>
      <w:tr w:rsidR="00990D45" w14:paraId="14AD3916" w14:textId="77777777" w:rsidTr="00DF1BBC">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100" w:firstRow="0" w:lastRow="0" w:firstColumn="1" w:lastColumn="0" w:oddVBand="0" w:evenVBand="0" w:oddHBand="0" w:evenHBand="0" w:firstRowFirstColumn="1" w:firstRowLastColumn="0" w:lastRowFirstColumn="0" w:lastRowLastColumn="0"/>
            <w:tcW w:w="2803" w:type="dxa"/>
            <w:tcBorders>
              <w:bottom w:val="none" w:sz="0" w:space="0" w:color="auto"/>
              <w:right w:val="none" w:sz="0" w:space="0" w:color="auto"/>
            </w:tcBorders>
            <w:shd w:val="clear" w:color="auto" w:fill="00B0F0"/>
            <w:vAlign w:val="center"/>
          </w:tcPr>
          <w:p w14:paraId="39E01299" w14:textId="77777777" w:rsidR="00990D45" w:rsidRDefault="00990D45" w:rsidP="00F46FDA">
            <w:pPr>
              <w:spacing w:after="0" w:line="240" w:lineRule="auto"/>
              <w:rPr>
                <w:szCs w:val="18"/>
              </w:rPr>
            </w:pPr>
            <w:r>
              <w:rPr>
                <w:szCs w:val="18"/>
              </w:rPr>
              <w:t>Typ respondenta</w:t>
            </w:r>
          </w:p>
        </w:tc>
        <w:tc>
          <w:tcPr>
            <w:tcW w:w="6267" w:type="dxa"/>
            <w:shd w:val="clear" w:color="auto" w:fill="00B0F0"/>
            <w:vAlign w:val="center"/>
          </w:tcPr>
          <w:p w14:paraId="64365D7C" w14:textId="77777777" w:rsidR="00990D45" w:rsidRDefault="00990D45" w:rsidP="00F46FDA">
            <w:pPr>
              <w:spacing w:after="0" w:line="240" w:lineRule="auto"/>
              <w:cnfStyle w:val="100000000000" w:firstRow="1" w:lastRow="0" w:firstColumn="0" w:lastColumn="0" w:oddVBand="0" w:evenVBand="0" w:oddHBand="0" w:evenHBand="0" w:firstRowFirstColumn="0" w:firstRowLastColumn="0" w:lastRowFirstColumn="0" w:lastRowLastColumn="0"/>
              <w:rPr>
                <w:szCs w:val="18"/>
              </w:rPr>
            </w:pPr>
            <w:r>
              <w:rPr>
                <w:szCs w:val="18"/>
              </w:rPr>
              <w:t>Organizace</w:t>
            </w:r>
          </w:p>
        </w:tc>
      </w:tr>
      <w:tr w:rsidR="00990D45" w14:paraId="7A16AE46"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val="restart"/>
            <w:tcBorders>
              <w:top w:val="none" w:sz="0" w:space="0" w:color="auto"/>
              <w:bottom w:val="none" w:sz="0" w:space="0" w:color="auto"/>
              <w:right w:val="none" w:sz="0" w:space="0" w:color="auto"/>
            </w:tcBorders>
          </w:tcPr>
          <w:p w14:paraId="5473CF11" w14:textId="77777777" w:rsidR="00990D45" w:rsidRDefault="00990D45" w:rsidP="00F46FDA">
            <w:pPr>
              <w:spacing w:after="0" w:line="240" w:lineRule="auto"/>
              <w:rPr>
                <w:szCs w:val="18"/>
              </w:rPr>
            </w:pPr>
            <w:r>
              <w:rPr>
                <w:szCs w:val="18"/>
              </w:rPr>
              <w:t>Poskytovatel grantového financování</w:t>
            </w:r>
          </w:p>
        </w:tc>
        <w:tc>
          <w:tcPr>
            <w:tcW w:w="6267" w:type="dxa"/>
            <w:tcBorders>
              <w:top w:val="none" w:sz="0" w:space="0" w:color="auto"/>
              <w:bottom w:val="none" w:sz="0" w:space="0" w:color="auto"/>
            </w:tcBorders>
          </w:tcPr>
          <w:p w14:paraId="79DBA35A" w14:textId="77777777" w:rsidR="00990D45" w:rsidRDefault="00990D45" w:rsidP="00F46FDA">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Ministerstvo průmyslu a obchodu</w:t>
            </w:r>
            <w:r w:rsidR="00DD0A36">
              <w:rPr>
                <w:szCs w:val="18"/>
              </w:rPr>
              <w:t xml:space="preserve"> </w:t>
            </w:r>
            <w:r w:rsidR="00656745">
              <w:rPr>
                <w:szCs w:val="18"/>
              </w:rPr>
              <w:t>–</w:t>
            </w:r>
            <w:r w:rsidR="00DD0A36">
              <w:rPr>
                <w:szCs w:val="18"/>
              </w:rPr>
              <w:t xml:space="preserve"> sekce Fondů EU</w:t>
            </w:r>
          </w:p>
        </w:tc>
      </w:tr>
      <w:tr w:rsidR="00990D45" w14:paraId="0C63CFC2"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tcBorders>
              <w:right w:val="none" w:sz="0" w:space="0" w:color="auto"/>
            </w:tcBorders>
          </w:tcPr>
          <w:p w14:paraId="5328B9ED" w14:textId="77777777" w:rsidR="00990D45" w:rsidRDefault="00990D45" w:rsidP="00F46FDA">
            <w:pPr>
              <w:spacing w:after="0" w:line="240" w:lineRule="auto"/>
              <w:rPr>
                <w:szCs w:val="18"/>
              </w:rPr>
            </w:pPr>
          </w:p>
        </w:tc>
        <w:tc>
          <w:tcPr>
            <w:tcW w:w="6267" w:type="dxa"/>
          </w:tcPr>
          <w:p w14:paraId="5C7194BC" w14:textId="77777777" w:rsidR="00990D45" w:rsidRDefault="00990D45"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Agentura pro podnikání a inovace</w:t>
            </w:r>
          </w:p>
        </w:tc>
      </w:tr>
      <w:tr w:rsidR="00990D45" w14:paraId="4040057E"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Borders>
              <w:top w:val="none" w:sz="0" w:space="0" w:color="auto"/>
              <w:bottom w:val="none" w:sz="0" w:space="0" w:color="auto"/>
              <w:right w:val="none" w:sz="0" w:space="0" w:color="auto"/>
            </w:tcBorders>
          </w:tcPr>
          <w:p w14:paraId="6C2608AF" w14:textId="77777777" w:rsidR="00990D45" w:rsidRDefault="00990D45" w:rsidP="00F46FDA">
            <w:pPr>
              <w:spacing w:after="0" w:line="240" w:lineRule="auto"/>
              <w:rPr>
                <w:szCs w:val="18"/>
              </w:rPr>
            </w:pPr>
          </w:p>
        </w:tc>
        <w:tc>
          <w:tcPr>
            <w:tcW w:w="6267" w:type="dxa"/>
            <w:tcBorders>
              <w:top w:val="none" w:sz="0" w:space="0" w:color="auto"/>
              <w:bottom w:val="none" w:sz="0" w:space="0" w:color="auto"/>
            </w:tcBorders>
          </w:tcPr>
          <w:p w14:paraId="0A281F28" w14:textId="77777777" w:rsidR="00990D45" w:rsidRDefault="00990D45" w:rsidP="00F46FDA">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 xml:space="preserve">Ministerstvo životního prostředí </w:t>
            </w:r>
            <w:r w:rsidR="00656745">
              <w:rPr>
                <w:szCs w:val="18"/>
              </w:rPr>
              <w:t>–</w:t>
            </w:r>
            <w:r>
              <w:rPr>
                <w:szCs w:val="18"/>
              </w:rPr>
              <w:t xml:space="preserve"> </w:t>
            </w:r>
            <w:r w:rsidR="00DD0A36">
              <w:rPr>
                <w:szCs w:val="18"/>
              </w:rPr>
              <w:t>s</w:t>
            </w:r>
            <w:r w:rsidR="00DD0A36">
              <w:t>ekce Fondů EU, finančních a dobrovolných nástrojů</w:t>
            </w:r>
          </w:p>
        </w:tc>
      </w:tr>
      <w:tr w:rsidR="00990D45" w14:paraId="6D118152"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tcBorders>
              <w:bottom w:val="single" w:sz="12" w:space="0" w:color="00B0F0"/>
              <w:right w:val="none" w:sz="0" w:space="0" w:color="auto"/>
            </w:tcBorders>
          </w:tcPr>
          <w:p w14:paraId="731F82F2" w14:textId="77777777" w:rsidR="00990D45" w:rsidRDefault="00990D45" w:rsidP="00F46FDA">
            <w:pPr>
              <w:spacing w:after="0" w:line="240" w:lineRule="auto"/>
              <w:rPr>
                <w:szCs w:val="18"/>
              </w:rPr>
            </w:pPr>
          </w:p>
        </w:tc>
        <w:tc>
          <w:tcPr>
            <w:tcW w:w="6267" w:type="dxa"/>
            <w:tcBorders>
              <w:bottom w:val="single" w:sz="12" w:space="0" w:color="00B0F0"/>
            </w:tcBorders>
          </w:tcPr>
          <w:p w14:paraId="1AEF6565" w14:textId="77777777" w:rsidR="00990D45" w:rsidRDefault="00990D45"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Státní fond životního prostředí</w:t>
            </w:r>
            <w:r w:rsidR="00DD0A36">
              <w:rPr>
                <w:szCs w:val="18"/>
              </w:rPr>
              <w:t xml:space="preserve"> ČR</w:t>
            </w:r>
          </w:p>
        </w:tc>
      </w:tr>
      <w:tr w:rsidR="00D379F3" w14:paraId="144F07A1"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val="restart"/>
            <w:tcBorders>
              <w:top w:val="single" w:sz="12" w:space="0" w:color="00B0F0"/>
            </w:tcBorders>
          </w:tcPr>
          <w:p w14:paraId="539B1861" w14:textId="77777777" w:rsidR="00D379F3" w:rsidRDefault="00D379F3" w:rsidP="00F46FDA">
            <w:pPr>
              <w:spacing w:after="0" w:line="240" w:lineRule="auto"/>
              <w:rPr>
                <w:szCs w:val="18"/>
              </w:rPr>
            </w:pPr>
            <w:r>
              <w:rPr>
                <w:szCs w:val="18"/>
              </w:rPr>
              <w:t>Poskytovatel negrantového financování</w:t>
            </w:r>
          </w:p>
        </w:tc>
        <w:tc>
          <w:tcPr>
            <w:tcW w:w="6267" w:type="dxa"/>
            <w:tcBorders>
              <w:top w:val="single" w:sz="12" w:space="0" w:color="00B0F0"/>
              <w:bottom w:val="single" w:sz="2" w:space="0" w:color="00B0F0"/>
            </w:tcBorders>
          </w:tcPr>
          <w:p w14:paraId="0003292B" w14:textId="77777777" w:rsidR="00D379F3" w:rsidRDefault="00D379F3" w:rsidP="00F46FDA">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sidRPr="00990D45">
              <w:rPr>
                <w:szCs w:val="18"/>
              </w:rPr>
              <w:t>Českomoravská záruční a rozvojová banka, a.s.</w:t>
            </w:r>
          </w:p>
        </w:tc>
      </w:tr>
      <w:tr w:rsidR="00D379F3" w14:paraId="0F72F794"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tcPr>
          <w:p w14:paraId="36E45706" w14:textId="77777777" w:rsidR="00D379F3" w:rsidRDefault="00D379F3" w:rsidP="00F46FDA">
            <w:pPr>
              <w:spacing w:after="0" w:line="240" w:lineRule="auto"/>
              <w:rPr>
                <w:szCs w:val="18"/>
              </w:rPr>
            </w:pPr>
          </w:p>
        </w:tc>
        <w:tc>
          <w:tcPr>
            <w:tcW w:w="6267" w:type="dxa"/>
            <w:tcBorders>
              <w:top w:val="single" w:sz="2" w:space="0" w:color="00B0F0"/>
              <w:bottom w:val="single" w:sz="2" w:space="0" w:color="00B0F0"/>
            </w:tcBorders>
          </w:tcPr>
          <w:p w14:paraId="70EB56EF" w14:textId="77777777" w:rsidR="00D379F3" w:rsidRDefault="00D379F3" w:rsidP="00F46FDA">
            <w:pPr>
              <w:spacing w:after="0" w:line="240" w:lineRule="auto"/>
              <w:cnfStyle w:val="000000000000" w:firstRow="0" w:lastRow="0" w:firstColumn="0" w:lastColumn="0" w:oddVBand="0" w:evenVBand="0" w:oddHBand="0" w:evenHBand="0" w:firstRowFirstColumn="0" w:firstRowLastColumn="0" w:lastRowFirstColumn="0" w:lastRowLastColumn="0"/>
            </w:pPr>
            <w:r w:rsidRPr="00C725BC">
              <w:rPr>
                <w:szCs w:val="18"/>
              </w:rPr>
              <w:t>K</w:t>
            </w:r>
            <w:r>
              <w:rPr>
                <w:szCs w:val="18"/>
              </w:rPr>
              <w:t>omerční banka a.s.</w:t>
            </w:r>
          </w:p>
        </w:tc>
      </w:tr>
      <w:tr w:rsidR="00D379F3" w14:paraId="122DC30E"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Pr>
          <w:p w14:paraId="489099D8" w14:textId="77777777" w:rsidR="00D379F3" w:rsidRDefault="00D379F3" w:rsidP="00F46FDA">
            <w:pPr>
              <w:spacing w:after="0" w:line="240" w:lineRule="auto"/>
              <w:rPr>
                <w:szCs w:val="18"/>
              </w:rPr>
            </w:pPr>
          </w:p>
        </w:tc>
        <w:tc>
          <w:tcPr>
            <w:tcW w:w="6267" w:type="dxa"/>
            <w:tcBorders>
              <w:top w:val="single" w:sz="2" w:space="0" w:color="00B0F0"/>
              <w:bottom w:val="single" w:sz="2" w:space="0" w:color="00B0F0"/>
            </w:tcBorders>
          </w:tcPr>
          <w:p w14:paraId="6E6ACC55" w14:textId="77777777" w:rsidR="00D379F3" w:rsidRDefault="00D379F3" w:rsidP="00D379F3">
            <w:pPr>
              <w:spacing w:after="0" w:line="240" w:lineRule="auto"/>
              <w:cnfStyle w:val="000000100000" w:firstRow="0" w:lastRow="0" w:firstColumn="0" w:lastColumn="0" w:oddVBand="0" w:evenVBand="0" w:oddHBand="1" w:evenHBand="0" w:firstRowFirstColumn="0" w:firstRowLastColumn="0" w:lastRowFirstColumn="0" w:lastRowLastColumn="0"/>
            </w:pPr>
            <w:r>
              <w:rPr>
                <w:szCs w:val="18"/>
              </w:rPr>
              <w:t>Č</w:t>
            </w:r>
            <w:r w:rsidRPr="00423145">
              <w:rPr>
                <w:szCs w:val="18"/>
              </w:rPr>
              <w:t>eskoslovenská obchodní banka a.s</w:t>
            </w:r>
            <w:r>
              <w:rPr>
                <w:szCs w:val="18"/>
              </w:rPr>
              <w:t>.</w:t>
            </w:r>
            <w:r w:rsidRPr="00C725BC">
              <w:rPr>
                <w:szCs w:val="18"/>
              </w:rPr>
              <w:t xml:space="preserve"> </w:t>
            </w:r>
          </w:p>
        </w:tc>
      </w:tr>
      <w:tr w:rsidR="00D379F3" w14:paraId="0F9C2F4B"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tcPr>
          <w:p w14:paraId="00A0B267" w14:textId="77777777" w:rsidR="00D379F3" w:rsidRDefault="00D379F3" w:rsidP="00F46FDA">
            <w:pPr>
              <w:spacing w:after="0" w:line="240" w:lineRule="auto"/>
              <w:rPr>
                <w:szCs w:val="18"/>
              </w:rPr>
            </w:pPr>
          </w:p>
        </w:tc>
        <w:tc>
          <w:tcPr>
            <w:tcW w:w="6267" w:type="dxa"/>
            <w:tcBorders>
              <w:top w:val="single" w:sz="2" w:space="0" w:color="00B0F0"/>
              <w:bottom w:val="single" w:sz="2" w:space="0" w:color="00B0F0"/>
            </w:tcBorders>
          </w:tcPr>
          <w:p w14:paraId="2FE8C361" w14:textId="77777777" w:rsidR="00D379F3" w:rsidRPr="00C725BC" w:rsidRDefault="00D379F3"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sidRPr="00C725BC">
              <w:rPr>
                <w:szCs w:val="18"/>
              </w:rPr>
              <w:t>SG Equipment Finance</w:t>
            </w:r>
            <w:r>
              <w:rPr>
                <w:szCs w:val="18"/>
              </w:rPr>
              <w:t xml:space="preserve"> </w:t>
            </w:r>
            <w:r w:rsidRPr="00C725BC">
              <w:rPr>
                <w:szCs w:val="18"/>
              </w:rPr>
              <w:t>Czech Republic s.r.o.</w:t>
            </w:r>
          </w:p>
        </w:tc>
      </w:tr>
      <w:tr w:rsidR="00D379F3" w14:paraId="44615F1F"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Borders>
              <w:bottom w:val="single" w:sz="12" w:space="0" w:color="00B0F0"/>
            </w:tcBorders>
          </w:tcPr>
          <w:p w14:paraId="75CF010F" w14:textId="77777777" w:rsidR="00D379F3" w:rsidRDefault="00D379F3" w:rsidP="00F46FDA">
            <w:pPr>
              <w:spacing w:after="0" w:line="240" w:lineRule="auto"/>
              <w:rPr>
                <w:szCs w:val="18"/>
              </w:rPr>
            </w:pPr>
          </w:p>
        </w:tc>
        <w:tc>
          <w:tcPr>
            <w:tcW w:w="6267" w:type="dxa"/>
            <w:tcBorders>
              <w:top w:val="single" w:sz="2" w:space="0" w:color="00B0F0"/>
              <w:bottom w:val="single" w:sz="12" w:space="0" w:color="00B0F0"/>
            </w:tcBorders>
          </w:tcPr>
          <w:p w14:paraId="21689679" w14:textId="77777777" w:rsidR="00D379F3" w:rsidRPr="00C725BC" w:rsidRDefault="00D379F3" w:rsidP="00F46FDA">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Česká spořitelna a.s.</w:t>
            </w:r>
          </w:p>
        </w:tc>
      </w:tr>
      <w:tr w:rsidR="00990D45" w14:paraId="30407467"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val="restart"/>
            <w:tcBorders>
              <w:top w:val="single" w:sz="12" w:space="0" w:color="00B0F0"/>
              <w:right w:val="none" w:sz="0" w:space="0" w:color="auto"/>
            </w:tcBorders>
          </w:tcPr>
          <w:p w14:paraId="668B06D2" w14:textId="77777777" w:rsidR="00990D45" w:rsidRDefault="00990D45">
            <w:pPr>
              <w:spacing w:after="0" w:line="240" w:lineRule="auto"/>
              <w:rPr>
                <w:szCs w:val="18"/>
              </w:rPr>
            </w:pPr>
            <w:r>
              <w:rPr>
                <w:szCs w:val="18"/>
              </w:rPr>
              <w:t xml:space="preserve">Experti na oblast </w:t>
            </w:r>
            <w:r w:rsidR="00DF1BBC">
              <w:rPr>
                <w:szCs w:val="18"/>
              </w:rPr>
              <w:t>posunu k nízkouhlíkovému hospodářství</w:t>
            </w:r>
          </w:p>
        </w:tc>
        <w:tc>
          <w:tcPr>
            <w:tcW w:w="6267" w:type="dxa"/>
            <w:tcBorders>
              <w:top w:val="single" w:sz="12" w:space="0" w:color="00B0F0"/>
              <w:bottom w:val="single" w:sz="4" w:space="0" w:color="62B5E5" w:themeColor="accent3"/>
            </w:tcBorders>
          </w:tcPr>
          <w:p w14:paraId="7E9188F7" w14:textId="77777777" w:rsidR="00990D45" w:rsidRDefault="00990D45"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Ministerstvo životního prostředí</w:t>
            </w:r>
            <w:r w:rsidR="00DD0A36">
              <w:rPr>
                <w:szCs w:val="18"/>
              </w:rPr>
              <w:t xml:space="preserve"> - </w:t>
            </w:r>
            <w:r w:rsidR="00DD0A36" w:rsidRPr="00337788">
              <w:t>Sekce technické ochrany životního prostředí</w:t>
            </w:r>
          </w:p>
        </w:tc>
      </w:tr>
      <w:tr w:rsidR="007F120E" w14:paraId="3A6E762E"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Pr>
          <w:p w14:paraId="33BE52E2" w14:textId="77777777" w:rsidR="007F120E" w:rsidRDefault="007F120E" w:rsidP="00F46FDA">
            <w:pPr>
              <w:spacing w:after="0" w:line="240" w:lineRule="auto"/>
              <w:rPr>
                <w:szCs w:val="18"/>
              </w:rPr>
            </w:pPr>
          </w:p>
        </w:tc>
        <w:tc>
          <w:tcPr>
            <w:tcW w:w="6267" w:type="dxa"/>
            <w:tcBorders>
              <w:top w:val="single" w:sz="4" w:space="0" w:color="62B5E5" w:themeColor="accent3"/>
              <w:bottom w:val="single" w:sz="4" w:space="0" w:color="62B5E5" w:themeColor="accent3"/>
            </w:tcBorders>
          </w:tcPr>
          <w:p w14:paraId="277E7C2C" w14:textId="77777777" w:rsidR="007F120E" w:rsidRDefault="00DF1BBC" w:rsidP="00F46FDA">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sidRPr="00DF1BBC">
              <w:t>Komora obnovitelných zdrojů energie</w:t>
            </w:r>
          </w:p>
        </w:tc>
      </w:tr>
      <w:tr w:rsidR="007F120E" w14:paraId="1523940B"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tcBorders>
              <w:right w:val="none" w:sz="0" w:space="0" w:color="auto"/>
            </w:tcBorders>
          </w:tcPr>
          <w:p w14:paraId="3AB8A684" w14:textId="77777777" w:rsidR="007F120E" w:rsidRDefault="007F120E" w:rsidP="00F46FDA">
            <w:pPr>
              <w:spacing w:after="0" w:line="240" w:lineRule="auto"/>
              <w:rPr>
                <w:szCs w:val="18"/>
              </w:rPr>
            </w:pPr>
          </w:p>
        </w:tc>
        <w:tc>
          <w:tcPr>
            <w:tcW w:w="6267" w:type="dxa"/>
            <w:tcBorders>
              <w:top w:val="single" w:sz="4" w:space="0" w:color="62B5E5" w:themeColor="accent3"/>
              <w:bottom w:val="single" w:sz="4" w:space="0" w:color="62B5E5" w:themeColor="accent3"/>
            </w:tcBorders>
          </w:tcPr>
          <w:p w14:paraId="58D8EDB1" w14:textId="77777777" w:rsidR="007F120E" w:rsidRDefault="00DF1BBC"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sidRPr="00DF1BBC">
              <w:rPr>
                <w:szCs w:val="18"/>
              </w:rPr>
              <w:t>Svaz moderní energetiky</w:t>
            </w:r>
          </w:p>
        </w:tc>
      </w:tr>
      <w:tr w:rsidR="007F120E" w14:paraId="1F333219"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Borders>
              <w:bottom w:val="single" w:sz="12" w:space="0" w:color="00B0F0"/>
              <w:right w:val="none" w:sz="0" w:space="0" w:color="auto"/>
            </w:tcBorders>
          </w:tcPr>
          <w:p w14:paraId="10F31D53" w14:textId="77777777" w:rsidR="007F120E" w:rsidRDefault="007F120E" w:rsidP="00F46FDA">
            <w:pPr>
              <w:spacing w:after="0" w:line="240" w:lineRule="auto"/>
              <w:rPr>
                <w:szCs w:val="18"/>
              </w:rPr>
            </w:pPr>
          </w:p>
        </w:tc>
        <w:tc>
          <w:tcPr>
            <w:tcW w:w="6267" w:type="dxa"/>
            <w:tcBorders>
              <w:top w:val="single" w:sz="4" w:space="0" w:color="62B5E5" w:themeColor="accent3"/>
              <w:bottom w:val="single" w:sz="12" w:space="0" w:color="00B0F0"/>
            </w:tcBorders>
          </w:tcPr>
          <w:p w14:paraId="59B8BCE3" w14:textId="77777777" w:rsidR="007F120E" w:rsidRDefault="00DF1BBC" w:rsidP="00F46FDA">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sidRPr="00DF1BBC">
              <w:t>Národní centrum energetických úspor</w:t>
            </w:r>
          </w:p>
        </w:tc>
      </w:tr>
      <w:tr w:rsidR="007F120E" w14:paraId="48849436"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val="restart"/>
            <w:tcBorders>
              <w:top w:val="single" w:sz="12" w:space="0" w:color="00B0F0"/>
              <w:right w:val="none" w:sz="0" w:space="0" w:color="auto"/>
            </w:tcBorders>
          </w:tcPr>
          <w:p w14:paraId="0A15B690" w14:textId="77777777" w:rsidR="007F120E" w:rsidRDefault="007F120E" w:rsidP="00F46FDA">
            <w:pPr>
              <w:spacing w:after="0" w:line="240" w:lineRule="auto"/>
              <w:rPr>
                <w:szCs w:val="18"/>
              </w:rPr>
            </w:pPr>
            <w:r>
              <w:rPr>
                <w:szCs w:val="18"/>
              </w:rPr>
              <w:t>Zastřešující organizace podnikatelů a firem</w:t>
            </w:r>
          </w:p>
        </w:tc>
        <w:tc>
          <w:tcPr>
            <w:tcW w:w="6267" w:type="dxa"/>
            <w:tcBorders>
              <w:top w:val="single" w:sz="12" w:space="0" w:color="00B0F0"/>
              <w:bottom w:val="single" w:sz="4" w:space="0" w:color="62B5E5" w:themeColor="accent3"/>
            </w:tcBorders>
          </w:tcPr>
          <w:p w14:paraId="7E095EBE" w14:textId="77777777" w:rsidR="007F120E" w:rsidRDefault="007F120E"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Svaz průmyslu a dopravy ČR</w:t>
            </w:r>
            <w:r>
              <w:t xml:space="preserve"> </w:t>
            </w:r>
          </w:p>
        </w:tc>
      </w:tr>
      <w:tr w:rsidR="00D65287" w14:paraId="6D2599ED"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Pr>
          <w:p w14:paraId="2136B8C1" w14:textId="77777777" w:rsidR="00D65287" w:rsidRDefault="00D65287" w:rsidP="00F46FDA">
            <w:pPr>
              <w:spacing w:after="0" w:line="240" w:lineRule="auto"/>
              <w:rPr>
                <w:szCs w:val="18"/>
              </w:rPr>
            </w:pPr>
          </w:p>
        </w:tc>
        <w:tc>
          <w:tcPr>
            <w:tcW w:w="6267" w:type="dxa"/>
            <w:tcBorders>
              <w:top w:val="single" w:sz="4" w:space="0" w:color="62B5E5" w:themeColor="accent3"/>
              <w:bottom w:val="single" w:sz="4" w:space="0" w:color="62B5E5" w:themeColor="accent3"/>
            </w:tcBorders>
          </w:tcPr>
          <w:p w14:paraId="4B5A957C" w14:textId="77777777" w:rsidR="00D65287" w:rsidRDefault="00DF1BBC" w:rsidP="00F46FDA">
            <w:pPr>
              <w:spacing w:after="0" w:line="240" w:lineRule="auto"/>
              <w:cnfStyle w:val="000000100000" w:firstRow="0" w:lastRow="0" w:firstColumn="0" w:lastColumn="0" w:oddVBand="0" w:evenVBand="0" w:oddHBand="1" w:evenHBand="0" w:firstRowFirstColumn="0" w:firstRowLastColumn="0" w:lastRowFirstColumn="0" w:lastRowLastColumn="0"/>
            </w:pPr>
            <w:r w:rsidRPr="00DF1BBC">
              <w:t>Teplárenské sdružení ČR</w:t>
            </w:r>
          </w:p>
        </w:tc>
      </w:tr>
      <w:tr w:rsidR="007F120E" w14:paraId="465D5E34" w14:textId="77777777" w:rsidTr="00DF1BBC">
        <w:tc>
          <w:tcPr>
            <w:cnfStyle w:val="001000000000" w:firstRow="0" w:lastRow="0" w:firstColumn="1" w:lastColumn="0" w:oddVBand="0" w:evenVBand="0" w:oddHBand="0" w:evenHBand="0" w:firstRowFirstColumn="0" w:firstRowLastColumn="0" w:lastRowFirstColumn="0" w:lastRowLastColumn="0"/>
            <w:tcW w:w="2803" w:type="dxa"/>
            <w:vMerge/>
            <w:tcBorders>
              <w:right w:val="none" w:sz="0" w:space="0" w:color="auto"/>
            </w:tcBorders>
          </w:tcPr>
          <w:p w14:paraId="568EF7CE" w14:textId="77777777" w:rsidR="007F120E" w:rsidRDefault="007F120E" w:rsidP="00F46FDA">
            <w:pPr>
              <w:spacing w:after="0" w:line="240" w:lineRule="auto"/>
              <w:rPr>
                <w:szCs w:val="18"/>
              </w:rPr>
            </w:pPr>
          </w:p>
        </w:tc>
        <w:tc>
          <w:tcPr>
            <w:tcW w:w="6267" w:type="dxa"/>
            <w:tcBorders>
              <w:top w:val="single" w:sz="4" w:space="0" w:color="62B5E5" w:themeColor="accent3"/>
              <w:bottom w:val="single" w:sz="4" w:space="0" w:color="62B5E5" w:themeColor="accent3"/>
            </w:tcBorders>
          </w:tcPr>
          <w:p w14:paraId="45C58A74" w14:textId="77777777" w:rsidR="007F120E" w:rsidRDefault="007F120E"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t>Svaz chemického průmyslu</w:t>
            </w:r>
          </w:p>
        </w:tc>
      </w:tr>
      <w:tr w:rsidR="007F120E" w14:paraId="6B321A1C" w14:textId="77777777" w:rsidTr="00DF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vMerge/>
            <w:tcBorders>
              <w:right w:val="none" w:sz="0" w:space="0" w:color="auto"/>
            </w:tcBorders>
          </w:tcPr>
          <w:p w14:paraId="06F3D779" w14:textId="77777777" w:rsidR="007F120E" w:rsidRDefault="007F120E" w:rsidP="00F46FDA">
            <w:pPr>
              <w:spacing w:after="0" w:line="240" w:lineRule="auto"/>
              <w:rPr>
                <w:szCs w:val="18"/>
              </w:rPr>
            </w:pPr>
          </w:p>
        </w:tc>
        <w:tc>
          <w:tcPr>
            <w:tcW w:w="6267" w:type="dxa"/>
            <w:tcBorders>
              <w:top w:val="single" w:sz="4" w:space="0" w:color="62B5E5" w:themeColor="accent3"/>
              <w:bottom w:val="single" w:sz="4" w:space="0" w:color="62B5E5" w:themeColor="accent3"/>
            </w:tcBorders>
          </w:tcPr>
          <w:p w14:paraId="539DE39F" w14:textId="77777777" w:rsidR="007F120E" w:rsidRPr="00864D46" w:rsidRDefault="00DF1BBC" w:rsidP="00F46FDA">
            <w:pPr>
              <w:spacing w:after="0" w:line="240" w:lineRule="auto"/>
              <w:cnfStyle w:val="000000100000" w:firstRow="0" w:lastRow="0" w:firstColumn="0" w:lastColumn="0" w:oddVBand="0" w:evenVBand="0" w:oddHBand="1" w:evenHBand="0" w:firstRowFirstColumn="0" w:firstRowLastColumn="0" w:lastRowFirstColumn="0" w:lastRowLastColumn="0"/>
            </w:pPr>
            <w:r w:rsidRPr="00DF1BBC">
              <w:t>Sdružení automobilového průmyslu</w:t>
            </w:r>
          </w:p>
        </w:tc>
      </w:tr>
      <w:tr w:rsidR="007F120E" w14:paraId="2FF8260A" w14:textId="77777777" w:rsidTr="001B11C7">
        <w:trPr>
          <w:trHeight w:val="150"/>
        </w:trPr>
        <w:tc>
          <w:tcPr>
            <w:cnfStyle w:val="001000000000" w:firstRow="0" w:lastRow="0" w:firstColumn="1" w:lastColumn="0" w:oddVBand="0" w:evenVBand="0" w:oddHBand="0" w:evenHBand="0" w:firstRowFirstColumn="0" w:firstRowLastColumn="0" w:lastRowFirstColumn="0" w:lastRowLastColumn="0"/>
            <w:tcW w:w="2803" w:type="dxa"/>
            <w:vMerge/>
            <w:tcBorders>
              <w:bottom w:val="single" w:sz="12" w:space="0" w:color="00B0F0"/>
              <w:right w:val="none" w:sz="0" w:space="0" w:color="auto"/>
            </w:tcBorders>
          </w:tcPr>
          <w:p w14:paraId="7C208BB8" w14:textId="77777777" w:rsidR="007F120E" w:rsidRDefault="007F120E" w:rsidP="00F46FDA">
            <w:pPr>
              <w:spacing w:after="0" w:line="240" w:lineRule="auto"/>
              <w:rPr>
                <w:szCs w:val="18"/>
              </w:rPr>
            </w:pPr>
          </w:p>
        </w:tc>
        <w:tc>
          <w:tcPr>
            <w:tcW w:w="6267" w:type="dxa"/>
            <w:tcBorders>
              <w:top w:val="single" w:sz="4" w:space="0" w:color="62B5E5" w:themeColor="accent3"/>
              <w:bottom w:val="single" w:sz="12" w:space="0" w:color="00B0F0"/>
            </w:tcBorders>
          </w:tcPr>
          <w:p w14:paraId="079D1340" w14:textId="77777777" w:rsidR="007F120E" w:rsidRDefault="00DF1BBC" w:rsidP="00F46FDA">
            <w:pPr>
              <w:spacing w:after="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Český plynárenský svaz</w:t>
            </w:r>
          </w:p>
        </w:tc>
      </w:tr>
      <w:tr w:rsidR="007F120E" w14:paraId="5EACA49A" w14:textId="77777777" w:rsidTr="001B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Borders>
              <w:top w:val="single" w:sz="12" w:space="0" w:color="00B0F0"/>
              <w:bottom w:val="nil"/>
              <w:right w:val="none" w:sz="0" w:space="0" w:color="auto"/>
            </w:tcBorders>
          </w:tcPr>
          <w:p w14:paraId="5DD8126A" w14:textId="77777777" w:rsidR="007F120E" w:rsidRDefault="007F120E" w:rsidP="00F46FDA">
            <w:pPr>
              <w:spacing w:after="0" w:line="240" w:lineRule="auto"/>
              <w:rPr>
                <w:szCs w:val="18"/>
              </w:rPr>
            </w:pPr>
            <w:r>
              <w:rPr>
                <w:szCs w:val="18"/>
              </w:rPr>
              <w:t>Další</w:t>
            </w:r>
          </w:p>
        </w:tc>
        <w:tc>
          <w:tcPr>
            <w:tcW w:w="6267" w:type="dxa"/>
            <w:tcBorders>
              <w:top w:val="single" w:sz="12" w:space="0" w:color="00B0F0"/>
              <w:bottom w:val="single" w:sz="2" w:space="0" w:color="00B0F0"/>
            </w:tcBorders>
          </w:tcPr>
          <w:p w14:paraId="454762F8" w14:textId="77777777" w:rsidR="007F120E" w:rsidRPr="00DD6C9B" w:rsidRDefault="007F120E" w:rsidP="00F96134">
            <w:pPr>
              <w:spacing w:after="0" w:line="240" w:lineRule="auto"/>
              <w:cnfStyle w:val="000000100000" w:firstRow="0" w:lastRow="0" w:firstColumn="0" w:lastColumn="0" w:oddVBand="0" w:evenVBand="0" w:oddHBand="1" w:evenHBand="0" w:firstRowFirstColumn="0" w:firstRowLastColumn="0" w:lastRowFirstColumn="0" w:lastRowLastColumn="0"/>
              <w:rPr>
                <w:szCs w:val="18"/>
              </w:rPr>
            </w:pPr>
            <w:r w:rsidRPr="008D4E6C">
              <w:rPr>
                <w:szCs w:val="18"/>
              </w:rPr>
              <w:t>Sv</w:t>
            </w:r>
            <w:r w:rsidRPr="0040057B">
              <w:rPr>
                <w:szCs w:val="18"/>
              </w:rPr>
              <w:t xml:space="preserve">azu měst a obcí ČR </w:t>
            </w:r>
          </w:p>
        </w:tc>
      </w:tr>
      <w:tr w:rsidR="00E94CD7" w14:paraId="1073EB51" w14:textId="77777777" w:rsidTr="001B11C7">
        <w:tc>
          <w:tcPr>
            <w:cnfStyle w:val="001000000000" w:firstRow="0" w:lastRow="0" w:firstColumn="1" w:lastColumn="0" w:oddVBand="0" w:evenVBand="0" w:oddHBand="0" w:evenHBand="0" w:firstRowFirstColumn="0" w:firstRowLastColumn="0" w:lastRowFirstColumn="0" w:lastRowLastColumn="0"/>
            <w:tcW w:w="2803" w:type="dxa"/>
            <w:tcBorders>
              <w:top w:val="nil"/>
              <w:bottom w:val="nil"/>
            </w:tcBorders>
          </w:tcPr>
          <w:p w14:paraId="20337FFD" w14:textId="77777777" w:rsidR="00E94CD7" w:rsidRDefault="00E94CD7" w:rsidP="00F46FDA">
            <w:pPr>
              <w:spacing w:after="0" w:line="240" w:lineRule="auto"/>
              <w:rPr>
                <w:szCs w:val="18"/>
              </w:rPr>
            </w:pPr>
          </w:p>
        </w:tc>
        <w:tc>
          <w:tcPr>
            <w:tcW w:w="6267" w:type="dxa"/>
            <w:tcBorders>
              <w:top w:val="single" w:sz="2" w:space="0" w:color="00B0F0"/>
              <w:bottom w:val="nil"/>
            </w:tcBorders>
          </w:tcPr>
          <w:p w14:paraId="72C1D0CB" w14:textId="77777777" w:rsidR="00E94CD7" w:rsidRDefault="00E94CD7" w:rsidP="00F96134">
            <w:pPr>
              <w:spacing w:after="0" w:line="240" w:lineRule="auto"/>
              <w:cnfStyle w:val="000000000000" w:firstRow="0" w:lastRow="0" w:firstColumn="0" w:lastColumn="0" w:oddVBand="0" w:evenVBand="0" w:oddHBand="0" w:evenHBand="0" w:firstRowFirstColumn="0" w:firstRowLastColumn="0" w:lastRowFirstColumn="0" w:lastRowLastColumn="0"/>
            </w:pPr>
            <w:r>
              <w:t xml:space="preserve">Další subjekty, </w:t>
            </w:r>
            <w:r w:rsidR="009E6D48">
              <w:t>jejichž oslovení bude vyhodnoceno jako žádoucí během realizace projektu</w:t>
            </w:r>
          </w:p>
        </w:tc>
      </w:tr>
    </w:tbl>
    <w:p w14:paraId="4A1747BC" w14:textId="77777777" w:rsidR="00990D45" w:rsidRPr="00F27630" w:rsidRDefault="00990D45" w:rsidP="00F46FDA">
      <w:pPr>
        <w:spacing w:before="113" w:after="113" w:line="240" w:lineRule="auto"/>
        <w:jc w:val="both"/>
        <w:rPr>
          <w:szCs w:val="18"/>
        </w:rPr>
      </w:pPr>
    </w:p>
    <w:p w14:paraId="7A27D1CF" w14:textId="77777777" w:rsidR="00325487" w:rsidRDefault="007318E9" w:rsidP="00F46FDA">
      <w:pPr>
        <w:spacing w:before="113" w:after="113" w:line="240" w:lineRule="auto"/>
        <w:jc w:val="both"/>
        <w:rPr>
          <w:szCs w:val="18"/>
        </w:rPr>
      </w:pPr>
      <w:r>
        <w:rPr>
          <w:szCs w:val="18"/>
        </w:rPr>
        <w:t xml:space="preserve">Tabulka výše představuje </w:t>
      </w:r>
      <w:r w:rsidR="00325487">
        <w:rPr>
          <w:szCs w:val="18"/>
        </w:rPr>
        <w:t xml:space="preserve">indikativní seznam relevantních </w:t>
      </w:r>
      <w:r w:rsidR="00D35007">
        <w:rPr>
          <w:szCs w:val="18"/>
        </w:rPr>
        <w:t>organizací</w:t>
      </w:r>
      <w:r w:rsidR="00325487">
        <w:rPr>
          <w:szCs w:val="18"/>
        </w:rPr>
        <w:t>, který bude upřesněn a</w:t>
      </w:r>
      <w:r w:rsidR="00E260CA">
        <w:rPr>
          <w:szCs w:val="18"/>
        </w:rPr>
        <w:t> </w:t>
      </w:r>
      <w:r w:rsidR="00325487">
        <w:rPr>
          <w:szCs w:val="18"/>
        </w:rPr>
        <w:t xml:space="preserve">validován. </w:t>
      </w:r>
    </w:p>
    <w:p w14:paraId="64A8DC39" w14:textId="77777777" w:rsidR="00325487" w:rsidRDefault="00325487" w:rsidP="00F46FDA">
      <w:pPr>
        <w:spacing w:before="240" w:after="120" w:line="240" w:lineRule="auto"/>
        <w:rPr>
          <w:b/>
          <w:color w:val="012169" w:themeColor="accent4"/>
        </w:rPr>
      </w:pPr>
      <w:r w:rsidRPr="00800ACB">
        <w:rPr>
          <w:b/>
          <w:color w:val="012169" w:themeColor="accent4"/>
        </w:rPr>
        <w:t>Velikost vzorku</w:t>
      </w:r>
    </w:p>
    <w:p w14:paraId="07C91D7D" w14:textId="536D9418" w:rsidR="002E223C" w:rsidRDefault="00325487" w:rsidP="00F46FDA">
      <w:pPr>
        <w:spacing w:before="240" w:after="120" w:line="240" w:lineRule="auto"/>
        <w:rPr>
          <w:b/>
          <w:color w:val="012169" w:themeColor="accent4"/>
        </w:rPr>
      </w:pPr>
      <w:r>
        <w:lastRenderedPageBreak/>
        <w:t xml:space="preserve">Dodavatel předpokládá provedení </w:t>
      </w:r>
      <w:r w:rsidR="003B5BFF">
        <w:t>rozhovoru s</w:t>
      </w:r>
      <w:r w:rsidR="008458A0">
        <w:t>e zástupci</w:t>
      </w:r>
      <w:r w:rsidR="003B5BFF">
        <w:t> vybraný</w:t>
      </w:r>
      <w:r w:rsidR="008458A0">
        <w:t>ch</w:t>
      </w:r>
      <w:r w:rsidR="003B5BFF">
        <w:t xml:space="preserve"> organizac</w:t>
      </w:r>
      <w:r w:rsidR="008458A0">
        <w:t>í</w:t>
      </w:r>
      <w:r w:rsidR="00536637">
        <w:t xml:space="preserve"> </w:t>
      </w:r>
      <w:r w:rsidR="003B5BFF">
        <w:t xml:space="preserve">ze seznamu výše </w:t>
      </w:r>
      <w:r w:rsidR="00E24AE9">
        <w:t>(u</w:t>
      </w:r>
      <w:r w:rsidR="008458A0">
        <w:t> </w:t>
      </w:r>
      <w:r w:rsidR="00E24AE9">
        <w:t>kterých se podaří získat kontakt na relevantní osobu a sjednat schůzku či telefonický rozhovor)</w:t>
      </w:r>
      <w:r w:rsidR="007318E9">
        <w:t xml:space="preserve">, </w:t>
      </w:r>
      <w:r w:rsidR="00E24AE9">
        <w:t xml:space="preserve">celkem </w:t>
      </w:r>
      <w:r>
        <w:t xml:space="preserve">cca </w:t>
      </w:r>
      <w:r w:rsidR="000A62E2">
        <w:rPr>
          <w:b/>
        </w:rPr>
        <w:t>5</w:t>
      </w:r>
      <w:r w:rsidR="00A372F6">
        <w:rPr>
          <w:b/>
        </w:rPr>
        <w:t>-15</w:t>
      </w:r>
      <w:r w:rsidRPr="00EE0921">
        <w:rPr>
          <w:b/>
        </w:rPr>
        <w:t xml:space="preserve"> rozhovorů</w:t>
      </w:r>
      <w:r w:rsidR="005F76F7">
        <w:t>.</w:t>
      </w:r>
      <w:r w:rsidR="00A372F6">
        <w:t xml:space="preserve"> Rozhovory rovněž mohou být uskutečněny skupinově</w:t>
      </w:r>
      <w:r w:rsidR="003B5BFF">
        <w:t xml:space="preserve"> (více osob za jednu organizaci).</w:t>
      </w:r>
    </w:p>
    <w:p w14:paraId="497CF0D8" w14:textId="77777777" w:rsidR="00325487" w:rsidRPr="00800ACB" w:rsidRDefault="00325487" w:rsidP="00F46FDA">
      <w:pPr>
        <w:spacing w:before="240" w:after="120" w:line="240" w:lineRule="auto"/>
        <w:rPr>
          <w:b/>
          <w:color w:val="012169" w:themeColor="accent4"/>
        </w:rPr>
      </w:pPr>
      <w:r w:rsidRPr="00800ACB">
        <w:rPr>
          <w:b/>
          <w:color w:val="012169" w:themeColor="accent4"/>
        </w:rPr>
        <w:t>Dílčí harmonogram</w:t>
      </w:r>
    </w:p>
    <w:p w14:paraId="59305D4B" w14:textId="77777777" w:rsidR="00325487" w:rsidRDefault="00325487" w:rsidP="00F46FDA">
      <w:pPr>
        <w:spacing w:before="113" w:line="240" w:lineRule="auto"/>
        <w:jc w:val="both"/>
        <w:rPr>
          <w:szCs w:val="18"/>
        </w:rPr>
      </w:pPr>
      <w:r>
        <w:rPr>
          <w:szCs w:val="18"/>
        </w:rPr>
        <w:t xml:space="preserve">Harmonogram níže zobrazuje přehled kroků, které bude Dodavatel v rámci individuálních hloubkových rozhovorů realizovat, včetně požadované součinnosti ze strany Zadavatele a její odhadované náročnosti. </w:t>
      </w:r>
    </w:p>
    <w:p w14:paraId="2F77E362" w14:textId="63DAE871" w:rsidR="00325487" w:rsidRDefault="004B1B49" w:rsidP="00F46FDA">
      <w:pPr>
        <w:pStyle w:val="Caption"/>
        <w:spacing w:before="240" w:after="120"/>
        <w:jc w:val="center"/>
      </w:pPr>
      <w:bookmarkStart w:id="29" w:name="_Toc24384736"/>
      <w:r>
        <w:br/>
      </w:r>
      <w:r w:rsidR="00325487">
        <w:t xml:space="preserve">Tabulka </w:t>
      </w:r>
      <w:r w:rsidR="00325487">
        <w:fldChar w:fldCharType="begin"/>
      </w:r>
      <w:r w:rsidR="00325487">
        <w:instrText xml:space="preserve"> SEQ Tabulka \* ARABIC </w:instrText>
      </w:r>
      <w:r w:rsidR="00325487">
        <w:fldChar w:fldCharType="separate"/>
      </w:r>
      <w:r w:rsidR="007401D1">
        <w:rPr>
          <w:noProof/>
        </w:rPr>
        <w:t>6</w:t>
      </w:r>
      <w:r w:rsidR="00325487">
        <w:fldChar w:fldCharType="end"/>
      </w:r>
      <w:r w:rsidR="00325487">
        <w:t>: Harmonogram hloubkových rozhovorů</w:t>
      </w:r>
      <w:bookmarkEnd w:id="29"/>
    </w:p>
    <w:tbl>
      <w:tblPr>
        <w:tblStyle w:val="Deloittetable11"/>
        <w:tblW w:w="5010" w:type="pct"/>
        <w:tblBorders>
          <w:bottom w:val="single" w:sz="4" w:space="0" w:color="86BC25" w:themeColor="accent1"/>
          <w:insideH w:val="single" w:sz="4" w:space="0" w:color="86BC25" w:themeColor="accent1"/>
        </w:tblBorders>
        <w:tblCellMar>
          <w:top w:w="0" w:type="dxa"/>
          <w:left w:w="108" w:type="dxa"/>
          <w:bottom w:w="0" w:type="dxa"/>
          <w:right w:w="108" w:type="dxa"/>
        </w:tblCellMar>
        <w:tblLook w:val="04A0" w:firstRow="1" w:lastRow="0" w:firstColumn="1" w:lastColumn="0" w:noHBand="0" w:noVBand="1"/>
      </w:tblPr>
      <w:tblGrid>
        <w:gridCol w:w="447"/>
        <w:gridCol w:w="4195"/>
        <w:gridCol w:w="1549"/>
        <w:gridCol w:w="1530"/>
        <w:gridCol w:w="1367"/>
      </w:tblGrid>
      <w:tr w:rsidR="00E260CA" w:rsidRPr="00793EC0" w14:paraId="4F98D131" w14:textId="77777777" w:rsidTr="00E260C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46" w:type="pct"/>
            <w:shd w:val="clear" w:color="auto" w:fill="86BC25" w:themeFill="accent1"/>
          </w:tcPr>
          <w:p w14:paraId="255AF7FA" w14:textId="77777777" w:rsidR="00325487" w:rsidRPr="00EC5AEF" w:rsidRDefault="00325487" w:rsidP="00F46FDA">
            <w:pPr>
              <w:spacing w:after="0" w:line="240" w:lineRule="auto"/>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Č.</w:t>
            </w:r>
          </w:p>
        </w:tc>
        <w:tc>
          <w:tcPr>
            <w:tcW w:w="2308" w:type="pct"/>
            <w:shd w:val="clear" w:color="auto" w:fill="86BC25" w:themeFill="accent1"/>
          </w:tcPr>
          <w:p w14:paraId="2DE7EF56" w14:textId="77777777" w:rsidR="00325487" w:rsidRPr="00EC5AEF" w:rsidRDefault="00325487"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Aktivita</w:t>
            </w:r>
          </w:p>
        </w:tc>
        <w:tc>
          <w:tcPr>
            <w:tcW w:w="852" w:type="pct"/>
            <w:shd w:val="clear" w:color="auto" w:fill="86BC25" w:themeFill="accent1"/>
          </w:tcPr>
          <w:p w14:paraId="35D594F4" w14:textId="77777777" w:rsidR="00325487" w:rsidRPr="00EC5AEF" w:rsidRDefault="00325487" w:rsidP="00F46F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Odpovědnost</w:t>
            </w:r>
          </w:p>
        </w:tc>
        <w:tc>
          <w:tcPr>
            <w:tcW w:w="842" w:type="pct"/>
            <w:shd w:val="clear" w:color="auto" w:fill="86BC25" w:themeFill="accent1"/>
          </w:tcPr>
          <w:p w14:paraId="5DC01EE5" w14:textId="77777777" w:rsidR="00325487" w:rsidRPr="00EC5AEF" w:rsidRDefault="00325487" w:rsidP="00F46F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Termín (do)</w:t>
            </w:r>
          </w:p>
        </w:tc>
        <w:tc>
          <w:tcPr>
            <w:tcW w:w="752" w:type="pct"/>
            <w:shd w:val="clear" w:color="auto" w:fill="86BC25" w:themeFill="accent1"/>
          </w:tcPr>
          <w:p w14:paraId="2E6E1142" w14:textId="77777777" w:rsidR="00325487" w:rsidRPr="00EC5AEF" w:rsidRDefault="00325487" w:rsidP="00F46FD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EC5AEF">
              <w:rPr>
                <w:rFonts w:eastAsia="Times New Roman" w:cs="Arial"/>
                <w:bCs/>
                <w:color w:val="FFFFFF" w:themeColor="background1"/>
                <w:szCs w:val="18"/>
                <w:lang w:eastAsia="cs-CZ"/>
              </w:rPr>
              <w:t>Náročnost</w:t>
            </w:r>
          </w:p>
        </w:tc>
      </w:tr>
      <w:tr w:rsidR="00E260CA" w:rsidRPr="00793EC0" w14:paraId="4D6811D5"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349E11D4" w14:textId="77777777" w:rsidR="00325487" w:rsidRPr="00C62AF1" w:rsidRDefault="00325487" w:rsidP="00F46FDA">
            <w:pPr>
              <w:spacing w:after="0" w:line="240" w:lineRule="auto"/>
              <w:rPr>
                <w:rFonts w:eastAsia="Times New Roman" w:cs="Calibri"/>
                <w:color w:val="000000"/>
                <w:szCs w:val="18"/>
                <w:lang w:eastAsia="cs-CZ"/>
              </w:rPr>
            </w:pPr>
            <w:r w:rsidRPr="00C62AF1">
              <w:rPr>
                <w:rFonts w:eastAsia="Times New Roman" w:cs="Calibri"/>
                <w:color w:val="000000"/>
                <w:szCs w:val="18"/>
                <w:lang w:eastAsia="cs-CZ"/>
              </w:rPr>
              <w:t>1</w:t>
            </w:r>
          </w:p>
        </w:tc>
        <w:tc>
          <w:tcPr>
            <w:tcW w:w="2308" w:type="pct"/>
            <w:vAlign w:val="center"/>
          </w:tcPr>
          <w:p w14:paraId="2F1EC15E" w14:textId="77777777" w:rsidR="00325487" w:rsidRPr="001B11C7" w:rsidRDefault="00F53F0A" w:rsidP="00F53F0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lang w:val="en-US"/>
              </w:rPr>
            </w:pPr>
            <w:r>
              <w:rPr>
                <w:color w:val="000000"/>
                <w:szCs w:val="18"/>
              </w:rPr>
              <w:t xml:space="preserve">Příprava IHR </w:t>
            </w:r>
            <w:r>
              <w:rPr>
                <w:color w:val="000000"/>
                <w:szCs w:val="18"/>
              </w:rPr>
              <w:br/>
              <w:t xml:space="preserve">(návrh scénářů a nominace </w:t>
            </w:r>
            <w:r w:rsidR="00325487" w:rsidRPr="00C62AF1">
              <w:rPr>
                <w:color w:val="000000"/>
                <w:szCs w:val="18"/>
              </w:rPr>
              <w:t xml:space="preserve"> </w:t>
            </w:r>
            <w:r>
              <w:rPr>
                <w:color w:val="000000"/>
                <w:szCs w:val="18"/>
              </w:rPr>
              <w:t>respondentů)</w:t>
            </w:r>
          </w:p>
        </w:tc>
        <w:tc>
          <w:tcPr>
            <w:tcW w:w="852" w:type="pct"/>
            <w:vAlign w:val="center"/>
          </w:tcPr>
          <w:p w14:paraId="49ECF456" w14:textId="77777777" w:rsidR="00325487" w:rsidRPr="00C62AF1" w:rsidRDefault="00E260CA"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842" w:type="pct"/>
            <w:vAlign w:val="center"/>
          </w:tcPr>
          <w:p w14:paraId="22666222" w14:textId="77777777" w:rsidR="00325487" w:rsidRPr="00E13A3D" w:rsidRDefault="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6. 4. 2020</w:t>
            </w:r>
          </w:p>
        </w:tc>
        <w:tc>
          <w:tcPr>
            <w:tcW w:w="752" w:type="pct"/>
            <w:shd w:val="clear" w:color="auto" w:fill="auto"/>
            <w:vAlign w:val="center"/>
          </w:tcPr>
          <w:p w14:paraId="4CCF727D" w14:textId="77777777" w:rsidR="00325487" w:rsidRPr="00C62AF1" w:rsidRDefault="00325487" w:rsidP="00F46F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260CA" w:rsidRPr="00793EC0" w14:paraId="12B91BCE"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2C80EBDA" w14:textId="77777777" w:rsidR="00E260CA" w:rsidRPr="00C62AF1" w:rsidRDefault="00E260CA" w:rsidP="00E260CA">
            <w:pPr>
              <w:spacing w:after="0" w:line="240" w:lineRule="auto"/>
              <w:rPr>
                <w:rFonts w:eastAsia="Times New Roman" w:cs="Calibri"/>
                <w:color w:val="000000"/>
                <w:szCs w:val="18"/>
                <w:lang w:eastAsia="cs-CZ"/>
              </w:rPr>
            </w:pPr>
            <w:r>
              <w:rPr>
                <w:rFonts w:eastAsia="Times New Roman" w:cs="Calibri"/>
                <w:color w:val="000000"/>
                <w:szCs w:val="18"/>
                <w:lang w:eastAsia="cs-CZ"/>
              </w:rPr>
              <w:t>2</w:t>
            </w:r>
          </w:p>
        </w:tc>
        <w:tc>
          <w:tcPr>
            <w:tcW w:w="2308" w:type="pct"/>
            <w:vAlign w:val="center"/>
          </w:tcPr>
          <w:p w14:paraId="68E4CB02" w14:textId="77777777" w:rsidR="00E260CA" w:rsidRPr="00C62AF1" w:rsidRDefault="00E260CA" w:rsidP="00E260C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Validace scénářů, seznamu respondentů a </w:t>
            </w:r>
            <w:r w:rsidRPr="00BC7275">
              <w:rPr>
                <w:color w:val="000000"/>
                <w:szCs w:val="18"/>
              </w:rPr>
              <w:t>předání kontaktů</w:t>
            </w:r>
            <w:r>
              <w:rPr>
                <w:color w:val="000000"/>
                <w:szCs w:val="18"/>
              </w:rPr>
              <w:t xml:space="preserve"> a pověřovacího dopisu MPO</w:t>
            </w:r>
          </w:p>
        </w:tc>
        <w:tc>
          <w:tcPr>
            <w:tcW w:w="852" w:type="pct"/>
            <w:vAlign w:val="center"/>
          </w:tcPr>
          <w:p w14:paraId="2C4CEA23"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MPO</w:t>
            </w:r>
          </w:p>
        </w:tc>
        <w:tc>
          <w:tcPr>
            <w:tcW w:w="842" w:type="pct"/>
            <w:vAlign w:val="center"/>
          </w:tcPr>
          <w:p w14:paraId="1DBF1576" w14:textId="77777777" w:rsidR="00E260CA" w:rsidRPr="00C62AF1" w:rsidRDefault="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13. 4. 2020</w:t>
            </w:r>
          </w:p>
        </w:tc>
        <w:tc>
          <w:tcPr>
            <w:tcW w:w="752" w:type="pct"/>
            <w:shd w:val="clear" w:color="auto" w:fill="FFC000"/>
            <w:vAlign w:val="center"/>
          </w:tcPr>
          <w:p w14:paraId="46A7140D"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střední</w:t>
            </w:r>
          </w:p>
        </w:tc>
      </w:tr>
      <w:tr w:rsidR="00E260CA" w:rsidRPr="00793EC0" w14:paraId="32E01142" w14:textId="77777777" w:rsidTr="00E260CA">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626C6295" w14:textId="77777777" w:rsidR="00E260CA" w:rsidRPr="00C62AF1" w:rsidRDefault="00E260CA" w:rsidP="00E13A3D">
            <w:pPr>
              <w:spacing w:after="0" w:line="240" w:lineRule="auto"/>
              <w:jc w:val="center"/>
              <w:rPr>
                <w:rFonts w:eastAsia="Times New Roman" w:cs="Calibri"/>
                <w:color w:val="000000"/>
                <w:szCs w:val="18"/>
                <w:lang w:eastAsia="cs-CZ"/>
              </w:rPr>
            </w:pPr>
            <w:r>
              <w:rPr>
                <w:rFonts w:eastAsia="Times New Roman" w:cs="Calibri"/>
                <w:color w:val="000000"/>
                <w:szCs w:val="18"/>
                <w:lang w:eastAsia="cs-CZ"/>
              </w:rPr>
              <w:t>3</w:t>
            </w:r>
          </w:p>
        </w:tc>
        <w:tc>
          <w:tcPr>
            <w:tcW w:w="2308" w:type="pct"/>
            <w:vAlign w:val="center"/>
          </w:tcPr>
          <w:p w14:paraId="730EE988" w14:textId="77777777" w:rsidR="00E260CA" w:rsidRPr="00C62AF1" w:rsidRDefault="00E260C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 xml:space="preserve">Oslovení respondentů </w:t>
            </w:r>
          </w:p>
        </w:tc>
        <w:tc>
          <w:tcPr>
            <w:tcW w:w="852" w:type="pct"/>
            <w:vAlign w:val="center"/>
          </w:tcPr>
          <w:p w14:paraId="1E220CD4"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C62AF1">
              <w:rPr>
                <w:rFonts w:eastAsia="Times New Roman" w:cs="Calibri"/>
                <w:color w:val="000000"/>
                <w:szCs w:val="18"/>
                <w:lang w:eastAsia="cs-CZ"/>
              </w:rPr>
              <w:t>Deloitte</w:t>
            </w:r>
          </w:p>
        </w:tc>
        <w:tc>
          <w:tcPr>
            <w:tcW w:w="842" w:type="pct"/>
            <w:vAlign w:val="center"/>
          </w:tcPr>
          <w:p w14:paraId="1B52F5C3" w14:textId="2DD72D31" w:rsidR="00E260CA" w:rsidRPr="00C62AF1" w:rsidRDefault="00654B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20</w:t>
            </w:r>
            <w:r w:rsidR="00E260CA">
              <w:rPr>
                <w:rFonts w:asciiTheme="majorHAnsi" w:hAnsiTheme="majorHAnsi" w:cs="Calibri"/>
                <w:color w:val="000000"/>
                <w:szCs w:val="18"/>
                <w:lang w:eastAsia="cs-CZ"/>
              </w:rPr>
              <w:t>. 4. 2020</w:t>
            </w:r>
          </w:p>
        </w:tc>
        <w:tc>
          <w:tcPr>
            <w:tcW w:w="752" w:type="pct"/>
            <w:shd w:val="clear" w:color="auto" w:fill="auto"/>
            <w:vAlign w:val="center"/>
          </w:tcPr>
          <w:p w14:paraId="58AAFE06"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260CA" w:rsidRPr="00793EC0" w14:paraId="635C25C5" w14:textId="77777777" w:rsidTr="00E260CA">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5902EC17" w14:textId="77777777" w:rsidR="00E260CA" w:rsidRPr="00C62AF1" w:rsidRDefault="00E260CA" w:rsidP="00E260CA">
            <w:pPr>
              <w:spacing w:after="0" w:line="240" w:lineRule="auto"/>
              <w:rPr>
                <w:rFonts w:eastAsia="Times New Roman" w:cs="Calibri"/>
                <w:color w:val="000000"/>
                <w:szCs w:val="18"/>
                <w:lang w:eastAsia="cs-CZ"/>
              </w:rPr>
            </w:pPr>
            <w:r>
              <w:rPr>
                <w:rFonts w:eastAsia="Times New Roman" w:cs="Calibri"/>
                <w:color w:val="000000"/>
                <w:szCs w:val="18"/>
                <w:lang w:eastAsia="cs-CZ"/>
              </w:rPr>
              <w:t>4</w:t>
            </w:r>
          </w:p>
        </w:tc>
        <w:tc>
          <w:tcPr>
            <w:tcW w:w="2308" w:type="pct"/>
            <w:vAlign w:val="center"/>
          </w:tcPr>
          <w:p w14:paraId="60280366" w14:textId="77777777" w:rsidR="00E260CA" w:rsidRPr="00C62AF1" w:rsidRDefault="00E260C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C62AF1">
              <w:rPr>
                <w:color w:val="000000"/>
                <w:szCs w:val="18"/>
              </w:rPr>
              <w:t xml:space="preserve">Realizace rozhovorů </w:t>
            </w:r>
          </w:p>
        </w:tc>
        <w:tc>
          <w:tcPr>
            <w:tcW w:w="852" w:type="pct"/>
            <w:vAlign w:val="center"/>
          </w:tcPr>
          <w:p w14:paraId="7A17401C"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C62AF1">
              <w:rPr>
                <w:rFonts w:eastAsia="Times New Roman" w:cs="Calibri"/>
                <w:color w:val="000000"/>
                <w:szCs w:val="18"/>
                <w:lang w:eastAsia="cs-CZ"/>
              </w:rPr>
              <w:t>Deloitte</w:t>
            </w:r>
          </w:p>
        </w:tc>
        <w:tc>
          <w:tcPr>
            <w:tcW w:w="842" w:type="pct"/>
            <w:vAlign w:val="center"/>
          </w:tcPr>
          <w:p w14:paraId="69036D21" w14:textId="77777777" w:rsidR="00E260CA" w:rsidRPr="00C62AF1" w:rsidRDefault="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22. 5. 2020</w:t>
            </w:r>
          </w:p>
        </w:tc>
        <w:tc>
          <w:tcPr>
            <w:tcW w:w="752" w:type="pct"/>
            <w:shd w:val="clear" w:color="auto" w:fill="auto"/>
            <w:vAlign w:val="center"/>
          </w:tcPr>
          <w:p w14:paraId="437E67AD"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E13A3D" w:rsidRPr="00793EC0" w14:paraId="5508D3A2" w14:textId="77777777" w:rsidTr="00E13A3D">
        <w:trPr>
          <w:trHeight w:val="340"/>
        </w:trPr>
        <w:tc>
          <w:tcPr>
            <w:cnfStyle w:val="001000000000" w:firstRow="0" w:lastRow="0" w:firstColumn="1" w:lastColumn="0" w:oddVBand="0" w:evenVBand="0" w:oddHBand="0" w:evenHBand="0" w:firstRowFirstColumn="0" w:firstRowLastColumn="0" w:lastRowFirstColumn="0" w:lastRowLastColumn="0"/>
            <w:tcW w:w="246" w:type="pct"/>
            <w:vAlign w:val="center"/>
          </w:tcPr>
          <w:p w14:paraId="6121F32C" w14:textId="77777777" w:rsidR="00E260CA" w:rsidRDefault="00E260CA" w:rsidP="00E260CA">
            <w:pPr>
              <w:spacing w:after="0" w:line="240" w:lineRule="auto"/>
              <w:rPr>
                <w:rFonts w:eastAsia="Times New Roman" w:cs="Calibri"/>
                <w:color w:val="000000"/>
                <w:szCs w:val="18"/>
                <w:lang w:eastAsia="cs-CZ"/>
              </w:rPr>
            </w:pPr>
            <w:r>
              <w:rPr>
                <w:rFonts w:eastAsia="Times New Roman" w:cs="Calibri"/>
                <w:color w:val="000000"/>
                <w:szCs w:val="18"/>
                <w:lang w:eastAsia="cs-CZ"/>
              </w:rPr>
              <w:t>5</w:t>
            </w:r>
          </w:p>
        </w:tc>
        <w:tc>
          <w:tcPr>
            <w:tcW w:w="2308" w:type="pct"/>
            <w:vAlign w:val="center"/>
          </w:tcPr>
          <w:p w14:paraId="6E7ABB72" w14:textId="77777777" w:rsidR="00E260CA" w:rsidRPr="00C62AF1" w:rsidRDefault="00E260CA" w:rsidP="00E260C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Vyhodnocení výstupů rozhovorů</w:t>
            </w:r>
          </w:p>
        </w:tc>
        <w:tc>
          <w:tcPr>
            <w:tcW w:w="852" w:type="pct"/>
            <w:vAlign w:val="center"/>
          </w:tcPr>
          <w:p w14:paraId="7575E3CB"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842" w:type="pct"/>
            <w:vAlign w:val="center"/>
          </w:tcPr>
          <w:p w14:paraId="46B0EBCA" w14:textId="77777777" w:rsidR="00E260CA" w:rsidRPr="00C62AF1" w:rsidRDefault="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29. 5. 2020</w:t>
            </w:r>
          </w:p>
        </w:tc>
        <w:tc>
          <w:tcPr>
            <w:tcW w:w="752" w:type="pct"/>
            <w:shd w:val="clear" w:color="auto" w:fill="auto"/>
            <w:vAlign w:val="center"/>
          </w:tcPr>
          <w:p w14:paraId="0C5286C4" w14:textId="77777777" w:rsidR="00E260CA" w:rsidRPr="00C62AF1" w:rsidRDefault="00E260CA" w:rsidP="00E260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4EABE42A" w14:textId="77777777" w:rsidR="00325487" w:rsidRDefault="00325487" w:rsidP="00F46FDA">
      <w:pPr>
        <w:spacing w:line="240" w:lineRule="auto"/>
      </w:pPr>
    </w:p>
    <w:p w14:paraId="335CF1D4" w14:textId="77777777" w:rsidR="00960DA7" w:rsidRDefault="00960DA7" w:rsidP="00960DA7">
      <w:pPr>
        <w:pStyle w:val="Heading2"/>
        <w:spacing w:line="240" w:lineRule="auto"/>
      </w:pPr>
      <w:bookmarkStart w:id="30" w:name="_Toc25228653"/>
      <w:bookmarkStart w:id="31" w:name="_Toc26542584"/>
      <w:bookmarkStart w:id="32" w:name="_Toc37248823"/>
      <w:r>
        <w:t>Expertní panel</w:t>
      </w:r>
      <w:bookmarkEnd w:id="30"/>
      <w:bookmarkEnd w:id="32"/>
    </w:p>
    <w:p w14:paraId="0FB6324D" w14:textId="77777777" w:rsidR="00960DA7" w:rsidRDefault="00960DA7" w:rsidP="00960DA7">
      <w:pPr>
        <w:spacing w:before="240" w:after="120" w:line="240" w:lineRule="auto"/>
        <w:rPr>
          <w:b/>
          <w:color w:val="012169" w:themeColor="accent4"/>
        </w:rPr>
      </w:pPr>
      <w:r w:rsidRPr="00CE7B5B">
        <w:rPr>
          <w:b/>
          <w:color w:val="012169" w:themeColor="accent4"/>
        </w:rPr>
        <w:t>Způsob realizace</w:t>
      </w:r>
    </w:p>
    <w:p w14:paraId="5BB4771B" w14:textId="77777777" w:rsidR="00960DA7" w:rsidRDefault="00960DA7" w:rsidP="00960DA7">
      <w:pPr>
        <w:spacing w:before="113" w:after="113" w:line="240" w:lineRule="auto"/>
        <w:jc w:val="both"/>
        <w:rPr>
          <w:szCs w:val="18"/>
        </w:rPr>
      </w:pPr>
      <w:r>
        <w:rPr>
          <w:szCs w:val="18"/>
        </w:rPr>
        <w:t xml:space="preserve">Expertní panel přispěje Dodavateli k zodpovězení analytických otázek 1 a 4, přičemž bude navazovat na DŠ, jehož zjištění budou v rámci EP blíže diskutována. </w:t>
      </w:r>
    </w:p>
    <w:p w14:paraId="354A3D6C" w14:textId="77777777" w:rsidR="00960DA7" w:rsidRDefault="00960DA7" w:rsidP="00960DA7">
      <w:pPr>
        <w:spacing w:before="113" w:after="113" w:line="240" w:lineRule="auto"/>
        <w:jc w:val="both"/>
        <w:rPr>
          <w:szCs w:val="18"/>
        </w:rPr>
      </w:pPr>
      <w:r>
        <w:rPr>
          <w:szCs w:val="18"/>
        </w:rPr>
        <w:t xml:space="preserve">Cílem EP a také důvodem, proč se Dodavatel rozhodl tuto metodu použít, je možnost expertů na financování inovativních investičních záměrů blíže diskutovat </w:t>
      </w:r>
      <w:r w:rsidRPr="00D501F3">
        <w:rPr>
          <w:szCs w:val="18"/>
        </w:rPr>
        <w:t>téma financování investičních aktivit v</w:t>
      </w:r>
      <w:r>
        <w:rPr>
          <w:szCs w:val="18"/>
        </w:rPr>
        <w:t> </w:t>
      </w:r>
      <w:r w:rsidRPr="00D501F3">
        <w:rPr>
          <w:szCs w:val="18"/>
        </w:rPr>
        <w:t xml:space="preserve">oblasti </w:t>
      </w:r>
      <w:r>
        <w:rPr>
          <w:szCs w:val="18"/>
        </w:rPr>
        <w:t>posunu k nízkouhlíkovému hospodářství</w:t>
      </w:r>
      <w:r w:rsidRPr="00D501F3">
        <w:rPr>
          <w:szCs w:val="18"/>
        </w:rPr>
        <w:t xml:space="preserve"> a vzájemně na sebe reagovat, což umožní lepší pochopení a interpretaci zjištění ze sekundárních analýz</w:t>
      </w:r>
      <w:r>
        <w:rPr>
          <w:szCs w:val="18"/>
        </w:rPr>
        <w:t xml:space="preserve"> a</w:t>
      </w:r>
      <w:r w:rsidRPr="00D501F3">
        <w:rPr>
          <w:szCs w:val="18"/>
        </w:rPr>
        <w:t xml:space="preserve"> dalších předcházejících šetření (DŠ, </w:t>
      </w:r>
      <w:r>
        <w:rPr>
          <w:szCs w:val="18"/>
        </w:rPr>
        <w:t xml:space="preserve">některých </w:t>
      </w:r>
      <w:r w:rsidRPr="00D501F3">
        <w:rPr>
          <w:szCs w:val="18"/>
        </w:rPr>
        <w:t xml:space="preserve">IHR). V rámci EP bude Dodavatel s odborníky na poskytování podpory formou finančních nástrojů a </w:t>
      </w:r>
      <w:r>
        <w:rPr>
          <w:szCs w:val="18"/>
        </w:rPr>
        <w:t xml:space="preserve">různých forem </w:t>
      </w:r>
      <w:r w:rsidRPr="00D501F3">
        <w:rPr>
          <w:szCs w:val="18"/>
        </w:rPr>
        <w:t>úvěrů diskutovat</w:t>
      </w:r>
      <w:r>
        <w:rPr>
          <w:szCs w:val="18"/>
        </w:rPr>
        <w:t>:</w:t>
      </w:r>
    </w:p>
    <w:p w14:paraId="7C232050" w14:textId="77777777" w:rsidR="00960DA7" w:rsidRDefault="00960DA7" w:rsidP="00960DA7">
      <w:pPr>
        <w:pStyle w:val="ListParagraph"/>
        <w:numPr>
          <w:ilvl w:val="0"/>
          <w:numId w:val="23"/>
        </w:numPr>
        <w:spacing w:after="120" w:line="240" w:lineRule="auto"/>
        <w:ind w:left="714" w:hanging="357"/>
        <w:contextualSpacing w:val="0"/>
        <w:jc w:val="both"/>
      </w:pPr>
      <w:r>
        <w:t>A</w:t>
      </w:r>
      <w:r w:rsidRPr="008860A5">
        <w:t>ktuální stav a možn</w:t>
      </w:r>
      <w:r>
        <w:t>ý</w:t>
      </w:r>
      <w:r w:rsidRPr="008860A5">
        <w:t xml:space="preserve"> budoucí vývoj souvisejících ukazatelů na finančním trhu</w:t>
      </w:r>
      <w:r>
        <w:t xml:space="preserve"> (tj. výsledky analýzy realizované Dodavatelem);</w:t>
      </w:r>
    </w:p>
    <w:p w14:paraId="6A9B9339" w14:textId="77777777" w:rsidR="00960DA7" w:rsidRDefault="00960DA7" w:rsidP="00960DA7">
      <w:pPr>
        <w:pStyle w:val="ListParagraph"/>
        <w:numPr>
          <w:ilvl w:val="0"/>
          <w:numId w:val="23"/>
        </w:numPr>
        <w:spacing w:after="120" w:line="240" w:lineRule="auto"/>
        <w:ind w:left="714" w:hanging="357"/>
        <w:contextualSpacing w:val="0"/>
        <w:jc w:val="both"/>
      </w:pPr>
      <w:r>
        <w:t>O</w:t>
      </w:r>
      <w:r w:rsidRPr="008860A5">
        <w:t>blasti</w:t>
      </w:r>
      <w:r>
        <w:t xml:space="preserve"> v rámci SC 3.1 – 3.4 (identifikované Dodavatelem v rámci analýzy sekundárních dat a podnikatelskými subjekty v rámci DŠ) vyznačující se </w:t>
      </w:r>
      <w:r w:rsidRPr="008860A5">
        <w:t>obtížným přístupem k</w:t>
      </w:r>
      <w:r>
        <w:t> tržnímu financování;</w:t>
      </w:r>
    </w:p>
    <w:p w14:paraId="6D6BDCC7" w14:textId="77777777" w:rsidR="00960DA7" w:rsidRDefault="00960DA7" w:rsidP="00960DA7">
      <w:pPr>
        <w:pStyle w:val="ListParagraph"/>
        <w:numPr>
          <w:ilvl w:val="0"/>
          <w:numId w:val="23"/>
        </w:numPr>
        <w:spacing w:after="120" w:line="240" w:lineRule="auto"/>
        <w:ind w:left="714" w:hanging="357"/>
        <w:contextualSpacing w:val="0"/>
        <w:jc w:val="both"/>
      </w:pPr>
      <w:r>
        <w:t>Zkušenosti s poptávkou po úvěrových a záručních produktech ze strany podnikatelských subjektů realizujících inovativní investiční záměry;</w:t>
      </w:r>
    </w:p>
    <w:p w14:paraId="5E01ADC9" w14:textId="77777777" w:rsidR="00843042" w:rsidRPr="001B11C7" w:rsidRDefault="00843042" w:rsidP="00960DA7">
      <w:pPr>
        <w:pStyle w:val="ListParagraph"/>
        <w:numPr>
          <w:ilvl w:val="0"/>
          <w:numId w:val="23"/>
        </w:numPr>
        <w:spacing w:after="120" w:line="240" w:lineRule="auto"/>
        <w:ind w:left="714" w:hanging="357"/>
        <w:contextualSpacing w:val="0"/>
        <w:jc w:val="both"/>
        <w:rPr>
          <w:strike/>
        </w:rPr>
      </w:pPr>
      <w:r>
        <w:t>V</w:t>
      </w:r>
      <w:r>
        <w:rPr>
          <w:szCs w:val="18"/>
        </w:rPr>
        <w:t>hodná doporučení a návrhy</w:t>
      </w:r>
      <w:r w:rsidRPr="008E38BF">
        <w:rPr>
          <w:szCs w:val="18"/>
        </w:rPr>
        <w:t xml:space="preserve"> nastavení různých forem podpory (dotace, finanční nástroje, kombinace nevratné dotační podpory a finančních nástrojů, popř. alternativní formy podpory jako např. daňové zvýhodnění apod.) pro aktivity, projekty a investiční záměry </w:t>
      </w:r>
      <w:r>
        <w:rPr>
          <w:szCs w:val="18"/>
        </w:rPr>
        <w:t xml:space="preserve">podnikatelských subjektů </w:t>
      </w:r>
      <w:r w:rsidRPr="008E38BF">
        <w:rPr>
          <w:szCs w:val="18"/>
        </w:rPr>
        <w:t xml:space="preserve">v oblasti </w:t>
      </w:r>
      <w:r>
        <w:rPr>
          <w:szCs w:val="18"/>
        </w:rPr>
        <w:t>posunu k nízkouhlíkovému hospodářství</w:t>
      </w:r>
      <w:r w:rsidRPr="00E13A3D">
        <w:rPr>
          <w:szCs w:val="18"/>
        </w:rPr>
        <w:t/>
      </w:r>
      <w:r>
        <w:rPr>
          <w:szCs w:val="18"/>
        </w:rPr>
        <w:t xml:space="preserve">, </w:t>
      </w:r>
      <w:r w:rsidRPr="00E13A3D">
        <w:rPr>
          <w:szCs w:val="18"/>
        </w:rPr>
        <w:t>které by měly řešit tržní selhání či suboptimální</w:t>
      </w:r>
      <w:r w:rsidRPr="00E13A3D">
        <w:rPr>
          <w:szCs w:val="18"/>
        </w:rPr>
        <w:t/>
      </w:r>
      <w:r w:rsidRPr="00E13A3D">
        <w:rPr>
          <w:szCs w:val="18"/>
        </w:rPr>
        <w:t xml:space="preserve"> investiční situace v podnikatelském sektoru.</w:t>
      </w:r>
    </w:p>
    <w:p w14:paraId="0174DCA7" w14:textId="77777777" w:rsidR="00960DA7" w:rsidRDefault="00960DA7" w:rsidP="00960DA7">
      <w:pPr>
        <w:spacing w:before="113" w:after="113" w:line="240" w:lineRule="auto"/>
        <w:jc w:val="both"/>
        <w:rPr>
          <w:szCs w:val="18"/>
        </w:rPr>
      </w:pPr>
      <w:r w:rsidRPr="00BC7275">
        <w:rPr>
          <w:szCs w:val="18"/>
        </w:rPr>
        <w:t xml:space="preserve">Dodavatel osloví nominované účastníky s dostatečným předstihem a zajistí nejvhodnější termín a místo realizace </w:t>
      </w:r>
      <w:r>
        <w:rPr>
          <w:szCs w:val="18"/>
        </w:rPr>
        <w:t>EP</w:t>
      </w:r>
      <w:r w:rsidRPr="00BC7275">
        <w:rPr>
          <w:szCs w:val="18"/>
        </w:rPr>
        <w:t xml:space="preserve">. Expertní panel </w:t>
      </w:r>
      <w:r w:rsidRPr="00960DA7">
        <w:rPr>
          <w:szCs w:val="18"/>
        </w:rPr>
        <w:t>bude realizován po dohodě s účastníky v sídle Deloitte v Praze nebo v jednom z vybraných sídel MPO. V případě potřeby lze realizovat expertní panel formou telekonference. Potvrzeným účastníkům</w:t>
      </w:r>
      <w:r w:rsidRPr="00BC7275">
        <w:rPr>
          <w:szCs w:val="18"/>
        </w:rPr>
        <w:t xml:space="preserve"> budou Dodavatelem týden dopředu zaslány okruhy otázek a účastníci budou vyzváni k vlastní přípravě odpovědí na tyto otázky diskutované na </w:t>
      </w:r>
      <w:r>
        <w:rPr>
          <w:szCs w:val="18"/>
        </w:rPr>
        <w:t>EP. S</w:t>
      </w:r>
      <w:r w:rsidRPr="00BC7275">
        <w:rPr>
          <w:szCs w:val="18"/>
        </w:rPr>
        <w:t>amotný panel bude trvat cca 1,5 - 2,5 hodiny.</w:t>
      </w:r>
    </w:p>
    <w:p w14:paraId="7B41A3F8" w14:textId="77777777" w:rsidR="00960DA7" w:rsidRPr="00CE7B5B" w:rsidRDefault="00960DA7" w:rsidP="00960DA7">
      <w:pPr>
        <w:spacing w:before="240" w:after="120" w:line="240" w:lineRule="auto"/>
        <w:rPr>
          <w:b/>
          <w:color w:val="012169" w:themeColor="accent4"/>
        </w:rPr>
      </w:pPr>
      <w:r w:rsidRPr="00CE7B5B">
        <w:rPr>
          <w:b/>
          <w:color w:val="012169" w:themeColor="accent4"/>
        </w:rPr>
        <w:t>Účastníci</w:t>
      </w:r>
    </w:p>
    <w:p w14:paraId="203C4EDE" w14:textId="77777777" w:rsidR="00960DA7" w:rsidRDefault="00960DA7" w:rsidP="00960DA7">
      <w:pPr>
        <w:spacing w:before="113" w:after="113" w:line="240" w:lineRule="auto"/>
        <w:jc w:val="both"/>
      </w:pPr>
      <w:r w:rsidRPr="00BC7275">
        <w:rPr>
          <w:szCs w:val="18"/>
        </w:rPr>
        <w:lastRenderedPageBreak/>
        <w:t xml:space="preserve">Výběr účastníků reflektuje cíle a nastavení expertního panelu, který klade požadavky na nezaujatost, expertízu a mnohostrannost názorového zastoupení. Za tímto účelem </w:t>
      </w:r>
      <w:r>
        <w:rPr>
          <w:szCs w:val="18"/>
        </w:rPr>
        <w:t>nominuje Dodavatel m</w:t>
      </w:r>
      <w:r>
        <w:t>ezi účastníky EP:</w:t>
      </w:r>
    </w:p>
    <w:p w14:paraId="44AA5DB6" w14:textId="77777777" w:rsidR="00960DA7" w:rsidRDefault="00960DA7" w:rsidP="00960DA7">
      <w:pPr>
        <w:pStyle w:val="ListParagraph"/>
        <w:numPr>
          <w:ilvl w:val="0"/>
          <w:numId w:val="18"/>
        </w:numPr>
        <w:spacing w:after="120" w:line="240" w:lineRule="auto"/>
        <w:contextualSpacing w:val="0"/>
        <w:jc w:val="both"/>
        <w:rPr>
          <w:szCs w:val="18"/>
        </w:rPr>
      </w:pPr>
      <w:r>
        <w:rPr>
          <w:szCs w:val="18"/>
        </w:rPr>
        <w:t xml:space="preserve">Zástupce poskytovatelů záručních a </w:t>
      </w:r>
      <w:r w:rsidR="00863EC6">
        <w:rPr>
          <w:szCs w:val="18"/>
        </w:rPr>
        <w:t xml:space="preserve">zvýhodněných </w:t>
      </w:r>
      <w:r>
        <w:rPr>
          <w:szCs w:val="18"/>
        </w:rPr>
        <w:t>úvěrových podnikatelských produktů (</w:t>
      </w:r>
      <w:r w:rsidRPr="00910F15">
        <w:rPr>
          <w:szCs w:val="18"/>
        </w:rPr>
        <w:t>ČMZRB</w:t>
      </w:r>
      <w:r>
        <w:rPr>
          <w:szCs w:val="18"/>
        </w:rPr>
        <w:t xml:space="preserve"> zajišťující agendu programu EXPANZE</w:t>
      </w:r>
      <w:r w:rsidR="00863EC6">
        <w:rPr>
          <w:szCs w:val="18"/>
        </w:rPr>
        <w:t>, ÚSPORY ENERGIE a další programy</w:t>
      </w:r>
      <w:r>
        <w:rPr>
          <w:szCs w:val="18"/>
        </w:rPr>
        <w:t>)</w:t>
      </w:r>
    </w:p>
    <w:p w14:paraId="56D9D865" w14:textId="77777777" w:rsidR="00960DA7" w:rsidRDefault="00960DA7" w:rsidP="00960DA7">
      <w:pPr>
        <w:pStyle w:val="ListParagraph"/>
        <w:numPr>
          <w:ilvl w:val="0"/>
          <w:numId w:val="18"/>
        </w:numPr>
        <w:spacing w:after="120" w:line="240" w:lineRule="auto"/>
        <w:ind w:left="714" w:hanging="357"/>
        <w:contextualSpacing w:val="0"/>
        <w:jc w:val="both"/>
        <w:rPr>
          <w:szCs w:val="18"/>
        </w:rPr>
      </w:pPr>
      <w:r>
        <w:rPr>
          <w:szCs w:val="18"/>
        </w:rPr>
        <w:t xml:space="preserve">Zástupce </w:t>
      </w:r>
      <w:r w:rsidRPr="00910F15">
        <w:rPr>
          <w:szCs w:val="18"/>
        </w:rPr>
        <w:t>České bankovní asociace</w:t>
      </w:r>
    </w:p>
    <w:p w14:paraId="7E4F8D41" w14:textId="6AAB95BE" w:rsidR="00960DA7" w:rsidRDefault="00960DA7" w:rsidP="00960DA7">
      <w:pPr>
        <w:pStyle w:val="ListParagraph"/>
        <w:numPr>
          <w:ilvl w:val="0"/>
          <w:numId w:val="18"/>
        </w:numPr>
        <w:spacing w:after="120" w:line="240" w:lineRule="auto"/>
        <w:contextualSpacing w:val="0"/>
        <w:jc w:val="both"/>
        <w:rPr>
          <w:szCs w:val="18"/>
        </w:rPr>
      </w:pPr>
      <w:r>
        <w:rPr>
          <w:szCs w:val="18"/>
        </w:rPr>
        <w:t>Zástupce poskytovatelů úvěrů</w:t>
      </w:r>
      <w:r w:rsidRPr="00C725BC">
        <w:rPr>
          <w:szCs w:val="18"/>
        </w:rPr>
        <w:t xml:space="preserve"> </w:t>
      </w:r>
      <w:r>
        <w:rPr>
          <w:szCs w:val="18"/>
        </w:rPr>
        <w:t xml:space="preserve">pro MSP </w:t>
      </w:r>
      <w:r w:rsidRPr="00C725BC">
        <w:rPr>
          <w:szCs w:val="18"/>
        </w:rPr>
        <w:t xml:space="preserve">ve spolupráci s </w:t>
      </w:r>
      <w:r>
        <w:rPr>
          <w:szCs w:val="18"/>
        </w:rPr>
        <w:t xml:space="preserve">EIB (např. </w:t>
      </w:r>
      <w:r w:rsidRPr="00C725BC">
        <w:rPr>
          <w:szCs w:val="18"/>
        </w:rPr>
        <w:t>K</w:t>
      </w:r>
      <w:r>
        <w:rPr>
          <w:szCs w:val="18"/>
        </w:rPr>
        <w:t>omerční banka a.s.</w:t>
      </w:r>
      <w:r>
        <w:rPr>
          <w:rStyle w:val="FootnoteReference"/>
          <w:szCs w:val="18"/>
        </w:rPr>
        <w:footnoteReference w:id="3"/>
      </w:r>
      <w:r>
        <w:rPr>
          <w:szCs w:val="18"/>
        </w:rPr>
        <w:t>, Československá obchodní banka a.s.</w:t>
      </w:r>
      <w:r>
        <w:rPr>
          <w:rStyle w:val="FootnoteReference"/>
          <w:szCs w:val="18"/>
        </w:rPr>
        <w:footnoteReference w:id="4"/>
      </w:r>
      <w:r>
        <w:rPr>
          <w:szCs w:val="18"/>
        </w:rPr>
        <w:t xml:space="preserve">, </w:t>
      </w:r>
      <w:r w:rsidRPr="00C725BC">
        <w:rPr>
          <w:szCs w:val="18"/>
        </w:rPr>
        <w:t>SG Equipment Finance</w:t>
      </w:r>
      <w:r>
        <w:rPr>
          <w:szCs w:val="18"/>
        </w:rPr>
        <w:t xml:space="preserve"> </w:t>
      </w:r>
      <w:r w:rsidRPr="00C725BC">
        <w:rPr>
          <w:szCs w:val="18"/>
        </w:rPr>
        <w:t>Czech Republic s.r.o.</w:t>
      </w:r>
      <w:r>
        <w:rPr>
          <w:rStyle w:val="FootnoteReference"/>
          <w:szCs w:val="18"/>
        </w:rPr>
        <w:footnoteReference w:id="5"/>
      </w:r>
      <w:r>
        <w:rPr>
          <w:szCs w:val="18"/>
        </w:rPr>
        <w:t>)</w:t>
      </w:r>
    </w:p>
    <w:p w14:paraId="4CEAEC66" w14:textId="77777777" w:rsidR="00960DA7" w:rsidRDefault="00960DA7" w:rsidP="00960DA7">
      <w:pPr>
        <w:pStyle w:val="ListParagraph"/>
        <w:numPr>
          <w:ilvl w:val="0"/>
          <w:numId w:val="18"/>
        </w:numPr>
        <w:spacing w:after="120" w:line="240" w:lineRule="auto"/>
        <w:contextualSpacing w:val="0"/>
        <w:jc w:val="both"/>
        <w:rPr>
          <w:szCs w:val="18"/>
        </w:rPr>
      </w:pPr>
      <w:r>
        <w:rPr>
          <w:szCs w:val="18"/>
        </w:rPr>
        <w:t>Z</w:t>
      </w:r>
      <w:r w:rsidRPr="00910F15">
        <w:rPr>
          <w:szCs w:val="18"/>
        </w:rPr>
        <w:t xml:space="preserve">ástupce </w:t>
      </w:r>
      <w:r>
        <w:rPr>
          <w:szCs w:val="18"/>
        </w:rPr>
        <w:t xml:space="preserve">MF ČR </w:t>
      </w:r>
      <w:r w:rsidRPr="003B4837">
        <w:t>oddělení 2001 - Financování státu a řízení likvidity státní poklad</w:t>
      </w:r>
      <w:r>
        <w:t>ny</w:t>
      </w:r>
      <w:r>
        <w:rPr>
          <w:rStyle w:val="FootnoteReference"/>
          <w:szCs w:val="18"/>
        </w:rPr>
        <w:footnoteReference w:id="6"/>
      </w:r>
      <w:r>
        <w:rPr>
          <w:szCs w:val="18"/>
        </w:rPr>
        <w:t xml:space="preserve"> a </w:t>
      </w:r>
      <w:r w:rsidRPr="00E85794">
        <w:rPr>
          <w:szCs w:val="18"/>
        </w:rPr>
        <w:t>oddělení 5803 - Mezinárodní finanční instituce a rozvojová spolupráce</w:t>
      </w:r>
      <w:r>
        <w:rPr>
          <w:rStyle w:val="FootnoteReference"/>
          <w:szCs w:val="18"/>
        </w:rPr>
        <w:footnoteReference w:id="7"/>
      </w:r>
      <w:r>
        <w:rPr>
          <w:szCs w:val="18"/>
        </w:rPr>
        <w:t xml:space="preserve"> zajišťující agendu úvěrů od EIB</w:t>
      </w:r>
    </w:p>
    <w:p w14:paraId="6B7BF392" w14:textId="77777777" w:rsidR="00960DA7" w:rsidRDefault="00960DA7" w:rsidP="00960DA7">
      <w:pPr>
        <w:pStyle w:val="ListParagraph"/>
        <w:numPr>
          <w:ilvl w:val="0"/>
          <w:numId w:val="18"/>
        </w:numPr>
        <w:spacing w:after="120" w:line="240" w:lineRule="auto"/>
        <w:ind w:left="714" w:hanging="357"/>
        <w:contextualSpacing w:val="0"/>
        <w:jc w:val="both"/>
        <w:rPr>
          <w:szCs w:val="18"/>
        </w:rPr>
      </w:pPr>
      <w:r>
        <w:rPr>
          <w:szCs w:val="18"/>
        </w:rPr>
        <w:t>Z</w:t>
      </w:r>
      <w:r w:rsidRPr="00910F15">
        <w:rPr>
          <w:szCs w:val="18"/>
        </w:rPr>
        <w:t>ástupce MPO</w:t>
      </w:r>
      <w:r>
        <w:rPr>
          <w:szCs w:val="18"/>
        </w:rPr>
        <w:t xml:space="preserve"> sekce Fondů EU (řídící orgán OP PIK) a/nebo API (zprostředkující subjekt OP PIK)</w:t>
      </w:r>
    </w:p>
    <w:p w14:paraId="0D3C252C" w14:textId="77777777" w:rsidR="00960DA7" w:rsidRPr="00BC7275" w:rsidRDefault="00960DA7" w:rsidP="00960DA7">
      <w:pPr>
        <w:pStyle w:val="ListParagraph"/>
        <w:numPr>
          <w:ilvl w:val="0"/>
          <w:numId w:val="18"/>
        </w:numPr>
        <w:spacing w:after="120" w:line="240" w:lineRule="auto"/>
        <w:ind w:left="714" w:hanging="357"/>
        <w:contextualSpacing w:val="0"/>
        <w:jc w:val="both"/>
        <w:rPr>
          <w:szCs w:val="18"/>
        </w:rPr>
      </w:pPr>
      <w:r>
        <w:rPr>
          <w:szCs w:val="18"/>
        </w:rPr>
        <w:t>Zástupce MŽP s</w:t>
      </w:r>
      <w:r>
        <w:t>ekce Fondů EU, finančních a dobrovolných nástrojů (řídící orgán OPŽP), SFŽP (zprostředkující subjekt OPŽP a realizátor NPŽP)</w:t>
      </w:r>
    </w:p>
    <w:p w14:paraId="576AC9A5" w14:textId="77777777" w:rsidR="00960DA7" w:rsidRDefault="00960DA7" w:rsidP="00960DA7">
      <w:pPr>
        <w:pStyle w:val="ListParagraph"/>
        <w:numPr>
          <w:ilvl w:val="0"/>
          <w:numId w:val="18"/>
        </w:numPr>
        <w:spacing w:after="120" w:line="240" w:lineRule="auto"/>
        <w:ind w:left="714" w:hanging="357"/>
        <w:contextualSpacing w:val="0"/>
        <w:jc w:val="both"/>
        <w:rPr>
          <w:szCs w:val="18"/>
        </w:rPr>
      </w:pPr>
      <w:r>
        <w:rPr>
          <w:szCs w:val="18"/>
        </w:rPr>
        <w:t xml:space="preserve">Zástupce </w:t>
      </w:r>
      <w:r w:rsidRPr="00910F15">
        <w:rPr>
          <w:szCs w:val="18"/>
        </w:rPr>
        <w:t>E</w:t>
      </w:r>
      <w:r>
        <w:rPr>
          <w:szCs w:val="18"/>
        </w:rPr>
        <w:t>IB (pokud možno)</w:t>
      </w:r>
    </w:p>
    <w:p w14:paraId="36C6B5C7" w14:textId="77777777" w:rsidR="00960DA7" w:rsidRDefault="00960DA7" w:rsidP="00960DA7">
      <w:pPr>
        <w:pStyle w:val="ListParagraph"/>
        <w:numPr>
          <w:ilvl w:val="0"/>
          <w:numId w:val="18"/>
        </w:numPr>
        <w:spacing w:after="120" w:line="240" w:lineRule="auto"/>
        <w:ind w:left="714" w:hanging="357"/>
        <w:contextualSpacing w:val="0"/>
        <w:jc w:val="both"/>
        <w:rPr>
          <w:szCs w:val="18"/>
        </w:rPr>
      </w:pPr>
      <w:r>
        <w:rPr>
          <w:szCs w:val="18"/>
        </w:rPr>
        <w:t>Z</w:t>
      </w:r>
      <w:r w:rsidRPr="00910F15">
        <w:rPr>
          <w:szCs w:val="18"/>
        </w:rPr>
        <w:t>ástupce zastřešujících organizací podnikatelů (např. Svaz průmyslu a dopravy</w:t>
      </w:r>
      <w:r>
        <w:rPr>
          <w:szCs w:val="18"/>
        </w:rPr>
        <w:t xml:space="preserve"> </w:t>
      </w:r>
      <w:r>
        <w:t xml:space="preserve">ČR, Asociace malých a středních podniků a živnostníků ČR, </w:t>
      </w:r>
      <w:r w:rsidRPr="004F3F2F">
        <w:t>Komora obnovitelných zdrojů energie</w:t>
      </w:r>
      <w:r>
        <w:t xml:space="preserve">, </w:t>
      </w:r>
      <w:r w:rsidRPr="00FB13CA">
        <w:t>Teplárenské sdružení ČR</w:t>
      </w:r>
      <w:r>
        <w:t>, Český plynárenský svaz</w:t>
      </w:r>
      <w:r w:rsidRPr="00910F15">
        <w:rPr>
          <w:szCs w:val="18"/>
        </w:rPr>
        <w:t>)</w:t>
      </w:r>
    </w:p>
    <w:p w14:paraId="00387048" w14:textId="77777777" w:rsidR="00960DA7" w:rsidRPr="00CE6508" w:rsidRDefault="00960DA7" w:rsidP="00960DA7">
      <w:pPr>
        <w:spacing w:before="113" w:after="113" w:line="240" w:lineRule="auto"/>
        <w:jc w:val="both"/>
        <w:rPr>
          <w:szCs w:val="18"/>
        </w:rPr>
      </w:pPr>
      <w:r w:rsidRPr="00BC7275">
        <w:rPr>
          <w:szCs w:val="18"/>
        </w:rPr>
        <w:t xml:space="preserve">Expertního panelu se zúčastní </w:t>
      </w:r>
      <w:r w:rsidR="000E3116">
        <w:rPr>
          <w:szCs w:val="18"/>
        </w:rPr>
        <w:t>5</w:t>
      </w:r>
      <w:r w:rsidRPr="00BC7275">
        <w:rPr>
          <w:szCs w:val="18"/>
        </w:rPr>
        <w:t xml:space="preserve"> </w:t>
      </w:r>
      <w:r>
        <w:rPr>
          <w:szCs w:val="18"/>
        </w:rPr>
        <w:t xml:space="preserve">– </w:t>
      </w:r>
      <w:r w:rsidR="000E3116">
        <w:rPr>
          <w:szCs w:val="18"/>
        </w:rPr>
        <w:t>8</w:t>
      </w:r>
      <w:r>
        <w:rPr>
          <w:szCs w:val="18"/>
        </w:rPr>
        <w:t xml:space="preserve"> </w:t>
      </w:r>
      <w:r w:rsidRPr="00BC7275">
        <w:rPr>
          <w:szCs w:val="18"/>
        </w:rPr>
        <w:t>účastníků</w:t>
      </w:r>
      <w:r>
        <w:rPr>
          <w:szCs w:val="18"/>
        </w:rPr>
        <w:t>.</w:t>
      </w:r>
    </w:p>
    <w:p w14:paraId="10383D98" w14:textId="77777777" w:rsidR="00960DA7" w:rsidRPr="00CE7B5B" w:rsidRDefault="00960DA7" w:rsidP="00960DA7">
      <w:pPr>
        <w:keepNext/>
        <w:spacing w:before="240" w:after="120" w:line="240" w:lineRule="auto"/>
        <w:rPr>
          <w:b/>
          <w:color w:val="012169" w:themeColor="accent4"/>
        </w:rPr>
      </w:pPr>
      <w:r w:rsidRPr="00CE7B5B">
        <w:rPr>
          <w:b/>
          <w:color w:val="012169" w:themeColor="accent4"/>
        </w:rPr>
        <w:t>Dílčí harmonogram</w:t>
      </w:r>
    </w:p>
    <w:p w14:paraId="589FB5FA" w14:textId="77777777" w:rsidR="00960DA7" w:rsidRPr="00BC7275" w:rsidRDefault="00960DA7" w:rsidP="00960DA7">
      <w:pPr>
        <w:spacing w:line="240" w:lineRule="auto"/>
        <w:jc w:val="both"/>
      </w:pPr>
      <w:r w:rsidRPr="00BC7275">
        <w:t xml:space="preserve">V rámci realizace </w:t>
      </w:r>
      <w:r>
        <w:t>EP</w:t>
      </w:r>
      <w:r w:rsidRPr="00BC7275">
        <w:t xml:space="preserve"> podnikne Dodavatel tyto klíčové kroky, přičemž u některých z nich bude od</w:t>
      </w:r>
      <w:r>
        <w:t> </w:t>
      </w:r>
      <w:r w:rsidRPr="00BC7275">
        <w:t>Zadavatele potřebovat součinnost.</w:t>
      </w:r>
    </w:p>
    <w:p w14:paraId="02152427" w14:textId="77777777" w:rsidR="00960DA7" w:rsidRDefault="00960DA7" w:rsidP="00960DA7">
      <w:pPr>
        <w:pStyle w:val="Caption"/>
        <w:spacing w:before="240" w:after="120"/>
        <w:jc w:val="center"/>
      </w:pPr>
      <w:bookmarkStart w:id="33" w:name="_Toc24384738"/>
      <w:r>
        <w:t xml:space="preserve">Tabulka </w:t>
      </w:r>
      <w:r>
        <w:fldChar w:fldCharType="begin"/>
      </w:r>
      <w:r>
        <w:instrText xml:space="preserve"> SEQ Tabulka \* ARABIC </w:instrText>
      </w:r>
      <w:r>
        <w:fldChar w:fldCharType="separate"/>
      </w:r>
      <w:r w:rsidR="007401D1">
        <w:rPr>
          <w:noProof/>
        </w:rPr>
        <w:t>7</w:t>
      </w:r>
      <w:r>
        <w:fldChar w:fldCharType="end"/>
      </w:r>
      <w:r>
        <w:t>: Harmonogram expertního panelu</w:t>
      </w:r>
      <w:bookmarkEnd w:id="33"/>
    </w:p>
    <w:tbl>
      <w:tblPr>
        <w:tblStyle w:val="Deloittetable11"/>
        <w:tblW w:w="5000" w:type="pct"/>
        <w:tblBorders>
          <w:bottom w:val="single" w:sz="4" w:space="0" w:color="86BC25" w:themeColor="accent1"/>
          <w:insideH w:val="single" w:sz="4" w:space="0" w:color="86BC25" w:themeColor="accent1"/>
        </w:tblBorders>
        <w:tblCellMar>
          <w:top w:w="0" w:type="dxa"/>
          <w:left w:w="108" w:type="dxa"/>
          <w:bottom w:w="0" w:type="dxa"/>
          <w:right w:w="108" w:type="dxa"/>
        </w:tblCellMar>
        <w:tblLook w:val="04A0" w:firstRow="1" w:lastRow="0" w:firstColumn="1" w:lastColumn="0" w:noHBand="0" w:noVBand="1"/>
      </w:tblPr>
      <w:tblGrid>
        <w:gridCol w:w="348"/>
        <w:gridCol w:w="4377"/>
        <w:gridCol w:w="1548"/>
        <w:gridCol w:w="1420"/>
        <w:gridCol w:w="1377"/>
      </w:tblGrid>
      <w:tr w:rsidR="00960DA7" w:rsidRPr="00BC7275" w14:paraId="58E8C39A" w14:textId="77777777" w:rsidTr="002E223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93" w:type="pct"/>
            <w:shd w:val="clear" w:color="auto" w:fill="86BC25" w:themeFill="accent1"/>
            <w:vAlign w:val="center"/>
          </w:tcPr>
          <w:p w14:paraId="00189A2E" w14:textId="77777777" w:rsidR="00960DA7" w:rsidRPr="00BC7275" w:rsidRDefault="00960DA7" w:rsidP="002E223C">
            <w:pPr>
              <w:spacing w:after="0" w:line="240" w:lineRule="auto"/>
              <w:jc w:val="center"/>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Č</w:t>
            </w:r>
          </w:p>
        </w:tc>
        <w:tc>
          <w:tcPr>
            <w:tcW w:w="2414" w:type="pct"/>
            <w:shd w:val="clear" w:color="auto" w:fill="86BC25" w:themeFill="accent1"/>
            <w:vAlign w:val="center"/>
          </w:tcPr>
          <w:p w14:paraId="4ADF780E" w14:textId="77777777" w:rsidR="00960DA7" w:rsidRPr="00BC7275" w:rsidRDefault="00960DA7" w:rsidP="002E223C">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Aktivita</w:t>
            </w:r>
          </w:p>
        </w:tc>
        <w:tc>
          <w:tcPr>
            <w:tcW w:w="849" w:type="pct"/>
            <w:shd w:val="clear" w:color="auto" w:fill="86BC25" w:themeFill="accent1"/>
            <w:vAlign w:val="center"/>
          </w:tcPr>
          <w:p w14:paraId="7A0D9B66" w14:textId="77777777" w:rsidR="00960DA7" w:rsidRPr="00BC7275" w:rsidRDefault="00960DA7" w:rsidP="002E22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Odpovědnost</w:t>
            </w:r>
          </w:p>
        </w:tc>
        <w:tc>
          <w:tcPr>
            <w:tcW w:w="784" w:type="pct"/>
            <w:shd w:val="clear" w:color="auto" w:fill="86BC25" w:themeFill="accent1"/>
            <w:vAlign w:val="center"/>
          </w:tcPr>
          <w:p w14:paraId="770FA405" w14:textId="77777777" w:rsidR="00960DA7" w:rsidRPr="00BC7275" w:rsidRDefault="00960DA7" w:rsidP="002E22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Termín</w:t>
            </w:r>
          </w:p>
        </w:tc>
        <w:tc>
          <w:tcPr>
            <w:tcW w:w="760" w:type="pct"/>
            <w:shd w:val="clear" w:color="auto" w:fill="86BC25" w:themeFill="accent1"/>
            <w:vAlign w:val="center"/>
          </w:tcPr>
          <w:p w14:paraId="2E143958" w14:textId="77777777" w:rsidR="00960DA7" w:rsidRPr="00BC7275" w:rsidRDefault="00960DA7" w:rsidP="002E223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Náročnost</w:t>
            </w:r>
          </w:p>
        </w:tc>
      </w:tr>
      <w:tr w:rsidR="00960DA7" w:rsidRPr="00BC7275" w14:paraId="41E39E70" w14:textId="77777777" w:rsidTr="002E223C">
        <w:trPr>
          <w:trHeight w:val="340"/>
        </w:trPr>
        <w:tc>
          <w:tcPr>
            <w:cnfStyle w:val="001000000000" w:firstRow="0" w:lastRow="0" w:firstColumn="1" w:lastColumn="0" w:oddVBand="0" w:evenVBand="0" w:oddHBand="0" w:evenHBand="0" w:firstRowFirstColumn="0" w:firstRowLastColumn="0" w:lastRowFirstColumn="0" w:lastRowLastColumn="0"/>
            <w:tcW w:w="193" w:type="pct"/>
            <w:vAlign w:val="center"/>
          </w:tcPr>
          <w:p w14:paraId="74A4D497" w14:textId="77777777" w:rsidR="00960DA7" w:rsidRPr="00BC7275" w:rsidRDefault="00960DA7" w:rsidP="002E223C">
            <w:pPr>
              <w:spacing w:after="0" w:line="240" w:lineRule="auto"/>
              <w:rPr>
                <w:rFonts w:asciiTheme="majorHAnsi" w:hAnsiTheme="majorHAnsi" w:cs="Calibri"/>
                <w:color w:val="000000"/>
                <w:szCs w:val="18"/>
                <w:lang w:eastAsia="cs-CZ"/>
              </w:rPr>
            </w:pPr>
            <w:r w:rsidRPr="00BC7275">
              <w:rPr>
                <w:rFonts w:eastAsia="Times New Roman" w:cs="Calibri"/>
                <w:color w:val="000000"/>
                <w:szCs w:val="18"/>
                <w:lang w:eastAsia="cs-CZ"/>
              </w:rPr>
              <w:t>1</w:t>
            </w:r>
          </w:p>
        </w:tc>
        <w:tc>
          <w:tcPr>
            <w:tcW w:w="2414" w:type="pct"/>
            <w:vAlign w:val="center"/>
          </w:tcPr>
          <w:p w14:paraId="727CA967"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Návrh scénáře expertního panelu a seznamu </w:t>
            </w:r>
            <w:r>
              <w:rPr>
                <w:color w:val="000000"/>
                <w:szCs w:val="18"/>
              </w:rPr>
              <w:t>účastníků</w:t>
            </w:r>
          </w:p>
        </w:tc>
        <w:tc>
          <w:tcPr>
            <w:tcW w:w="849" w:type="pct"/>
            <w:vAlign w:val="center"/>
          </w:tcPr>
          <w:p w14:paraId="337BBAB2"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Deloitte</w:t>
            </w:r>
          </w:p>
        </w:tc>
        <w:tc>
          <w:tcPr>
            <w:tcW w:w="784" w:type="pct"/>
            <w:vAlign w:val="center"/>
          </w:tcPr>
          <w:p w14:paraId="2CB61642"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10. 4. 2020</w:t>
            </w:r>
          </w:p>
        </w:tc>
        <w:tc>
          <w:tcPr>
            <w:tcW w:w="760" w:type="pct"/>
            <w:shd w:val="clear" w:color="auto" w:fill="auto"/>
            <w:vAlign w:val="center"/>
          </w:tcPr>
          <w:p w14:paraId="6080A26A"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960DA7" w:rsidRPr="00BC7275" w14:paraId="7A33179D" w14:textId="77777777" w:rsidTr="002E223C">
        <w:trPr>
          <w:trHeight w:val="340"/>
        </w:trPr>
        <w:tc>
          <w:tcPr>
            <w:cnfStyle w:val="001000000000" w:firstRow="0" w:lastRow="0" w:firstColumn="1" w:lastColumn="0" w:oddVBand="0" w:evenVBand="0" w:oddHBand="0" w:evenHBand="0" w:firstRowFirstColumn="0" w:firstRowLastColumn="0" w:lastRowFirstColumn="0" w:lastRowLastColumn="0"/>
            <w:tcW w:w="193" w:type="pct"/>
            <w:vAlign w:val="center"/>
          </w:tcPr>
          <w:p w14:paraId="54421809" w14:textId="77777777" w:rsidR="00960DA7" w:rsidRPr="00BC7275" w:rsidRDefault="00960DA7" w:rsidP="002E223C">
            <w:pPr>
              <w:spacing w:after="0" w:line="240" w:lineRule="auto"/>
              <w:rPr>
                <w:rFonts w:asciiTheme="majorHAnsi" w:hAnsiTheme="majorHAnsi" w:cs="Calibri"/>
                <w:color w:val="000000"/>
                <w:szCs w:val="18"/>
                <w:lang w:eastAsia="cs-CZ"/>
              </w:rPr>
            </w:pPr>
            <w:r w:rsidRPr="00BC7275">
              <w:rPr>
                <w:rFonts w:eastAsia="Times New Roman" w:cs="Calibri"/>
                <w:color w:val="000000"/>
                <w:szCs w:val="18"/>
                <w:lang w:eastAsia="cs-CZ"/>
              </w:rPr>
              <w:t>2</w:t>
            </w:r>
          </w:p>
        </w:tc>
        <w:tc>
          <w:tcPr>
            <w:tcW w:w="2414" w:type="pct"/>
            <w:vAlign w:val="center"/>
          </w:tcPr>
          <w:p w14:paraId="06A0F9F3"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Validace seznamu </w:t>
            </w:r>
            <w:r>
              <w:rPr>
                <w:color w:val="000000"/>
                <w:szCs w:val="18"/>
              </w:rPr>
              <w:t>účastníků</w:t>
            </w:r>
            <w:r w:rsidRPr="00BC7275">
              <w:rPr>
                <w:color w:val="000000"/>
                <w:szCs w:val="18"/>
              </w:rPr>
              <w:t xml:space="preserve"> a předání kontaktů</w:t>
            </w:r>
          </w:p>
        </w:tc>
        <w:tc>
          <w:tcPr>
            <w:tcW w:w="849" w:type="pct"/>
            <w:vAlign w:val="center"/>
          </w:tcPr>
          <w:p w14:paraId="68A1893C"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MPO</w:t>
            </w:r>
          </w:p>
        </w:tc>
        <w:tc>
          <w:tcPr>
            <w:tcW w:w="784" w:type="pct"/>
            <w:vAlign w:val="center"/>
          </w:tcPr>
          <w:p w14:paraId="181AB836"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17. 4. 2020</w:t>
            </w:r>
          </w:p>
        </w:tc>
        <w:tc>
          <w:tcPr>
            <w:tcW w:w="760" w:type="pct"/>
            <w:shd w:val="clear" w:color="auto" w:fill="86BC25" w:themeFill="accent1"/>
            <w:vAlign w:val="center"/>
          </w:tcPr>
          <w:p w14:paraId="5419BB4B" w14:textId="77777777" w:rsidR="00960DA7" w:rsidRPr="00BC7275" w:rsidRDefault="00960DA7"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nízká</w:t>
            </w:r>
          </w:p>
        </w:tc>
      </w:tr>
      <w:tr w:rsidR="00960DA7" w:rsidRPr="00BC7275" w14:paraId="4226248A" w14:textId="77777777" w:rsidTr="002E223C">
        <w:trPr>
          <w:trHeight w:val="340"/>
        </w:trPr>
        <w:tc>
          <w:tcPr>
            <w:cnfStyle w:val="001000000000" w:firstRow="0" w:lastRow="0" w:firstColumn="1" w:lastColumn="0" w:oddVBand="0" w:evenVBand="0" w:oddHBand="0" w:evenHBand="0" w:firstRowFirstColumn="0" w:firstRowLastColumn="0" w:lastRowFirstColumn="0" w:lastRowLastColumn="0"/>
            <w:tcW w:w="193" w:type="pct"/>
            <w:vAlign w:val="center"/>
          </w:tcPr>
          <w:p w14:paraId="151DED68" w14:textId="77777777" w:rsidR="00960DA7" w:rsidRPr="00BC7275" w:rsidRDefault="00960DA7" w:rsidP="002E223C">
            <w:pPr>
              <w:spacing w:after="0" w:line="240" w:lineRule="auto"/>
              <w:rPr>
                <w:rFonts w:eastAsia="Times New Roman" w:cs="Calibri"/>
                <w:color w:val="000000"/>
                <w:szCs w:val="18"/>
                <w:lang w:eastAsia="cs-CZ"/>
              </w:rPr>
            </w:pPr>
            <w:r w:rsidRPr="00BC7275">
              <w:rPr>
                <w:rFonts w:eastAsia="Times New Roman" w:cs="Calibri"/>
                <w:color w:val="000000"/>
                <w:szCs w:val="18"/>
                <w:lang w:eastAsia="cs-CZ"/>
              </w:rPr>
              <w:t>3</w:t>
            </w:r>
          </w:p>
        </w:tc>
        <w:tc>
          <w:tcPr>
            <w:tcW w:w="2414" w:type="pct"/>
            <w:vAlign w:val="center"/>
          </w:tcPr>
          <w:p w14:paraId="38295C90"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Validace scénáře a otázek se Zadavatelem</w:t>
            </w:r>
          </w:p>
        </w:tc>
        <w:tc>
          <w:tcPr>
            <w:tcW w:w="849" w:type="pct"/>
            <w:vAlign w:val="center"/>
          </w:tcPr>
          <w:p w14:paraId="25D0D97B"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MPO</w:t>
            </w:r>
          </w:p>
        </w:tc>
        <w:tc>
          <w:tcPr>
            <w:tcW w:w="784" w:type="pct"/>
            <w:vAlign w:val="center"/>
          </w:tcPr>
          <w:p w14:paraId="5833FD01"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17. 4. 2020</w:t>
            </w:r>
          </w:p>
        </w:tc>
        <w:tc>
          <w:tcPr>
            <w:tcW w:w="760" w:type="pct"/>
            <w:shd w:val="clear" w:color="auto" w:fill="FFC000"/>
            <w:vAlign w:val="center"/>
          </w:tcPr>
          <w:p w14:paraId="5D7DE77A" w14:textId="77777777" w:rsidR="00960DA7" w:rsidRPr="00BC7275" w:rsidRDefault="00960DA7" w:rsidP="00E13A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r>
              <w:rPr>
                <w:rFonts w:ascii="Arial" w:eastAsia="Times New Roman" w:hAnsi="Arial" w:cs="Times New Roman"/>
                <w:color w:val="000000"/>
                <w:szCs w:val="18"/>
                <w:lang w:eastAsia="cs-CZ"/>
              </w:rPr>
              <w:t>střední</w:t>
            </w:r>
          </w:p>
        </w:tc>
      </w:tr>
      <w:tr w:rsidR="00960DA7" w:rsidRPr="00BC7275" w14:paraId="0FD2D171" w14:textId="77777777" w:rsidTr="002E223C">
        <w:trPr>
          <w:trHeight w:val="340"/>
        </w:trPr>
        <w:tc>
          <w:tcPr>
            <w:cnfStyle w:val="001000000000" w:firstRow="0" w:lastRow="0" w:firstColumn="1" w:lastColumn="0" w:oddVBand="0" w:evenVBand="0" w:oddHBand="0" w:evenHBand="0" w:firstRowFirstColumn="0" w:firstRowLastColumn="0" w:lastRowFirstColumn="0" w:lastRowLastColumn="0"/>
            <w:tcW w:w="193" w:type="pct"/>
            <w:vAlign w:val="center"/>
          </w:tcPr>
          <w:p w14:paraId="4C548737" w14:textId="77777777" w:rsidR="00960DA7" w:rsidRPr="00BC7275" w:rsidRDefault="00960DA7" w:rsidP="002E223C">
            <w:pPr>
              <w:spacing w:after="0" w:line="240" w:lineRule="auto"/>
              <w:rPr>
                <w:rFonts w:eastAsia="Times New Roman" w:cs="Calibri"/>
                <w:color w:val="000000"/>
                <w:szCs w:val="18"/>
                <w:lang w:eastAsia="cs-CZ"/>
              </w:rPr>
            </w:pPr>
            <w:r w:rsidRPr="00BC7275">
              <w:rPr>
                <w:rFonts w:eastAsia="Times New Roman" w:cs="Calibri"/>
                <w:color w:val="000000"/>
                <w:szCs w:val="18"/>
                <w:lang w:eastAsia="cs-CZ"/>
              </w:rPr>
              <w:t>4</w:t>
            </w:r>
          </w:p>
        </w:tc>
        <w:tc>
          <w:tcPr>
            <w:tcW w:w="2414" w:type="pct"/>
            <w:vAlign w:val="center"/>
          </w:tcPr>
          <w:p w14:paraId="61D434F3"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 xml:space="preserve">Příprava expertního panelu a oslovení </w:t>
            </w:r>
            <w:r>
              <w:rPr>
                <w:color w:val="000000"/>
                <w:szCs w:val="18"/>
              </w:rPr>
              <w:t>účastníků</w:t>
            </w:r>
          </w:p>
        </w:tc>
        <w:tc>
          <w:tcPr>
            <w:tcW w:w="849" w:type="pct"/>
            <w:vAlign w:val="center"/>
          </w:tcPr>
          <w:p w14:paraId="250044AA"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vAlign w:val="center"/>
          </w:tcPr>
          <w:p w14:paraId="1657074D"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24. 4. 2020</w:t>
            </w:r>
          </w:p>
        </w:tc>
        <w:tc>
          <w:tcPr>
            <w:tcW w:w="760" w:type="pct"/>
            <w:shd w:val="clear" w:color="auto" w:fill="auto"/>
            <w:vAlign w:val="center"/>
          </w:tcPr>
          <w:p w14:paraId="23BFCAC6"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960DA7" w:rsidRPr="00BC7275" w14:paraId="32ED0C76" w14:textId="77777777" w:rsidTr="002E223C">
        <w:trPr>
          <w:trHeight w:val="340"/>
        </w:trPr>
        <w:tc>
          <w:tcPr>
            <w:cnfStyle w:val="001000000000" w:firstRow="0" w:lastRow="0" w:firstColumn="1" w:lastColumn="0" w:oddVBand="0" w:evenVBand="0" w:oddHBand="0" w:evenHBand="0" w:firstRowFirstColumn="0" w:firstRowLastColumn="0" w:lastRowFirstColumn="0" w:lastRowLastColumn="0"/>
            <w:tcW w:w="193" w:type="pct"/>
            <w:vAlign w:val="center"/>
          </w:tcPr>
          <w:p w14:paraId="25B9A8C7" w14:textId="77777777" w:rsidR="00960DA7" w:rsidRPr="00BC7275" w:rsidRDefault="00960DA7" w:rsidP="002E223C">
            <w:pPr>
              <w:spacing w:after="0" w:line="240" w:lineRule="auto"/>
              <w:rPr>
                <w:rFonts w:eastAsia="Times New Roman" w:cs="Calibri"/>
                <w:color w:val="000000"/>
                <w:szCs w:val="18"/>
                <w:lang w:eastAsia="cs-CZ"/>
              </w:rPr>
            </w:pPr>
            <w:r w:rsidRPr="00BC7275">
              <w:rPr>
                <w:rFonts w:eastAsia="Times New Roman" w:cs="Calibri"/>
                <w:color w:val="000000"/>
                <w:szCs w:val="18"/>
                <w:lang w:eastAsia="cs-CZ"/>
              </w:rPr>
              <w:t>5</w:t>
            </w:r>
          </w:p>
        </w:tc>
        <w:tc>
          <w:tcPr>
            <w:tcW w:w="2414" w:type="pct"/>
            <w:vAlign w:val="center"/>
          </w:tcPr>
          <w:p w14:paraId="5E8CB421"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Realizace expertního panelu</w:t>
            </w:r>
          </w:p>
        </w:tc>
        <w:tc>
          <w:tcPr>
            <w:tcW w:w="849" w:type="pct"/>
            <w:vAlign w:val="center"/>
          </w:tcPr>
          <w:p w14:paraId="56E74E06"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vAlign w:val="center"/>
          </w:tcPr>
          <w:p w14:paraId="02A91593" w14:textId="32ED8DCA" w:rsidR="00960DA7" w:rsidRPr="00BC7275" w:rsidRDefault="006C1A65"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30</w:t>
            </w:r>
            <w:r w:rsidR="00960DA7">
              <w:rPr>
                <w:rFonts w:asciiTheme="majorHAnsi" w:hAnsiTheme="majorHAnsi" w:cs="Calibri"/>
                <w:color w:val="000000"/>
                <w:szCs w:val="18"/>
                <w:lang w:eastAsia="cs-CZ"/>
              </w:rPr>
              <w:t>. 5. 2020</w:t>
            </w:r>
          </w:p>
        </w:tc>
        <w:tc>
          <w:tcPr>
            <w:tcW w:w="760" w:type="pct"/>
            <w:shd w:val="clear" w:color="auto" w:fill="auto"/>
            <w:vAlign w:val="center"/>
          </w:tcPr>
          <w:p w14:paraId="2BAD5044"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r w:rsidR="00960DA7" w:rsidRPr="00BC7275" w14:paraId="366E18F3" w14:textId="77777777" w:rsidTr="002E223C">
        <w:trPr>
          <w:trHeight w:val="340"/>
        </w:trPr>
        <w:tc>
          <w:tcPr>
            <w:cnfStyle w:val="001000000000" w:firstRow="0" w:lastRow="0" w:firstColumn="1" w:lastColumn="0" w:oddVBand="0" w:evenVBand="0" w:oddHBand="0" w:evenHBand="0" w:firstRowFirstColumn="0" w:firstRowLastColumn="0" w:lastRowFirstColumn="0" w:lastRowLastColumn="0"/>
            <w:tcW w:w="193" w:type="pct"/>
            <w:vAlign w:val="center"/>
          </w:tcPr>
          <w:p w14:paraId="4B03C77C" w14:textId="77777777" w:rsidR="00960DA7" w:rsidRPr="00BC7275" w:rsidRDefault="00960DA7" w:rsidP="002E223C">
            <w:pPr>
              <w:spacing w:after="0" w:line="240" w:lineRule="auto"/>
              <w:rPr>
                <w:rFonts w:eastAsia="Times New Roman" w:cs="Calibri"/>
                <w:color w:val="000000"/>
                <w:szCs w:val="18"/>
                <w:lang w:eastAsia="cs-CZ"/>
              </w:rPr>
            </w:pPr>
            <w:r w:rsidRPr="00BC7275">
              <w:rPr>
                <w:rFonts w:eastAsia="Times New Roman" w:cs="Calibri"/>
                <w:color w:val="000000"/>
                <w:szCs w:val="18"/>
                <w:lang w:eastAsia="cs-CZ"/>
              </w:rPr>
              <w:t>6</w:t>
            </w:r>
          </w:p>
        </w:tc>
        <w:tc>
          <w:tcPr>
            <w:tcW w:w="2414" w:type="pct"/>
            <w:vAlign w:val="center"/>
          </w:tcPr>
          <w:p w14:paraId="6B08B7DC"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BC7275">
              <w:rPr>
                <w:color w:val="000000"/>
                <w:szCs w:val="18"/>
              </w:rPr>
              <w:t>Vyhodnocení výstupů</w:t>
            </w:r>
          </w:p>
        </w:tc>
        <w:tc>
          <w:tcPr>
            <w:tcW w:w="849" w:type="pct"/>
            <w:vAlign w:val="center"/>
          </w:tcPr>
          <w:p w14:paraId="48826EA1" w14:textId="77777777"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Deloitte</w:t>
            </w:r>
          </w:p>
        </w:tc>
        <w:tc>
          <w:tcPr>
            <w:tcW w:w="784" w:type="pct"/>
            <w:vAlign w:val="center"/>
          </w:tcPr>
          <w:p w14:paraId="4EDAEC21" w14:textId="6D9ADB0B" w:rsidR="00960DA7" w:rsidRPr="00BC7275" w:rsidRDefault="00960DA7" w:rsidP="002E22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1</w:t>
            </w:r>
            <w:r w:rsidR="006C1A65">
              <w:rPr>
                <w:rFonts w:asciiTheme="majorHAnsi" w:hAnsiTheme="majorHAnsi" w:cs="Calibri"/>
                <w:color w:val="000000"/>
                <w:szCs w:val="18"/>
                <w:lang w:eastAsia="cs-CZ"/>
              </w:rPr>
              <w:t>0</w:t>
            </w:r>
            <w:r>
              <w:rPr>
                <w:rFonts w:asciiTheme="majorHAnsi" w:hAnsiTheme="majorHAnsi" w:cs="Calibri"/>
                <w:color w:val="000000"/>
                <w:szCs w:val="18"/>
                <w:lang w:eastAsia="cs-CZ"/>
              </w:rPr>
              <w:t xml:space="preserve">. </w:t>
            </w:r>
            <w:r w:rsidR="006C1A65">
              <w:rPr>
                <w:rFonts w:asciiTheme="majorHAnsi" w:hAnsiTheme="majorHAnsi" w:cs="Calibri"/>
                <w:color w:val="000000"/>
                <w:szCs w:val="18"/>
                <w:lang w:eastAsia="cs-CZ"/>
              </w:rPr>
              <w:t>6</w:t>
            </w:r>
            <w:r>
              <w:rPr>
                <w:rFonts w:asciiTheme="majorHAnsi" w:hAnsiTheme="majorHAnsi" w:cs="Calibri"/>
                <w:color w:val="000000"/>
                <w:szCs w:val="18"/>
                <w:lang w:eastAsia="cs-CZ"/>
              </w:rPr>
              <w:t>. 2020</w:t>
            </w:r>
          </w:p>
        </w:tc>
        <w:tc>
          <w:tcPr>
            <w:tcW w:w="760" w:type="pct"/>
            <w:shd w:val="clear" w:color="auto" w:fill="auto"/>
            <w:vAlign w:val="center"/>
          </w:tcPr>
          <w:p w14:paraId="3FA19F6E" w14:textId="77777777" w:rsidR="00960DA7" w:rsidRPr="00BC7275" w:rsidRDefault="00960DA7" w:rsidP="002E223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Cs w:val="18"/>
                <w:lang w:eastAsia="cs-CZ"/>
              </w:rPr>
            </w:pPr>
          </w:p>
        </w:tc>
      </w:tr>
    </w:tbl>
    <w:p w14:paraId="38C001E3" w14:textId="77777777" w:rsidR="00960DA7" w:rsidRDefault="00960DA7" w:rsidP="00960DA7">
      <w:pPr>
        <w:spacing w:after="200" w:line="240" w:lineRule="auto"/>
      </w:pPr>
    </w:p>
    <w:p w14:paraId="3915329D" w14:textId="77777777" w:rsidR="001B1874" w:rsidRDefault="001B1874">
      <w:pPr>
        <w:spacing w:after="200" w:line="276" w:lineRule="auto"/>
        <w:rPr>
          <w:rFonts w:asciiTheme="majorHAnsi" w:eastAsiaTheme="majorEastAsia" w:hAnsiTheme="majorHAnsi" w:cstheme="majorBidi"/>
          <w:bCs/>
          <w:sz w:val="60"/>
          <w:szCs w:val="60"/>
        </w:rPr>
      </w:pPr>
      <w:r>
        <w:br w:type="page"/>
      </w:r>
    </w:p>
    <w:p w14:paraId="7D438002" w14:textId="77777777" w:rsidR="00E27E53" w:rsidRPr="00E27E53" w:rsidRDefault="00E27E53" w:rsidP="00562D5D">
      <w:pPr>
        <w:pStyle w:val="Heading1"/>
        <w:ind w:left="709" w:hanging="709"/>
      </w:pPr>
      <w:bookmarkStart w:id="34" w:name="_Toc37248824"/>
      <w:r w:rsidRPr="000339C1">
        <w:lastRenderedPageBreak/>
        <w:t xml:space="preserve">Harmonogram </w:t>
      </w:r>
      <w:bookmarkEnd w:id="31"/>
      <w:r w:rsidR="00FA6087">
        <w:t>plnění</w:t>
      </w:r>
      <w:bookmarkEnd w:id="34"/>
    </w:p>
    <w:p w14:paraId="2192B7CD" w14:textId="77777777" w:rsidR="00FA6087" w:rsidRDefault="00FA6087" w:rsidP="00F46FDA">
      <w:pPr>
        <w:spacing w:line="240" w:lineRule="auto"/>
        <w:jc w:val="both"/>
      </w:pPr>
      <w:r>
        <w:t>V souladu se smlouvou o dílo byl sestaven harmonogram Projektu (viz níže), který současně reflektuje jak požadavky Zadavatele ohledně postupu prací, tak je zasazen do reality, co se týče potřeby dostatečného prostoru pro kvalitní odvedení požadované práce.</w:t>
      </w:r>
    </w:p>
    <w:p w14:paraId="14A1FCAE" w14:textId="77777777" w:rsidR="00FA6087" w:rsidRDefault="00FA6087" w:rsidP="00F46FDA">
      <w:pPr>
        <w:pStyle w:val="Caption"/>
        <w:spacing w:after="120"/>
        <w:jc w:val="center"/>
      </w:pPr>
      <w:bookmarkStart w:id="35" w:name="_Toc24384748"/>
      <w:r>
        <w:t xml:space="preserve">Obrázek </w:t>
      </w:r>
      <w:r>
        <w:fldChar w:fldCharType="begin"/>
      </w:r>
      <w:r>
        <w:instrText xml:space="preserve"> SEQ Obrázek \* ARABIC </w:instrText>
      </w:r>
      <w:r>
        <w:fldChar w:fldCharType="separate"/>
      </w:r>
      <w:r>
        <w:rPr>
          <w:noProof/>
        </w:rPr>
        <w:t>3</w:t>
      </w:r>
      <w:r>
        <w:fldChar w:fldCharType="end"/>
      </w:r>
      <w:r>
        <w:t>: Harmonogram postupu prací Projektu</w:t>
      </w:r>
      <w:bookmarkEnd w:id="35"/>
    </w:p>
    <w:p w14:paraId="25676472" w14:textId="77777777" w:rsidR="00D17CFE" w:rsidRDefault="001B1874" w:rsidP="00F46FDA">
      <w:pPr>
        <w:spacing w:after="200" w:line="240" w:lineRule="auto"/>
        <w:jc w:val="center"/>
        <w:rPr>
          <w:b/>
        </w:rPr>
      </w:pPr>
      <w:r w:rsidRPr="001B1874">
        <w:rPr>
          <w:noProof/>
          <w:lang w:eastAsia="cs-CZ"/>
        </w:rPr>
        <w:drawing>
          <wp:inline distT="0" distB="0" distL="0" distR="0" wp14:anchorId="5D2B97EC" wp14:editId="6C7024C7">
            <wp:extent cx="5759450" cy="70530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053072"/>
                    </a:xfrm>
                    <a:prstGeom prst="rect">
                      <a:avLst/>
                    </a:prstGeom>
                    <a:noFill/>
                    <a:ln>
                      <a:noFill/>
                    </a:ln>
                  </pic:spPr>
                </pic:pic>
              </a:graphicData>
            </a:graphic>
          </wp:inline>
        </w:drawing>
      </w:r>
    </w:p>
    <w:p w14:paraId="0A853CF6" w14:textId="77777777" w:rsidR="001B1874" w:rsidRDefault="001B1874" w:rsidP="00F46FDA">
      <w:pPr>
        <w:spacing w:after="120" w:line="240" w:lineRule="auto"/>
        <w:jc w:val="both"/>
      </w:pPr>
    </w:p>
    <w:p w14:paraId="1C9D86C0" w14:textId="77777777" w:rsidR="00AC34C8" w:rsidRDefault="00AC34C8" w:rsidP="00AC34C8">
      <w:pPr>
        <w:pStyle w:val="Caption"/>
        <w:spacing w:before="240" w:after="120"/>
        <w:jc w:val="center"/>
      </w:pPr>
      <w:r>
        <w:lastRenderedPageBreak/>
        <w:t xml:space="preserve">Následující tabulka obsahuje přehled klíčových termínů v rámci Projektu. </w:t>
      </w:r>
      <w:r w:rsidRPr="00D7327E">
        <w:t>Závazné</w:t>
      </w:r>
      <w:r w:rsidRPr="00A50B20">
        <w:t xml:space="preserve"> jsou dle smlouvy </w:t>
      </w:r>
      <w:r w:rsidRPr="00D7327E">
        <w:t>termíny spojené s předložením Vstupní, Průběžné a Závěrečné zprávy a realizace prezentace výsledků Projektu</w:t>
      </w:r>
      <w:r>
        <w:t xml:space="preserve">. Termíny pro vypořádání připomínek a akceptace výstupů se budou odvíjet od termínů předání připomínek k jednotlivým výstupům ze strany Zadavatele. S cílem zajištění hladkého průběhu prací doporučujeme předání připomínek k Průběžné a Závěrečné zprávě ze strany Zadavatele nejpozději do 5 pracovních dnů od předání první verze zpráv Zadavateli. </w:t>
      </w:r>
      <w:bookmarkStart w:id="36" w:name="_Toc36472247"/>
      <w:r>
        <w:t xml:space="preserve">Tabulka </w:t>
      </w:r>
      <w:r>
        <w:fldChar w:fldCharType="begin"/>
      </w:r>
      <w:r>
        <w:instrText xml:space="preserve"> SEQ Tabulka \* ARABIC </w:instrText>
      </w:r>
      <w:r>
        <w:fldChar w:fldCharType="separate"/>
      </w:r>
      <w:r>
        <w:rPr>
          <w:noProof/>
        </w:rPr>
        <w:t>9</w:t>
      </w:r>
      <w:r>
        <w:fldChar w:fldCharType="end"/>
      </w:r>
      <w:r>
        <w:t>: Termíny odevzdání dílčích výstupů</w:t>
      </w:r>
      <w:bookmarkEnd w:id="36"/>
    </w:p>
    <w:p w14:paraId="3E819918" w14:textId="5C5BD46B" w:rsidR="00FA6087" w:rsidRDefault="00FA6087" w:rsidP="00F46FDA">
      <w:pPr>
        <w:pStyle w:val="Caption"/>
        <w:spacing w:before="240" w:after="120"/>
        <w:jc w:val="center"/>
      </w:pPr>
      <w:bookmarkStart w:id="37" w:name="_Toc24384739"/>
      <w:r>
        <w:t xml:space="preserve">Tabulka </w:t>
      </w:r>
      <w:r>
        <w:fldChar w:fldCharType="begin"/>
      </w:r>
      <w:r>
        <w:instrText xml:space="preserve"> SEQ Tabulka \* ARABIC </w:instrText>
      </w:r>
      <w:r>
        <w:fldChar w:fldCharType="separate"/>
      </w:r>
      <w:r w:rsidR="00562D5D">
        <w:rPr>
          <w:noProof/>
        </w:rPr>
        <w:t>8</w:t>
      </w:r>
      <w:r>
        <w:fldChar w:fldCharType="end"/>
      </w:r>
      <w:r>
        <w:t>: Termíny odevzdání dílčích výstupů</w:t>
      </w:r>
      <w:bookmarkEnd w:id="37"/>
    </w:p>
    <w:tbl>
      <w:tblPr>
        <w:tblStyle w:val="Deloittetable111"/>
        <w:tblW w:w="5000" w:type="pct"/>
        <w:tblCellMar>
          <w:top w:w="0" w:type="dxa"/>
          <w:left w:w="108" w:type="dxa"/>
          <w:bottom w:w="0" w:type="dxa"/>
          <w:right w:w="108" w:type="dxa"/>
        </w:tblCellMar>
        <w:tblLook w:val="04A0" w:firstRow="1" w:lastRow="0" w:firstColumn="1" w:lastColumn="0" w:noHBand="0" w:noVBand="1"/>
      </w:tblPr>
      <w:tblGrid>
        <w:gridCol w:w="788"/>
        <w:gridCol w:w="472"/>
        <w:gridCol w:w="4395"/>
        <w:gridCol w:w="1548"/>
        <w:gridCol w:w="1867"/>
      </w:tblGrid>
      <w:tr w:rsidR="00AC34C8" w:rsidRPr="00BC7275" w14:paraId="3B086322" w14:textId="77777777" w:rsidTr="00AC34C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34" w:type="pct"/>
            <w:shd w:val="clear" w:color="auto" w:fill="86BC25" w:themeFill="accent1"/>
          </w:tcPr>
          <w:p w14:paraId="2251906F" w14:textId="77777777" w:rsidR="00AC34C8" w:rsidRPr="00BC7275" w:rsidRDefault="00AC34C8" w:rsidP="002F7356">
            <w:pPr>
              <w:keepNext/>
              <w:spacing w:before="60" w:after="60" w:line="240" w:lineRule="auto"/>
              <w:rPr>
                <w:rFonts w:eastAsia="Times New Roman" w:cs="Arial"/>
                <w:bCs/>
                <w:color w:val="FFFFFF" w:themeColor="background1"/>
                <w:szCs w:val="18"/>
                <w:lang w:eastAsia="cs-CZ"/>
              </w:rPr>
            </w:pPr>
            <w:r>
              <w:rPr>
                <w:rFonts w:eastAsia="Times New Roman" w:cs="Arial"/>
                <w:bCs/>
                <w:color w:val="FFFFFF" w:themeColor="background1"/>
                <w:szCs w:val="18"/>
                <w:lang w:eastAsia="cs-CZ"/>
              </w:rPr>
              <w:t>Etapa</w:t>
            </w:r>
          </w:p>
        </w:tc>
        <w:tc>
          <w:tcPr>
            <w:tcW w:w="260" w:type="pct"/>
            <w:shd w:val="clear" w:color="auto" w:fill="86BC25" w:themeFill="accent1"/>
          </w:tcPr>
          <w:p w14:paraId="2E1EA80D" w14:textId="77777777" w:rsidR="00AC34C8" w:rsidRPr="00BC7275" w:rsidRDefault="00AC34C8" w:rsidP="002F7356">
            <w:pPr>
              <w:keepNext/>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Č</w:t>
            </w:r>
            <w:r>
              <w:rPr>
                <w:rFonts w:eastAsia="Times New Roman" w:cs="Arial"/>
                <w:bCs/>
                <w:color w:val="FFFFFF" w:themeColor="background1"/>
                <w:szCs w:val="18"/>
                <w:lang w:eastAsia="cs-CZ"/>
              </w:rPr>
              <w:t>.</w:t>
            </w:r>
          </w:p>
        </w:tc>
        <w:tc>
          <w:tcPr>
            <w:tcW w:w="2423" w:type="pct"/>
            <w:shd w:val="clear" w:color="auto" w:fill="86BC25" w:themeFill="accent1"/>
          </w:tcPr>
          <w:p w14:paraId="6921B743" w14:textId="77777777" w:rsidR="00AC34C8" w:rsidRPr="00BC7275" w:rsidRDefault="00AC34C8" w:rsidP="002F7356">
            <w:pPr>
              <w:keepNext/>
              <w:tabs>
                <w:tab w:val="center" w:pos="2550"/>
              </w:tabs>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Aktivita</w:t>
            </w:r>
            <w:r>
              <w:rPr>
                <w:rFonts w:eastAsia="Times New Roman" w:cs="Arial"/>
                <w:bCs/>
                <w:color w:val="FFFFFF" w:themeColor="background1"/>
                <w:szCs w:val="18"/>
                <w:lang w:eastAsia="cs-CZ"/>
              </w:rPr>
              <w:tab/>
            </w:r>
          </w:p>
        </w:tc>
        <w:tc>
          <w:tcPr>
            <w:tcW w:w="853" w:type="pct"/>
            <w:shd w:val="clear" w:color="auto" w:fill="86BC25" w:themeFill="accent1"/>
          </w:tcPr>
          <w:p w14:paraId="4D807C8D" w14:textId="77777777" w:rsidR="00AC34C8" w:rsidRPr="00BC7275" w:rsidRDefault="00AC34C8" w:rsidP="002F7356">
            <w:pPr>
              <w:keepNext/>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Odpovědnost</w:t>
            </w:r>
          </w:p>
        </w:tc>
        <w:tc>
          <w:tcPr>
            <w:tcW w:w="1029" w:type="pct"/>
            <w:shd w:val="clear" w:color="auto" w:fill="86BC25" w:themeFill="accent1"/>
          </w:tcPr>
          <w:p w14:paraId="553706B0" w14:textId="77777777" w:rsidR="00AC34C8" w:rsidRPr="00BC7275" w:rsidRDefault="00AC34C8" w:rsidP="002F7356">
            <w:pPr>
              <w:keepNext/>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color w:val="FFFFFF" w:themeColor="background1"/>
                <w:szCs w:val="18"/>
                <w:lang w:eastAsia="cs-CZ"/>
              </w:rPr>
            </w:pPr>
            <w:r w:rsidRPr="00BC7275">
              <w:rPr>
                <w:rFonts w:eastAsia="Times New Roman" w:cs="Arial"/>
                <w:bCs/>
                <w:color w:val="FFFFFF" w:themeColor="background1"/>
                <w:szCs w:val="18"/>
                <w:lang w:eastAsia="cs-CZ"/>
              </w:rPr>
              <w:t>Termín</w:t>
            </w:r>
          </w:p>
        </w:tc>
      </w:tr>
      <w:tr w:rsidR="00AC34C8" w:rsidRPr="007660C8" w14:paraId="4FE024E2" w14:textId="77777777" w:rsidTr="00AC34C8">
        <w:trPr>
          <w:trHeight w:val="1111"/>
        </w:trPr>
        <w:tc>
          <w:tcPr>
            <w:cnfStyle w:val="001000000000" w:firstRow="0" w:lastRow="0" w:firstColumn="1" w:lastColumn="0" w:oddVBand="0" w:evenVBand="0" w:oddHBand="0" w:evenHBand="0" w:firstRowFirstColumn="0" w:firstRowLastColumn="0" w:lastRowFirstColumn="0" w:lastRowLastColumn="0"/>
            <w:tcW w:w="434" w:type="pct"/>
            <w:tcBorders>
              <w:top w:val="single" w:sz="4" w:space="0" w:color="92D400"/>
            </w:tcBorders>
            <w:shd w:val="clear" w:color="auto" w:fill="E7F5CF" w:themeFill="accent1" w:themeFillTint="33"/>
            <w:textDirection w:val="btLr"/>
          </w:tcPr>
          <w:p w14:paraId="4BCFD6FC" w14:textId="77777777" w:rsidR="00AC34C8" w:rsidRPr="002A0011" w:rsidRDefault="00AC34C8" w:rsidP="002F7356">
            <w:pPr>
              <w:spacing w:before="60" w:after="60" w:line="240" w:lineRule="auto"/>
              <w:ind w:left="113" w:right="113"/>
              <w:jc w:val="center"/>
              <w:rPr>
                <w:rFonts w:eastAsia="Times New Roman" w:cs="Calibri"/>
                <w:b/>
                <w:color w:val="000000"/>
                <w:szCs w:val="18"/>
                <w:lang w:eastAsia="cs-CZ"/>
              </w:rPr>
            </w:pPr>
            <w:r w:rsidRPr="002A0011">
              <w:rPr>
                <w:rFonts w:eastAsia="Times New Roman" w:cs="Calibri"/>
                <w:b/>
                <w:color w:val="000000"/>
                <w:szCs w:val="18"/>
                <w:lang w:eastAsia="cs-CZ"/>
              </w:rPr>
              <w:t>Iniciace</w:t>
            </w:r>
          </w:p>
        </w:tc>
        <w:tc>
          <w:tcPr>
            <w:tcW w:w="260" w:type="pct"/>
            <w:tcBorders>
              <w:top w:val="single" w:sz="4" w:space="0" w:color="92D400"/>
            </w:tcBorders>
            <w:shd w:val="clear" w:color="auto" w:fill="E7F5CF" w:themeFill="accent1" w:themeFillTint="33"/>
            <w:vAlign w:val="center"/>
          </w:tcPr>
          <w:p w14:paraId="7F774DE5"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Pr>
                <w:rFonts w:eastAsia="Times New Roman" w:cs="Calibri"/>
                <w:b/>
                <w:color w:val="000000"/>
                <w:szCs w:val="18"/>
                <w:lang w:eastAsia="cs-CZ"/>
              </w:rPr>
              <w:t>0</w:t>
            </w:r>
          </w:p>
        </w:tc>
        <w:tc>
          <w:tcPr>
            <w:tcW w:w="2423" w:type="pct"/>
            <w:tcBorders>
              <w:top w:val="single" w:sz="4" w:space="0" w:color="92D400"/>
            </w:tcBorders>
            <w:shd w:val="clear" w:color="auto" w:fill="E7F5CF" w:themeFill="accent1" w:themeFillTint="33"/>
            <w:vAlign w:val="center"/>
          </w:tcPr>
          <w:p w14:paraId="1EF44DEB"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b/>
                <w:color w:val="000000"/>
                <w:szCs w:val="18"/>
              </w:rPr>
            </w:pPr>
            <w:r>
              <w:rPr>
                <w:b/>
                <w:color w:val="000000"/>
                <w:szCs w:val="18"/>
              </w:rPr>
              <w:t>Nabytí účinnosti smlouvy</w:t>
            </w:r>
          </w:p>
        </w:tc>
        <w:tc>
          <w:tcPr>
            <w:tcW w:w="853" w:type="pct"/>
            <w:tcBorders>
              <w:top w:val="single" w:sz="4" w:space="0" w:color="92D400"/>
            </w:tcBorders>
            <w:shd w:val="clear" w:color="auto" w:fill="E7F5CF" w:themeFill="accent1" w:themeFillTint="33"/>
            <w:vAlign w:val="center"/>
          </w:tcPr>
          <w:p w14:paraId="1D5DF070"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Pr>
                <w:rFonts w:eastAsia="Times New Roman" w:cs="Calibri"/>
                <w:b/>
                <w:color w:val="000000"/>
                <w:szCs w:val="18"/>
                <w:lang w:eastAsia="cs-CZ"/>
              </w:rPr>
              <w:t>MPO</w:t>
            </w:r>
          </w:p>
        </w:tc>
        <w:tc>
          <w:tcPr>
            <w:tcW w:w="1029" w:type="pct"/>
            <w:tcBorders>
              <w:top w:val="single" w:sz="4" w:space="0" w:color="92D400"/>
            </w:tcBorders>
            <w:shd w:val="clear" w:color="auto" w:fill="E7F5CF" w:themeFill="accent1" w:themeFillTint="33"/>
            <w:vAlign w:val="center"/>
          </w:tcPr>
          <w:p w14:paraId="37DDB7C7" w14:textId="77777777" w:rsidR="00AC34C8"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16. 3. 2020</w:t>
            </w:r>
          </w:p>
        </w:tc>
      </w:tr>
      <w:tr w:rsidR="00AC34C8" w:rsidRPr="007660C8" w14:paraId="754DA995"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val="restart"/>
            <w:tcBorders>
              <w:top w:val="single" w:sz="4" w:space="0" w:color="92D400"/>
            </w:tcBorders>
            <w:shd w:val="clear" w:color="auto" w:fill="E7F5CF" w:themeFill="accent1" w:themeFillTint="33"/>
            <w:textDirection w:val="btLr"/>
          </w:tcPr>
          <w:p w14:paraId="64F3D8E7" w14:textId="77777777" w:rsidR="00AC34C8" w:rsidRPr="002A0011" w:rsidRDefault="00AC34C8" w:rsidP="002F7356">
            <w:pPr>
              <w:spacing w:before="60" w:after="60" w:line="240" w:lineRule="auto"/>
              <w:ind w:left="113" w:right="113"/>
              <w:jc w:val="center"/>
              <w:rPr>
                <w:rFonts w:eastAsia="Times New Roman" w:cs="Calibri"/>
                <w:b/>
                <w:color w:val="000000"/>
                <w:szCs w:val="18"/>
                <w:lang w:eastAsia="cs-CZ"/>
              </w:rPr>
            </w:pPr>
            <w:r w:rsidRPr="002A0011">
              <w:rPr>
                <w:rFonts w:eastAsia="Times New Roman" w:cs="Calibri"/>
                <w:b/>
                <w:color w:val="000000"/>
                <w:szCs w:val="18"/>
                <w:lang w:eastAsia="cs-CZ"/>
              </w:rPr>
              <w:t>I. etapa</w:t>
            </w:r>
          </w:p>
        </w:tc>
        <w:tc>
          <w:tcPr>
            <w:tcW w:w="260" w:type="pct"/>
            <w:tcBorders>
              <w:top w:val="single" w:sz="4" w:space="0" w:color="92D400"/>
            </w:tcBorders>
            <w:shd w:val="clear" w:color="auto" w:fill="E7F5CF" w:themeFill="accent1" w:themeFillTint="33"/>
            <w:vAlign w:val="center"/>
          </w:tcPr>
          <w:p w14:paraId="79D4F7D9"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sidRPr="0074330B">
              <w:rPr>
                <w:rFonts w:eastAsia="Times New Roman" w:cs="Calibri"/>
                <w:b/>
                <w:color w:val="000000"/>
                <w:szCs w:val="18"/>
                <w:lang w:eastAsia="cs-CZ"/>
              </w:rPr>
              <w:t>1</w:t>
            </w:r>
          </w:p>
        </w:tc>
        <w:tc>
          <w:tcPr>
            <w:tcW w:w="2423" w:type="pct"/>
            <w:tcBorders>
              <w:top w:val="single" w:sz="4" w:space="0" w:color="92D400"/>
            </w:tcBorders>
            <w:shd w:val="clear" w:color="auto" w:fill="E7F5CF" w:themeFill="accent1" w:themeFillTint="33"/>
            <w:vAlign w:val="center"/>
          </w:tcPr>
          <w:p w14:paraId="7A35292E"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Předání Vstupní zprávy</w:t>
            </w:r>
            <w:r>
              <w:rPr>
                <w:b/>
                <w:color w:val="000000"/>
                <w:szCs w:val="18"/>
              </w:rPr>
              <w:t xml:space="preserve"> </w:t>
            </w:r>
          </w:p>
        </w:tc>
        <w:tc>
          <w:tcPr>
            <w:tcW w:w="853" w:type="pct"/>
            <w:tcBorders>
              <w:top w:val="single" w:sz="4" w:space="0" w:color="92D400"/>
            </w:tcBorders>
            <w:shd w:val="clear" w:color="auto" w:fill="E7F5CF" w:themeFill="accent1" w:themeFillTint="33"/>
            <w:vAlign w:val="center"/>
          </w:tcPr>
          <w:p w14:paraId="6479B289"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sidRPr="0074330B">
              <w:rPr>
                <w:rFonts w:eastAsia="Times New Roman" w:cs="Calibri"/>
                <w:b/>
                <w:color w:val="000000"/>
                <w:szCs w:val="18"/>
                <w:lang w:eastAsia="cs-CZ"/>
              </w:rPr>
              <w:t>Deloitte</w:t>
            </w:r>
          </w:p>
        </w:tc>
        <w:tc>
          <w:tcPr>
            <w:tcW w:w="1029" w:type="pct"/>
            <w:tcBorders>
              <w:top w:val="single" w:sz="4" w:space="0" w:color="92D400"/>
            </w:tcBorders>
            <w:shd w:val="clear" w:color="auto" w:fill="E7F5CF" w:themeFill="accent1" w:themeFillTint="33"/>
            <w:vAlign w:val="center"/>
          </w:tcPr>
          <w:p w14:paraId="2BC3101B"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30. 3. 2020</w:t>
            </w:r>
          </w:p>
        </w:tc>
      </w:tr>
      <w:tr w:rsidR="00AC34C8" w:rsidRPr="00BC7275" w14:paraId="09D2A3F6"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shd w:val="clear" w:color="auto" w:fill="E7F5CF" w:themeFill="accent1" w:themeFillTint="33"/>
          </w:tcPr>
          <w:p w14:paraId="3F6FA7CC" w14:textId="77777777" w:rsidR="00AC34C8" w:rsidRPr="002A0011" w:rsidRDefault="00AC34C8" w:rsidP="002F7356">
            <w:pPr>
              <w:spacing w:before="60" w:after="60" w:line="240" w:lineRule="auto"/>
              <w:rPr>
                <w:rFonts w:eastAsia="Times New Roman" w:cs="Calibri"/>
                <w:b/>
                <w:color w:val="000000"/>
                <w:szCs w:val="18"/>
                <w:lang w:eastAsia="cs-CZ"/>
              </w:rPr>
            </w:pPr>
          </w:p>
        </w:tc>
        <w:tc>
          <w:tcPr>
            <w:tcW w:w="260" w:type="pct"/>
            <w:tcBorders>
              <w:top w:val="single" w:sz="4" w:space="0" w:color="92D400"/>
            </w:tcBorders>
            <w:shd w:val="clear" w:color="auto" w:fill="E7F5CF" w:themeFill="accent1" w:themeFillTint="33"/>
            <w:vAlign w:val="center"/>
          </w:tcPr>
          <w:p w14:paraId="398521E3"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sidRPr="00BC7275">
              <w:rPr>
                <w:rFonts w:eastAsia="Times New Roman" w:cs="Calibri"/>
                <w:color w:val="000000"/>
                <w:szCs w:val="18"/>
                <w:lang w:eastAsia="cs-CZ"/>
              </w:rPr>
              <w:t>2</w:t>
            </w:r>
          </w:p>
        </w:tc>
        <w:tc>
          <w:tcPr>
            <w:tcW w:w="2423" w:type="pct"/>
            <w:tcBorders>
              <w:top w:val="single" w:sz="4" w:space="0" w:color="92D400"/>
            </w:tcBorders>
            <w:shd w:val="clear" w:color="auto" w:fill="E7F5CF" w:themeFill="accent1" w:themeFillTint="33"/>
            <w:vAlign w:val="center"/>
          </w:tcPr>
          <w:p w14:paraId="4371E711"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připomínek ke Vstupní zprávě</w:t>
            </w:r>
          </w:p>
        </w:tc>
        <w:tc>
          <w:tcPr>
            <w:tcW w:w="853" w:type="pct"/>
            <w:tcBorders>
              <w:top w:val="single" w:sz="4" w:space="0" w:color="92D400"/>
            </w:tcBorders>
            <w:shd w:val="clear" w:color="auto" w:fill="E7F5CF" w:themeFill="accent1" w:themeFillTint="33"/>
            <w:vAlign w:val="center"/>
          </w:tcPr>
          <w:p w14:paraId="03BA5CB5"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MPO</w:t>
            </w:r>
          </w:p>
        </w:tc>
        <w:tc>
          <w:tcPr>
            <w:tcW w:w="1029" w:type="pct"/>
            <w:tcBorders>
              <w:top w:val="single" w:sz="4" w:space="0" w:color="92D400"/>
            </w:tcBorders>
            <w:shd w:val="clear" w:color="auto" w:fill="E7F5CF" w:themeFill="accent1" w:themeFillTint="33"/>
            <w:vAlign w:val="center"/>
          </w:tcPr>
          <w:p w14:paraId="1F8343F4"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3. 4. 2020</w:t>
            </w:r>
          </w:p>
        </w:tc>
      </w:tr>
      <w:tr w:rsidR="00AC34C8" w:rsidRPr="00BC7275" w14:paraId="7CDF709A"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shd w:val="clear" w:color="auto" w:fill="E7F5CF" w:themeFill="accent1" w:themeFillTint="33"/>
          </w:tcPr>
          <w:p w14:paraId="70E8D04F" w14:textId="77777777" w:rsidR="00AC34C8" w:rsidRPr="002A0011" w:rsidRDefault="00AC34C8" w:rsidP="002F7356">
            <w:pPr>
              <w:spacing w:before="60" w:after="60" w:line="240" w:lineRule="auto"/>
              <w:rPr>
                <w:rFonts w:eastAsia="Times New Roman" w:cs="Calibri"/>
                <w:b/>
                <w:color w:val="000000"/>
                <w:szCs w:val="18"/>
                <w:lang w:eastAsia="cs-CZ"/>
              </w:rPr>
            </w:pPr>
          </w:p>
        </w:tc>
        <w:tc>
          <w:tcPr>
            <w:tcW w:w="260" w:type="pct"/>
            <w:tcBorders>
              <w:top w:val="single" w:sz="4" w:space="0" w:color="92D400"/>
              <w:bottom w:val="single" w:sz="4" w:space="0" w:color="92D400"/>
            </w:tcBorders>
            <w:shd w:val="clear" w:color="auto" w:fill="E7F5CF" w:themeFill="accent1" w:themeFillTint="33"/>
            <w:vAlign w:val="center"/>
          </w:tcPr>
          <w:p w14:paraId="2E8C4C87"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3</w:t>
            </w:r>
          </w:p>
        </w:tc>
        <w:tc>
          <w:tcPr>
            <w:tcW w:w="2423" w:type="pct"/>
            <w:tcBorders>
              <w:top w:val="single" w:sz="4" w:space="0" w:color="92D400"/>
              <w:bottom w:val="single" w:sz="4" w:space="0" w:color="92D400"/>
            </w:tcBorders>
            <w:shd w:val="clear" w:color="auto" w:fill="E7F5CF" w:themeFill="accent1" w:themeFillTint="33"/>
            <w:vAlign w:val="center"/>
          </w:tcPr>
          <w:p w14:paraId="5760AB30"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Vypořádání připomínek ke Vstupní zprávě</w:t>
            </w:r>
          </w:p>
        </w:tc>
        <w:tc>
          <w:tcPr>
            <w:tcW w:w="853" w:type="pct"/>
            <w:tcBorders>
              <w:top w:val="single" w:sz="4" w:space="0" w:color="92D400"/>
              <w:bottom w:val="single" w:sz="4" w:space="0" w:color="92D400"/>
            </w:tcBorders>
            <w:shd w:val="clear" w:color="auto" w:fill="E7F5CF" w:themeFill="accent1" w:themeFillTint="33"/>
            <w:vAlign w:val="center"/>
          </w:tcPr>
          <w:p w14:paraId="3294299A"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1029" w:type="pct"/>
            <w:tcBorders>
              <w:top w:val="single" w:sz="4" w:space="0" w:color="92D400"/>
              <w:bottom w:val="single" w:sz="4" w:space="0" w:color="92D400"/>
            </w:tcBorders>
            <w:shd w:val="clear" w:color="auto" w:fill="E7F5CF" w:themeFill="accent1" w:themeFillTint="33"/>
            <w:vAlign w:val="center"/>
          </w:tcPr>
          <w:p w14:paraId="790CD8A0" w14:textId="2976907B" w:rsidR="00AC34C8" w:rsidRPr="00E13A3D" w:rsidRDefault="00CC1FF0"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8</w:t>
            </w:r>
            <w:r w:rsidR="00AC34C8">
              <w:rPr>
                <w:rFonts w:asciiTheme="majorHAnsi" w:hAnsiTheme="majorHAnsi" w:cs="Calibri"/>
                <w:color w:val="000000"/>
                <w:szCs w:val="18"/>
                <w:lang w:eastAsia="cs-CZ"/>
              </w:rPr>
              <w:t>. 4. 2020</w:t>
            </w:r>
          </w:p>
        </w:tc>
      </w:tr>
      <w:tr w:rsidR="00AC34C8" w:rsidRPr="007660C8" w14:paraId="348A33F9"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tcBorders>
              <w:bottom w:val="single" w:sz="4" w:space="0" w:color="92D400"/>
            </w:tcBorders>
            <w:shd w:val="clear" w:color="auto" w:fill="E7F5CF" w:themeFill="accent1" w:themeFillTint="33"/>
          </w:tcPr>
          <w:p w14:paraId="22EFB52A" w14:textId="77777777" w:rsidR="00AC34C8" w:rsidRPr="00BC2FFB" w:rsidRDefault="00AC34C8" w:rsidP="002F7356">
            <w:pPr>
              <w:spacing w:before="60" w:after="60" w:line="240" w:lineRule="auto"/>
              <w:rPr>
                <w:rFonts w:eastAsia="Times New Roman" w:cs="Calibri"/>
                <w:b/>
                <w:color w:val="000000"/>
                <w:szCs w:val="18"/>
                <w:lang w:eastAsia="cs-CZ"/>
              </w:rPr>
            </w:pPr>
          </w:p>
        </w:tc>
        <w:tc>
          <w:tcPr>
            <w:tcW w:w="260" w:type="pct"/>
            <w:tcBorders>
              <w:top w:val="single" w:sz="4" w:space="0" w:color="92D400"/>
              <w:bottom w:val="single" w:sz="4" w:space="0" w:color="92D400"/>
            </w:tcBorders>
            <w:shd w:val="clear" w:color="auto" w:fill="E7F5CF" w:themeFill="accent1" w:themeFillTint="33"/>
            <w:vAlign w:val="center"/>
          </w:tcPr>
          <w:p w14:paraId="6105D16A"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4</w:t>
            </w:r>
          </w:p>
        </w:tc>
        <w:tc>
          <w:tcPr>
            <w:tcW w:w="2423" w:type="pct"/>
            <w:tcBorders>
              <w:top w:val="single" w:sz="4" w:space="0" w:color="92D400"/>
              <w:bottom w:val="single" w:sz="4" w:space="0" w:color="92D400"/>
            </w:tcBorders>
            <w:shd w:val="clear" w:color="auto" w:fill="E7F5CF" w:themeFill="accent1" w:themeFillTint="33"/>
            <w:vAlign w:val="center"/>
          </w:tcPr>
          <w:p w14:paraId="373FC273"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Akceptace Vstupní zprávy</w:t>
            </w:r>
          </w:p>
        </w:tc>
        <w:tc>
          <w:tcPr>
            <w:tcW w:w="853" w:type="pct"/>
            <w:tcBorders>
              <w:top w:val="single" w:sz="4" w:space="0" w:color="92D400"/>
              <w:bottom w:val="single" w:sz="4" w:space="0" w:color="92D400"/>
            </w:tcBorders>
            <w:shd w:val="clear" w:color="auto" w:fill="E7F5CF" w:themeFill="accent1" w:themeFillTint="33"/>
            <w:vAlign w:val="center"/>
          </w:tcPr>
          <w:p w14:paraId="241381AF"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MPO</w:t>
            </w:r>
          </w:p>
        </w:tc>
        <w:tc>
          <w:tcPr>
            <w:tcW w:w="1029" w:type="pct"/>
            <w:tcBorders>
              <w:top w:val="single" w:sz="4" w:space="0" w:color="92D400"/>
              <w:bottom w:val="single" w:sz="4" w:space="0" w:color="92D400"/>
            </w:tcBorders>
            <w:shd w:val="clear" w:color="auto" w:fill="E7F5CF" w:themeFill="accent1" w:themeFillTint="33"/>
            <w:vAlign w:val="center"/>
          </w:tcPr>
          <w:p w14:paraId="1B62CA21" w14:textId="77777777" w:rsidR="00AC34C8"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Do 5 dní od předání finální verze</w:t>
            </w:r>
          </w:p>
          <w:p w14:paraId="37F10644" w14:textId="77777777" w:rsidR="00AC34C8" w:rsidRPr="00E13A3D"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p>
        </w:tc>
      </w:tr>
      <w:tr w:rsidR="00AC34C8" w:rsidRPr="007660C8" w14:paraId="6B88B478"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val="restart"/>
            <w:tcBorders>
              <w:top w:val="single" w:sz="4" w:space="0" w:color="92D400"/>
            </w:tcBorders>
            <w:textDirection w:val="btLr"/>
          </w:tcPr>
          <w:p w14:paraId="34F8A60F" w14:textId="77777777" w:rsidR="00AC34C8" w:rsidRPr="00BC2FFB" w:rsidRDefault="00AC34C8" w:rsidP="002F7356">
            <w:pPr>
              <w:spacing w:before="60" w:after="60" w:line="240" w:lineRule="auto"/>
              <w:ind w:left="113" w:right="113"/>
              <w:jc w:val="center"/>
              <w:rPr>
                <w:rFonts w:eastAsia="Times New Roman" w:cs="Calibri"/>
                <w:b/>
                <w:color w:val="000000"/>
                <w:szCs w:val="18"/>
                <w:lang w:eastAsia="cs-CZ"/>
              </w:rPr>
            </w:pPr>
            <w:r w:rsidRPr="002A0011">
              <w:rPr>
                <w:rFonts w:eastAsia="Times New Roman" w:cs="Calibri"/>
                <w:b/>
                <w:color w:val="000000"/>
                <w:szCs w:val="18"/>
                <w:lang w:eastAsia="cs-CZ"/>
              </w:rPr>
              <w:t>II. etapa</w:t>
            </w:r>
          </w:p>
        </w:tc>
        <w:tc>
          <w:tcPr>
            <w:tcW w:w="260" w:type="pct"/>
            <w:tcBorders>
              <w:top w:val="single" w:sz="4" w:space="0" w:color="92D400"/>
              <w:bottom w:val="single" w:sz="4" w:space="0" w:color="92D400"/>
            </w:tcBorders>
            <w:vAlign w:val="center"/>
          </w:tcPr>
          <w:p w14:paraId="420755AE"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5</w:t>
            </w:r>
          </w:p>
        </w:tc>
        <w:tc>
          <w:tcPr>
            <w:tcW w:w="2423" w:type="pct"/>
            <w:tcBorders>
              <w:top w:val="single" w:sz="4" w:space="0" w:color="92D400"/>
              <w:bottom w:val="single" w:sz="4" w:space="0" w:color="92D400"/>
            </w:tcBorders>
            <w:vAlign w:val="center"/>
          </w:tcPr>
          <w:p w14:paraId="2E6ED1F3"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Předání Průběžné zprávy</w:t>
            </w:r>
            <w:r>
              <w:rPr>
                <w:b/>
                <w:color w:val="000000"/>
                <w:szCs w:val="18"/>
              </w:rPr>
              <w:t xml:space="preserve"> </w:t>
            </w:r>
          </w:p>
        </w:tc>
        <w:tc>
          <w:tcPr>
            <w:tcW w:w="853" w:type="pct"/>
            <w:tcBorders>
              <w:top w:val="single" w:sz="4" w:space="0" w:color="92D400"/>
              <w:bottom w:val="single" w:sz="4" w:space="0" w:color="92D400"/>
            </w:tcBorders>
            <w:vAlign w:val="center"/>
          </w:tcPr>
          <w:p w14:paraId="6C7913AB"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Deloitte</w:t>
            </w:r>
          </w:p>
        </w:tc>
        <w:tc>
          <w:tcPr>
            <w:tcW w:w="1029" w:type="pct"/>
            <w:tcBorders>
              <w:top w:val="single" w:sz="4" w:space="0" w:color="92D400"/>
              <w:bottom w:val="single" w:sz="4" w:space="0" w:color="92D400"/>
            </w:tcBorders>
            <w:vAlign w:val="center"/>
          </w:tcPr>
          <w:p w14:paraId="7BF47064"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15. 5. 2020</w:t>
            </w:r>
          </w:p>
        </w:tc>
      </w:tr>
      <w:tr w:rsidR="00AC34C8" w:rsidRPr="00BC7275" w14:paraId="03ED5C62"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textDirection w:val="btLr"/>
          </w:tcPr>
          <w:p w14:paraId="76806171" w14:textId="77777777" w:rsidR="00AC34C8" w:rsidRPr="002A0011" w:rsidRDefault="00AC34C8" w:rsidP="002F7356">
            <w:pPr>
              <w:spacing w:before="60" w:after="60" w:line="240" w:lineRule="auto"/>
              <w:ind w:left="113" w:right="113"/>
              <w:jc w:val="center"/>
              <w:rPr>
                <w:rFonts w:eastAsia="Times New Roman" w:cs="Calibri"/>
                <w:b/>
                <w:color w:val="000000"/>
                <w:szCs w:val="18"/>
                <w:lang w:eastAsia="cs-CZ"/>
              </w:rPr>
            </w:pPr>
          </w:p>
        </w:tc>
        <w:tc>
          <w:tcPr>
            <w:tcW w:w="260" w:type="pct"/>
            <w:tcBorders>
              <w:top w:val="single" w:sz="4" w:space="0" w:color="92D400"/>
              <w:bottom w:val="single" w:sz="4" w:space="0" w:color="92D400"/>
            </w:tcBorders>
            <w:vAlign w:val="center"/>
          </w:tcPr>
          <w:p w14:paraId="36272403"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BC7275">
              <w:rPr>
                <w:rFonts w:eastAsia="Times New Roman" w:cs="Calibri"/>
                <w:color w:val="000000"/>
                <w:szCs w:val="18"/>
                <w:lang w:eastAsia="cs-CZ"/>
              </w:rPr>
              <w:t>6</w:t>
            </w:r>
          </w:p>
        </w:tc>
        <w:tc>
          <w:tcPr>
            <w:tcW w:w="2423" w:type="pct"/>
            <w:tcBorders>
              <w:top w:val="single" w:sz="4" w:space="0" w:color="92D400"/>
              <w:bottom w:val="single" w:sz="4" w:space="0" w:color="92D400"/>
            </w:tcBorders>
            <w:vAlign w:val="center"/>
          </w:tcPr>
          <w:p w14:paraId="169D5997"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připomínek k Průběžné zprávě</w:t>
            </w:r>
          </w:p>
        </w:tc>
        <w:tc>
          <w:tcPr>
            <w:tcW w:w="853" w:type="pct"/>
            <w:tcBorders>
              <w:top w:val="single" w:sz="4" w:space="0" w:color="92D400"/>
              <w:bottom w:val="single" w:sz="4" w:space="0" w:color="92D400"/>
            </w:tcBorders>
            <w:vAlign w:val="center"/>
          </w:tcPr>
          <w:p w14:paraId="2D82A8CF"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asciiTheme="majorHAnsi" w:hAnsiTheme="majorHAnsi" w:cs="Calibri"/>
                <w:color w:val="000000"/>
                <w:szCs w:val="18"/>
                <w:lang w:eastAsia="cs-CZ"/>
              </w:rPr>
              <w:t>MPO</w:t>
            </w:r>
          </w:p>
        </w:tc>
        <w:tc>
          <w:tcPr>
            <w:tcW w:w="1029" w:type="pct"/>
            <w:tcBorders>
              <w:top w:val="single" w:sz="4" w:space="0" w:color="92D400"/>
              <w:bottom w:val="single" w:sz="4" w:space="0" w:color="92D400"/>
            </w:tcBorders>
            <w:vAlign w:val="center"/>
          </w:tcPr>
          <w:p w14:paraId="0892D476"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Ideálně do 5 pracovních dní</w:t>
            </w:r>
          </w:p>
        </w:tc>
      </w:tr>
      <w:tr w:rsidR="00AC34C8" w:rsidRPr="00BC7275" w14:paraId="39601C30"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textDirection w:val="btLr"/>
          </w:tcPr>
          <w:p w14:paraId="43FDC0D7" w14:textId="77777777" w:rsidR="00AC34C8" w:rsidRPr="002A0011" w:rsidRDefault="00AC34C8" w:rsidP="002F7356">
            <w:pPr>
              <w:spacing w:before="60" w:after="60" w:line="240" w:lineRule="auto"/>
              <w:ind w:left="113" w:right="113"/>
              <w:jc w:val="center"/>
              <w:rPr>
                <w:rFonts w:eastAsia="Times New Roman" w:cs="Calibri"/>
                <w:b/>
                <w:color w:val="000000"/>
                <w:szCs w:val="18"/>
                <w:lang w:eastAsia="cs-CZ"/>
              </w:rPr>
            </w:pPr>
          </w:p>
        </w:tc>
        <w:tc>
          <w:tcPr>
            <w:tcW w:w="260" w:type="pct"/>
            <w:tcBorders>
              <w:top w:val="single" w:sz="4" w:space="0" w:color="92D400"/>
              <w:bottom w:val="single" w:sz="4" w:space="0" w:color="92D400"/>
            </w:tcBorders>
            <w:vAlign w:val="center"/>
          </w:tcPr>
          <w:p w14:paraId="78DBDC82"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7</w:t>
            </w:r>
          </w:p>
        </w:tc>
        <w:tc>
          <w:tcPr>
            <w:tcW w:w="2423" w:type="pct"/>
            <w:tcBorders>
              <w:top w:val="single" w:sz="4" w:space="0" w:color="92D400"/>
              <w:bottom w:val="single" w:sz="4" w:space="0" w:color="92D400"/>
            </w:tcBorders>
            <w:vAlign w:val="center"/>
          </w:tcPr>
          <w:p w14:paraId="25A7505A"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Vypořádání připomínek k Průběžné zprávě</w:t>
            </w:r>
          </w:p>
        </w:tc>
        <w:tc>
          <w:tcPr>
            <w:tcW w:w="853" w:type="pct"/>
            <w:tcBorders>
              <w:top w:val="single" w:sz="4" w:space="0" w:color="92D400"/>
              <w:bottom w:val="single" w:sz="4" w:space="0" w:color="92D400"/>
            </w:tcBorders>
            <w:vAlign w:val="center"/>
          </w:tcPr>
          <w:p w14:paraId="1EC2608B"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1029" w:type="pct"/>
            <w:tcBorders>
              <w:top w:val="single" w:sz="4" w:space="0" w:color="92D400"/>
              <w:bottom w:val="single" w:sz="4" w:space="0" w:color="92D400"/>
            </w:tcBorders>
            <w:vAlign w:val="center"/>
          </w:tcPr>
          <w:p w14:paraId="21FE71CA"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 xml:space="preserve">Do 5 pracovních dnů od předání připomínek </w:t>
            </w:r>
          </w:p>
        </w:tc>
      </w:tr>
      <w:tr w:rsidR="00AC34C8" w:rsidRPr="0074330B" w14:paraId="6C6CE8A0"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tcBorders>
              <w:bottom w:val="single" w:sz="4" w:space="0" w:color="92D400"/>
            </w:tcBorders>
            <w:textDirection w:val="btLr"/>
          </w:tcPr>
          <w:p w14:paraId="3726340E" w14:textId="77777777" w:rsidR="00AC34C8" w:rsidRPr="00BC2FFB" w:rsidRDefault="00AC34C8" w:rsidP="002F7356">
            <w:pPr>
              <w:spacing w:before="60" w:after="60" w:line="240" w:lineRule="auto"/>
              <w:ind w:left="113" w:right="113"/>
              <w:jc w:val="center"/>
              <w:rPr>
                <w:rFonts w:eastAsia="Times New Roman" w:cs="Calibri"/>
                <w:b/>
                <w:color w:val="000000"/>
                <w:szCs w:val="18"/>
                <w:lang w:eastAsia="cs-CZ"/>
              </w:rPr>
            </w:pPr>
          </w:p>
        </w:tc>
        <w:tc>
          <w:tcPr>
            <w:tcW w:w="260" w:type="pct"/>
            <w:tcBorders>
              <w:top w:val="single" w:sz="4" w:space="0" w:color="92D400"/>
              <w:bottom w:val="single" w:sz="4" w:space="0" w:color="92D400"/>
            </w:tcBorders>
            <w:vAlign w:val="center"/>
          </w:tcPr>
          <w:p w14:paraId="4FA7D606"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8</w:t>
            </w:r>
          </w:p>
        </w:tc>
        <w:tc>
          <w:tcPr>
            <w:tcW w:w="2423" w:type="pct"/>
            <w:tcBorders>
              <w:top w:val="single" w:sz="4" w:space="0" w:color="92D400"/>
              <w:bottom w:val="single" w:sz="4" w:space="0" w:color="92D400"/>
            </w:tcBorders>
            <w:vAlign w:val="center"/>
          </w:tcPr>
          <w:p w14:paraId="74CA9552"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b/>
                <w:color w:val="000000"/>
                <w:szCs w:val="18"/>
              </w:rPr>
            </w:pPr>
            <w:r w:rsidRPr="0074330B">
              <w:rPr>
                <w:b/>
                <w:color w:val="000000"/>
                <w:szCs w:val="18"/>
              </w:rPr>
              <w:t>Akceptace Průběžné zprávy</w:t>
            </w:r>
          </w:p>
        </w:tc>
        <w:tc>
          <w:tcPr>
            <w:tcW w:w="853" w:type="pct"/>
            <w:tcBorders>
              <w:top w:val="single" w:sz="4" w:space="0" w:color="92D400"/>
              <w:bottom w:val="single" w:sz="4" w:space="0" w:color="92D400"/>
            </w:tcBorders>
            <w:vAlign w:val="center"/>
          </w:tcPr>
          <w:p w14:paraId="1ACF4F45"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74330B">
              <w:rPr>
                <w:rFonts w:eastAsia="Times New Roman" w:cs="Calibri"/>
                <w:b/>
                <w:color w:val="000000"/>
                <w:szCs w:val="18"/>
                <w:lang w:eastAsia="cs-CZ"/>
              </w:rPr>
              <w:t>MPO</w:t>
            </w:r>
          </w:p>
        </w:tc>
        <w:tc>
          <w:tcPr>
            <w:tcW w:w="1029" w:type="pct"/>
            <w:tcBorders>
              <w:top w:val="single" w:sz="4" w:space="0" w:color="92D400"/>
              <w:bottom w:val="single" w:sz="4" w:space="0" w:color="92D400"/>
            </w:tcBorders>
            <w:vAlign w:val="center"/>
          </w:tcPr>
          <w:p w14:paraId="1E20D3E0"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Do 5 pracovních dní od předání finální verze</w:t>
            </w:r>
          </w:p>
        </w:tc>
      </w:tr>
      <w:tr w:rsidR="00AC34C8" w:rsidRPr="00BC7275" w14:paraId="5C7DC143"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val="restart"/>
            <w:tcBorders>
              <w:top w:val="single" w:sz="4" w:space="0" w:color="92D400"/>
            </w:tcBorders>
            <w:shd w:val="clear" w:color="auto" w:fill="E7F5CF" w:themeFill="accent1" w:themeFillTint="33"/>
            <w:textDirection w:val="btLr"/>
          </w:tcPr>
          <w:p w14:paraId="2925416E" w14:textId="77777777" w:rsidR="00AC34C8" w:rsidRPr="002A0011" w:rsidRDefault="00AC34C8" w:rsidP="002F7356">
            <w:pPr>
              <w:spacing w:before="60" w:after="60" w:line="240" w:lineRule="auto"/>
              <w:ind w:left="113" w:right="113"/>
              <w:jc w:val="center"/>
              <w:rPr>
                <w:rFonts w:eastAsia="Times New Roman" w:cs="Calibri"/>
                <w:b/>
                <w:color w:val="000000"/>
                <w:szCs w:val="18"/>
                <w:lang w:eastAsia="cs-CZ"/>
              </w:rPr>
            </w:pPr>
            <w:r w:rsidRPr="002A0011">
              <w:rPr>
                <w:rFonts w:eastAsia="Times New Roman" w:cs="Calibri"/>
                <w:b/>
                <w:color w:val="000000"/>
                <w:szCs w:val="18"/>
                <w:lang w:eastAsia="cs-CZ"/>
              </w:rPr>
              <w:t>III. etapa</w:t>
            </w:r>
          </w:p>
        </w:tc>
        <w:tc>
          <w:tcPr>
            <w:tcW w:w="260" w:type="pct"/>
            <w:tcBorders>
              <w:top w:val="single" w:sz="4" w:space="0" w:color="92D400"/>
              <w:bottom w:val="single" w:sz="4" w:space="0" w:color="92D400"/>
            </w:tcBorders>
            <w:shd w:val="clear" w:color="auto" w:fill="E7F5CF" w:themeFill="accent1" w:themeFillTint="33"/>
            <w:vAlign w:val="center"/>
          </w:tcPr>
          <w:p w14:paraId="154BE3D1" w14:textId="77777777" w:rsidR="00AC34C8" w:rsidRPr="003D73CA"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sidRPr="003D73CA">
              <w:rPr>
                <w:rFonts w:eastAsia="Times New Roman" w:cs="Calibri"/>
                <w:b/>
                <w:color w:val="000000"/>
                <w:szCs w:val="18"/>
                <w:lang w:eastAsia="cs-CZ"/>
              </w:rPr>
              <w:t>9</w:t>
            </w:r>
          </w:p>
        </w:tc>
        <w:tc>
          <w:tcPr>
            <w:tcW w:w="2423" w:type="pct"/>
            <w:tcBorders>
              <w:top w:val="single" w:sz="4" w:space="0" w:color="92D400"/>
              <w:bottom w:val="single" w:sz="4" w:space="0" w:color="92D400"/>
            </w:tcBorders>
            <w:shd w:val="clear" w:color="auto" w:fill="E7F5CF" w:themeFill="accent1" w:themeFillTint="33"/>
            <w:vAlign w:val="center"/>
          </w:tcPr>
          <w:p w14:paraId="1B6F8E03"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74330B">
              <w:rPr>
                <w:b/>
                <w:color w:val="000000"/>
                <w:szCs w:val="18"/>
              </w:rPr>
              <w:t xml:space="preserve">Předání </w:t>
            </w:r>
            <w:r>
              <w:rPr>
                <w:b/>
                <w:color w:val="000000"/>
                <w:szCs w:val="18"/>
              </w:rPr>
              <w:t>Závěrečné</w:t>
            </w:r>
            <w:r w:rsidRPr="0074330B">
              <w:rPr>
                <w:b/>
                <w:color w:val="000000"/>
                <w:szCs w:val="18"/>
              </w:rPr>
              <w:t xml:space="preserve"> zprávy</w:t>
            </w:r>
            <w:r>
              <w:rPr>
                <w:b/>
                <w:color w:val="000000"/>
                <w:szCs w:val="18"/>
              </w:rPr>
              <w:t xml:space="preserve"> a dalších výstupů</w:t>
            </w:r>
          </w:p>
        </w:tc>
        <w:tc>
          <w:tcPr>
            <w:tcW w:w="853" w:type="pct"/>
            <w:tcBorders>
              <w:top w:val="single" w:sz="4" w:space="0" w:color="92D400"/>
              <w:bottom w:val="single" w:sz="4" w:space="0" w:color="92D400"/>
            </w:tcBorders>
            <w:shd w:val="clear" w:color="auto" w:fill="E7F5CF" w:themeFill="accent1" w:themeFillTint="33"/>
            <w:vAlign w:val="center"/>
          </w:tcPr>
          <w:p w14:paraId="21A7CEB3"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74330B">
              <w:rPr>
                <w:rFonts w:eastAsia="Times New Roman" w:cs="Calibri"/>
                <w:b/>
                <w:color w:val="000000"/>
                <w:szCs w:val="18"/>
                <w:lang w:eastAsia="cs-CZ"/>
              </w:rPr>
              <w:t>Deloitte</w:t>
            </w:r>
          </w:p>
        </w:tc>
        <w:tc>
          <w:tcPr>
            <w:tcW w:w="1029" w:type="pct"/>
            <w:tcBorders>
              <w:top w:val="single" w:sz="4" w:space="0" w:color="92D400"/>
              <w:bottom w:val="single" w:sz="4" w:space="0" w:color="92D400"/>
            </w:tcBorders>
            <w:shd w:val="clear" w:color="auto" w:fill="E7F5CF" w:themeFill="accent1" w:themeFillTint="33"/>
            <w:vAlign w:val="center"/>
          </w:tcPr>
          <w:p w14:paraId="3DB1790D"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26. 6. 2020</w:t>
            </w:r>
          </w:p>
        </w:tc>
      </w:tr>
      <w:tr w:rsidR="00AC34C8" w:rsidRPr="00BC7275" w14:paraId="44DCEEB1"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tcBorders>
              <w:top w:val="single" w:sz="4" w:space="0" w:color="92D400"/>
            </w:tcBorders>
            <w:shd w:val="clear" w:color="auto" w:fill="E7F5CF" w:themeFill="accent1" w:themeFillTint="33"/>
            <w:textDirection w:val="btLr"/>
          </w:tcPr>
          <w:p w14:paraId="5F6C0380" w14:textId="77777777" w:rsidR="00AC34C8" w:rsidRPr="00CE7B5B" w:rsidRDefault="00AC34C8" w:rsidP="002F7356">
            <w:pPr>
              <w:spacing w:before="60" w:after="60" w:line="240" w:lineRule="auto"/>
              <w:ind w:left="113" w:right="113"/>
              <w:jc w:val="center"/>
              <w:rPr>
                <w:rFonts w:eastAsia="Times New Roman" w:cs="Calibri"/>
                <w:color w:val="000000"/>
                <w:szCs w:val="18"/>
                <w:lang w:eastAsia="cs-CZ"/>
              </w:rPr>
            </w:pPr>
          </w:p>
        </w:tc>
        <w:tc>
          <w:tcPr>
            <w:tcW w:w="260" w:type="pct"/>
            <w:tcBorders>
              <w:top w:val="single" w:sz="4" w:space="0" w:color="92D400"/>
              <w:bottom w:val="single" w:sz="4" w:space="0" w:color="92D400"/>
            </w:tcBorders>
            <w:shd w:val="clear" w:color="auto" w:fill="E7F5CF" w:themeFill="accent1" w:themeFillTint="33"/>
            <w:vAlign w:val="center"/>
          </w:tcPr>
          <w:p w14:paraId="4DCF2F60" w14:textId="77777777" w:rsidR="00AC34C8" w:rsidRPr="003D73CA"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Pr>
                <w:rFonts w:eastAsia="Times New Roman" w:cs="Calibri"/>
                <w:b/>
                <w:color w:val="000000"/>
                <w:szCs w:val="18"/>
                <w:lang w:eastAsia="cs-CZ"/>
              </w:rPr>
              <w:t>10</w:t>
            </w:r>
          </w:p>
        </w:tc>
        <w:tc>
          <w:tcPr>
            <w:tcW w:w="2423" w:type="pct"/>
            <w:tcBorders>
              <w:top w:val="single" w:sz="4" w:space="0" w:color="92D400"/>
              <w:bottom w:val="single" w:sz="4" w:space="0" w:color="92D400"/>
            </w:tcBorders>
            <w:shd w:val="clear" w:color="auto" w:fill="E7F5CF" w:themeFill="accent1" w:themeFillTint="33"/>
            <w:vAlign w:val="center"/>
          </w:tcPr>
          <w:p w14:paraId="2059429B" w14:textId="77777777" w:rsidR="00AC34C8" w:rsidRPr="0074330B"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b/>
                <w:color w:val="000000"/>
                <w:szCs w:val="18"/>
              </w:rPr>
            </w:pPr>
            <w:r>
              <w:rPr>
                <w:b/>
                <w:color w:val="000000"/>
                <w:szCs w:val="18"/>
              </w:rPr>
              <w:t>Prezentace výsledků Projektu</w:t>
            </w:r>
          </w:p>
        </w:tc>
        <w:tc>
          <w:tcPr>
            <w:tcW w:w="853" w:type="pct"/>
            <w:tcBorders>
              <w:top w:val="single" w:sz="4" w:space="0" w:color="92D400"/>
              <w:bottom w:val="single" w:sz="4" w:space="0" w:color="92D400"/>
            </w:tcBorders>
            <w:shd w:val="clear" w:color="auto" w:fill="E7F5CF" w:themeFill="accent1" w:themeFillTint="33"/>
            <w:vAlign w:val="center"/>
          </w:tcPr>
          <w:p w14:paraId="1B5CE7C9"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Pr>
                <w:rFonts w:eastAsia="Times New Roman" w:cs="Calibri"/>
                <w:b/>
                <w:color w:val="000000"/>
                <w:szCs w:val="18"/>
                <w:lang w:eastAsia="cs-CZ"/>
              </w:rPr>
              <w:t>Deloitte</w:t>
            </w:r>
          </w:p>
        </w:tc>
        <w:tc>
          <w:tcPr>
            <w:tcW w:w="1029" w:type="pct"/>
            <w:tcBorders>
              <w:top w:val="single" w:sz="4" w:space="0" w:color="92D400"/>
              <w:bottom w:val="single" w:sz="4" w:space="0" w:color="92D400"/>
            </w:tcBorders>
            <w:shd w:val="clear" w:color="auto" w:fill="E7F5CF" w:themeFill="accent1" w:themeFillTint="33"/>
            <w:vAlign w:val="center"/>
          </w:tcPr>
          <w:p w14:paraId="5634DBB1" w14:textId="77777777" w:rsidR="00AC34C8"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FootnoteReference"/>
                <w:rFonts w:asciiTheme="majorHAnsi" w:hAnsiTheme="majorHAnsi" w:cs="Calibri"/>
                <w:b/>
                <w:color w:val="000000"/>
                <w:szCs w:val="18"/>
                <w:lang w:eastAsia="cs-CZ"/>
              </w:rPr>
            </w:pPr>
            <w:r>
              <w:rPr>
                <w:rFonts w:asciiTheme="majorHAnsi" w:hAnsiTheme="majorHAnsi" w:cs="Calibri"/>
                <w:b/>
                <w:color w:val="000000"/>
                <w:szCs w:val="18"/>
                <w:lang w:eastAsia="cs-CZ"/>
              </w:rPr>
              <w:t>3. 7. 2020</w:t>
            </w:r>
          </w:p>
        </w:tc>
      </w:tr>
      <w:tr w:rsidR="00AC34C8" w:rsidRPr="00BC7275" w14:paraId="72EB3038"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shd w:val="clear" w:color="auto" w:fill="E7F5CF" w:themeFill="accent1" w:themeFillTint="33"/>
          </w:tcPr>
          <w:p w14:paraId="6ABDCA86" w14:textId="77777777" w:rsidR="00AC34C8" w:rsidRDefault="00AC34C8" w:rsidP="002F7356">
            <w:pPr>
              <w:spacing w:before="60" w:after="60" w:line="240" w:lineRule="auto"/>
              <w:rPr>
                <w:rFonts w:eastAsia="Times New Roman" w:cs="Calibri"/>
                <w:color w:val="000000"/>
                <w:szCs w:val="18"/>
                <w:lang w:eastAsia="cs-CZ"/>
              </w:rPr>
            </w:pPr>
          </w:p>
        </w:tc>
        <w:tc>
          <w:tcPr>
            <w:tcW w:w="260" w:type="pct"/>
            <w:tcBorders>
              <w:top w:val="single" w:sz="4" w:space="0" w:color="92D400"/>
              <w:bottom w:val="single" w:sz="4" w:space="0" w:color="92D400"/>
            </w:tcBorders>
            <w:shd w:val="clear" w:color="auto" w:fill="E7F5CF" w:themeFill="accent1" w:themeFillTint="33"/>
            <w:vAlign w:val="center"/>
          </w:tcPr>
          <w:p w14:paraId="0E0F68CD"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11</w:t>
            </w:r>
          </w:p>
        </w:tc>
        <w:tc>
          <w:tcPr>
            <w:tcW w:w="2423" w:type="pct"/>
            <w:tcBorders>
              <w:top w:val="single" w:sz="4" w:space="0" w:color="92D400"/>
              <w:bottom w:val="single" w:sz="4" w:space="0" w:color="92D400"/>
            </w:tcBorders>
            <w:shd w:val="clear" w:color="auto" w:fill="E7F5CF" w:themeFill="accent1" w:themeFillTint="33"/>
            <w:vAlign w:val="center"/>
          </w:tcPr>
          <w:p w14:paraId="00342617"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Předání připomínek k Závěrečné zprávě</w:t>
            </w:r>
          </w:p>
        </w:tc>
        <w:tc>
          <w:tcPr>
            <w:tcW w:w="853" w:type="pct"/>
            <w:tcBorders>
              <w:top w:val="single" w:sz="4" w:space="0" w:color="92D400"/>
              <w:bottom w:val="single" w:sz="4" w:space="0" w:color="92D400"/>
            </w:tcBorders>
            <w:shd w:val="clear" w:color="auto" w:fill="E7F5CF" w:themeFill="accent1" w:themeFillTint="33"/>
            <w:vAlign w:val="center"/>
          </w:tcPr>
          <w:p w14:paraId="6BA5FADF"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asciiTheme="majorHAnsi" w:hAnsiTheme="majorHAnsi" w:cs="Calibri"/>
                <w:color w:val="000000"/>
                <w:szCs w:val="18"/>
                <w:lang w:eastAsia="cs-CZ"/>
              </w:rPr>
              <w:t>MPO</w:t>
            </w:r>
          </w:p>
        </w:tc>
        <w:tc>
          <w:tcPr>
            <w:tcW w:w="1029" w:type="pct"/>
            <w:tcBorders>
              <w:top w:val="single" w:sz="4" w:space="0" w:color="92D400"/>
              <w:bottom w:val="single" w:sz="4" w:space="0" w:color="92D400"/>
            </w:tcBorders>
            <w:shd w:val="clear" w:color="auto" w:fill="E7F5CF" w:themeFill="accent1" w:themeFillTint="33"/>
            <w:vAlign w:val="center"/>
          </w:tcPr>
          <w:p w14:paraId="599637E5" w14:textId="674D2915" w:rsidR="00AC34C8" w:rsidRPr="00BC7275" w:rsidRDefault="00CC1FF0"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I</w:t>
            </w:r>
            <w:r w:rsidR="00AC34C8">
              <w:rPr>
                <w:rFonts w:asciiTheme="majorHAnsi" w:hAnsiTheme="majorHAnsi" w:cs="Calibri"/>
                <w:color w:val="000000"/>
                <w:szCs w:val="18"/>
                <w:lang w:eastAsia="cs-CZ"/>
              </w:rPr>
              <w:t>deálně do 5 pracovních dní</w:t>
            </w:r>
          </w:p>
        </w:tc>
      </w:tr>
      <w:tr w:rsidR="00AC34C8" w:rsidRPr="00BC7275" w14:paraId="062002C6"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shd w:val="clear" w:color="auto" w:fill="E7F5CF" w:themeFill="accent1" w:themeFillTint="33"/>
          </w:tcPr>
          <w:p w14:paraId="43A5C0FD" w14:textId="77777777" w:rsidR="00AC34C8" w:rsidRDefault="00AC34C8" w:rsidP="002F7356">
            <w:pPr>
              <w:spacing w:before="60" w:after="60" w:line="240" w:lineRule="auto"/>
              <w:rPr>
                <w:rFonts w:eastAsia="Times New Roman" w:cs="Calibri"/>
                <w:color w:val="000000"/>
                <w:szCs w:val="18"/>
                <w:lang w:eastAsia="cs-CZ"/>
              </w:rPr>
            </w:pPr>
          </w:p>
        </w:tc>
        <w:tc>
          <w:tcPr>
            <w:tcW w:w="260" w:type="pct"/>
            <w:tcBorders>
              <w:top w:val="single" w:sz="4" w:space="0" w:color="92D400"/>
              <w:bottom w:val="single" w:sz="4" w:space="0" w:color="92D400"/>
            </w:tcBorders>
            <w:shd w:val="clear" w:color="auto" w:fill="E7F5CF" w:themeFill="accent1" w:themeFillTint="33"/>
            <w:vAlign w:val="center"/>
          </w:tcPr>
          <w:p w14:paraId="48E9926F"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12</w:t>
            </w:r>
          </w:p>
        </w:tc>
        <w:tc>
          <w:tcPr>
            <w:tcW w:w="2423" w:type="pct"/>
            <w:tcBorders>
              <w:top w:val="single" w:sz="4" w:space="0" w:color="92D400"/>
              <w:bottom w:val="single" w:sz="4" w:space="0" w:color="92D400"/>
            </w:tcBorders>
            <w:shd w:val="clear" w:color="auto" w:fill="E7F5CF" w:themeFill="accent1" w:themeFillTint="33"/>
            <w:vAlign w:val="center"/>
          </w:tcPr>
          <w:p w14:paraId="43A39513"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Pr>
                <w:color w:val="000000"/>
                <w:szCs w:val="18"/>
              </w:rPr>
              <w:t>Vypořádání připomínek k Závěrečné zprávě</w:t>
            </w:r>
          </w:p>
        </w:tc>
        <w:tc>
          <w:tcPr>
            <w:tcW w:w="853" w:type="pct"/>
            <w:tcBorders>
              <w:top w:val="single" w:sz="4" w:space="0" w:color="92D400"/>
              <w:bottom w:val="single" w:sz="4" w:space="0" w:color="92D400"/>
            </w:tcBorders>
            <w:shd w:val="clear" w:color="auto" w:fill="E7F5CF" w:themeFill="accent1" w:themeFillTint="33"/>
            <w:vAlign w:val="center"/>
          </w:tcPr>
          <w:p w14:paraId="759AD131"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Pr>
                <w:rFonts w:eastAsia="Times New Roman" w:cs="Calibri"/>
                <w:color w:val="000000"/>
                <w:szCs w:val="18"/>
                <w:lang w:eastAsia="cs-CZ"/>
              </w:rPr>
              <w:t>Deloitte</w:t>
            </w:r>
          </w:p>
        </w:tc>
        <w:tc>
          <w:tcPr>
            <w:tcW w:w="1029" w:type="pct"/>
            <w:tcBorders>
              <w:top w:val="single" w:sz="4" w:space="0" w:color="92D400"/>
              <w:bottom w:val="single" w:sz="4" w:space="0" w:color="92D400"/>
            </w:tcBorders>
            <w:shd w:val="clear" w:color="auto" w:fill="E7F5CF" w:themeFill="accent1" w:themeFillTint="33"/>
            <w:vAlign w:val="center"/>
          </w:tcPr>
          <w:p w14:paraId="4F583617"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Cs w:val="18"/>
                <w:lang w:eastAsia="cs-CZ"/>
              </w:rPr>
            </w:pPr>
            <w:r>
              <w:rPr>
                <w:rFonts w:asciiTheme="majorHAnsi" w:hAnsiTheme="majorHAnsi" w:cs="Calibri"/>
                <w:color w:val="000000"/>
                <w:szCs w:val="18"/>
                <w:lang w:eastAsia="cs-CZ"/>
              </w:rPr>
              <w:t>Do 5 pracovních dnů od předání připomínek</w:t>
            </w:r>
          </w:p>
        </w:tc>
      </w:tr>
      <w:tr w:rsidR="00AC34C8" w:rsidRPr="00BC7275" w14:paraId="69CC99A9" w14:textId="77777777" w:rsidTr="00AC34C8">
        <w:trPr>
          <w:trHeight w:val="340"/>
        </w:trPr>
        <w:tc>
          <w:tcPr>
            <w:cnfStyle w:val="001000000000" w:firstRow="0" w:lastRow="0" w:firstColumn="1" w:lastColumn="0" w:oddVBand="0" w:evenVBand="0" w:oddHBand="0" w:evenHBand="0" w:firstRowFirstColumn="0" w:firstRowLastColumn="0" w:lastRowFirstColumn="0" w:lastRowLastColumn="0"/>
            <w:tcW w:w="434" w:type="pct"/>
            <w:vMerge/>
            <w:shd w:val="clear" w:color="auto" w:fill="E7F5CF" w:themeFill="accent1" w:themeFillTint="33"/>
          </w:tcPr>
          <w:p w14:paraId="1517276C" w14:textId="77777777" w:rsidR="00AC34C8" w:rsidRDefault="00AC34C8" w:rsidP="002F7356">
            <w:pPr>
              <w:spacing w:before="60" w:after="60" w:line="240" w:lineRule="auto"/>
              <w:rPr>
                <w:rFonts w:eastAsia="Times New Roman" w:cs="Calibri"/>
                <w:color w:val="000000"/>
                <w:szCs w:val="18"/>
                <w:lang w:eastAsia="cs-CZ"/>
              </w:rPr>
            </w:pPr>
          </w:p>
        </w:tc>
        <w:tc>
          <w:tcPr>
            <w:tcW w:w="260" w:type="pct"/>
            <w:tcBorders>
              <w:top w:val="single" w:sz="4" w:space="0" w:color="92D400"/>
            </w:tcBorders>
            <w:shd w:val="clear" w:color="auto" w:fill="E7F5CF" w:themeFill="accent1" w:themeFillTint="33"/>
            <w:vAlign w:val="center"/>
          </w:tcPr>
          <w:p w14:paraId="34500445" w14:textId="77777777" w:rsidR="00AC34C8" w:rsidRPr="003D73CA"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18"/>
                <w:lang w:eastAsia="cs-CZ"/>
              </w:rPr>
            </w:pPr>
            <w:r>
              <w:rPr>
                <w:rFonts w:eastAsia="Times New Roman" w:cs="Calibri"/>
                <w:b/>
                <w:color w:val="000000"/>
                <w:szCs w:val="18"/>
                <w:lang w:eastAsia="cs-CZ"/>
              </w:rPr>
              <w:t>13</w:t>
            </w:r>
          </w:p>
        </w:tc>
        <w:tc>
          <w:tcPr>
            <w:tcW w:w="2423" w:type="pct"/>
            <w:tcBorders>
              <w:top w:val="single" w:sz="4" w:space="0" w:color="92D400"/>
            </w:tcBorders>
            <w:shd w:val="clear" w:color="auto" w:fill="E7F5CF" w:themeFill="accent1" w:themeFillTint="33"/>
            <w:vAlign w:val="center"/>
          </w:tcPr>
          <w:p w14:paraId="7CC0A115" w14:textId="77777777" w:rsidR="00AC34C8" w:rsidRPr="00BC7275" w:rsidRDefault="00AC34C8" w:rsidP="002F7356">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Cs w:val="18"/>
              </w:rPr>
            </w:pPr>
            <w:r w:rsidRPr="0074330B">
              <w:rPr>
                <w:b/>
                <w:color w:val="000000"/>
                <w:szCs w:val="18"/>
              </w:rPr>
              <w:t xml:space="preserve">Akceptace </w:t>
            </w:r>
            <w:r>
              <w:rPr>
                <w:b/>
                <w:color w:val="000000"/>
                <w:szCs w:val="18"/>
              </w:rPr>
              <w:t>Závěrečné</w:t>
            </w:r>
            <w:r w:rsidRPr="0074330B">
              <w:rPr>
                <w:b/>
                <w:color w:val="000000"/>
                <w:szCs w:val="18"/>
              </w:rPr>
              <w:t xml:space="preserve"> zprávy</w:t>
            </w:r>
          </w:p>
        </w:tc>
        <w:tc>
          <w:tcPr>
            <w:tcW w:w="853" w:type="pct"/>
            <w:tcBorders>
              <w:top w:val="single" w:sz="4" w:space="0" w:color="92D400"/>
            </w:tcBorders>
            <w:shd w:val="clear" w:color="auto" w:fill="E7F5CF" w:themeFill="accent1" w:themeFillTint="33"/>
            <w:vAlign w:val="center"/>
          </w:tcPr>
          <w:p w14:paraId="04F0908D" w14:textId="77777777" w:rsidR="00AC34C8" w:rsidRPr="00BC7275"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18"/>
                <w:lang w:eastAsia="cs-CZ"/>
              </w:rPr>
            </w:pPr>
            <w:r w:rsidRPr="0074330B">
              <w:rPr>
                <w:rFonts w:eastAsia="Times New Roman" w:cs="Calibri"/>
                <w:b/>
                <w:color w:val="000000"/>
                <w:szCs w:val="18"/>
                <w:lang w:eastAsia="cs-CZ"/>
              </w:rPr>
              <w:t>MPO</w:t>
            </w:r>
          </w:p>
        </w:tc>
        <w:tc>
          <w:tcPr>
            <w:tcW w:w="1029" w:type="pct"/>
            <w:tcBorders>
              <w:top w:val="single" w:sz="4" w:space="0" w:color="92D400"/>
            </w:tcBorders>
            <w:shd w:val="clear" w:color="auto" w:fill="E7F5CF" w:themeFill="accent1" w:themeFillTint="33"/>
            <w:vAlign w:val="center"/>
          </w:tcPr>
          <w:p w14:paraId="1BE636AF" w14:textId="77777777" w:rsidR="00AC34C8" w:rsidRPr="0074330B" w:rsidRDefault="00AC34C8" w:rsidP="002F7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color w:val="000000"/>
                <w:szCs w:val="18"/>
                <w:lang w:eastAsia="cs-CZ"/>
              </w:rPr>
            </w:pPr>
            <w:r>
              <w:rPr>
                <w:rFonts w:asciiTheme="majorHAnsi" w:hAnsiTheme="majorHAnsi" w:cs="Calibri"/>
                <w:b/>
                <w:color w:val="000000"/>
                <w:szCs w:val="18"/>
                <w:lang w:eastAsia="cs-CZ"/>
              </w:rPr>
              <w:t>Do 5 pracovních dní od předání finální verze</w:t>
            </w:r>
          </w:p>
        </w:tc>
      </w:tr>
    </w:tbl>
    <w:p w14:paraId="24BBCA2D" w14:textId="77777777" w:rsidR="00893050" w:rsidRPr="00A750C4" w:rsidRDefault="00893050" w:rsidP="00893050">
      <w:pPr>
        <w:spacing w:before="113" w:after="113" w:line="240" w:lineRule="auto"/>
        <w:jc w:val="both"/>
        <w:rPr>
          <w:b/>
        </w:rPr>
      </w:pPr>
      <w:r w:rsidRPr="00A750C4">
        <w:rPr>
          <w:b/>
        </w:rPr>
        <w:t xml:space="preserve">Vzhledem k charakteru Projektu, kde jednotlivé etapy projektu na sebe logicky navazují, je odpovědnou osobou za všechny fáze projektu Vedoucí týmu </w:t>
      </w:r>
      <w:r>
        <w:rPr>
          <w:b/>
        </w:rPr>
        <w:t>Jan Sedliačik.</w:t>
      </w:r>
      <w:r w:rsidRPr="00A750C4">
        <w:rPr>
          <w:b/>
        </w:rPr>
        <w:t xml:space="preserve">  </w:t>
      </w:r>
    </w:p>
    <w:p w14:paraId="5347D8D8" w14:textId="77777777" w:rsidR="00FA6087" w:rsidRDefault="00FA6087" w:rsidP="00F46FDA">
      <w:pPr>
        <w:spacing w:before="240" w:after="113" w:line="240" w:lineRule="auto"/>
        <w:jc w:val="both"/>
      </w:pPr>
      <w:r>
        <w:t>V rámci celého Projektu bude v případě potřeby zabezpečena průběžná komunikace Dodavatele se Zadavatelem a dalšími relevantními subjekty a to v tomto rozsahu:</w:t>
      </w:r>
    </w:p>
    <w:p w14:paraId="0656AEAA" w14:textId="77777777" w:rsidR="00FA6087" w:rsidRDefault="00FA6087" w:rsidP="00F46FDA">
      <w:pPr>
        <w:numPr>
          <w:ilvl w:val="0"/>
          <w:numId w:val="17"/>
        </w:numPr>
        <w:spacing w:before="113" w:after="113" w:line="240" w:lineRule="auto"/>
        <w:jc w:val="both"/>
      </w:pPr>
      <w:r>
        <w:t>Písemné (e-mailové) hlášení dodavatele o aktuálně prováděných pracích, o pracích, které byly v minulých 10 pracovních dnech odvedeny, a které práce budou v následujících 10 pracovních dnech zahájeny - jedenkrát za 10 pracovních dnů;</w:t>
      </w:r>
    </w:p>
    <w:p w14:paraId="46775B37" w14:textId="77777777" w:rsidR="00FA6087" w:rsidRDefault="00FA6087" w:rsidP="00F46FDA">
      <w:pPr>
        <w:numPr>
          <w:ilvl w:val="0"/>
          <w:numId w:val="17"/>
        </w:numPr>
        <w:spacing w:before="113" w:after="113" w:line="240" w:lineRule="auto"/>
        <w:jc w:val="both"/>
      </w:pPr>
      <w:r>
        <w:t>Osobní konzultace pro vyjasnění nejasností, odstranění nedostatků, doplnění nebo vypořádání připomínek Zadavatele k vyhotoveným výstupům.</w:t>
      </w:r>
    </w:p>
    <w:p w14:paraId="6BF3344E" w14:textId="77777777" w:rsidR="00FA6087" w:rsidRPr="00811A8E" w:rsidRDefault="00FA6087" w:rsidP="00F46FDA">
      <w:pPr>
        <w:pStyle w:val="Heading2"/>
        <w:spacing w:line="240" w:lineRule="auto"/>
      </w:pPr>
      <w:bookmarkStart w:id="38" w:name="_Toc534706109"/>
      <w:bookmarkStart w:id="39" w:name="_Toc535414998"/>
      <w:bookmarkStart w:id="40" w:name="_Toc270098"/>
      <w:bookmarkStart w:id="41" w:name="_Toc25228655"/>
      <w:bookmarkStart w:id="42" w:name="_Toc37248825"/>
      <w:r w:rsidRPr="00811A8E">
        <w:lastRenderedPageBreak/>
        <w:t>Principy logické provázanosti činností</w:t>
      </w:r>
      <w:r>
        <w:t xml:space="preserve"> a </w:t>
      </w:r>
      <w:r w:rsidRPr="00811A8E">
        <w:t>minimalizace zbytných kroků</w:t>
      </w:r>
      <w:bookmarkEnd w:id="38"/>
      <w:bookmarkEnd w:id="39"/>
      <w:bookmarkEnd w:id="40"/>
      <w:bookmarkEnd w:id="41"/>
      <w:bookmarkEnd w:id="42"/>
    </w:p>
    <w:p w14:paraId="6C2A80AE" w14:textId="77777777" w:rsidR="00FA6087" w:rsidRPr="00BE39FF" w:rsidRDefault="00FA6087" w:rsidP="00F46FDA">
      <w:pPr>
        <w:spacing w:before="113" w:after="113" w:line="240" w:lineRule="auto"/>
        <w:jc w:val="both"/>
      </w:pPr>
      <w:r w:rsidRPr="00BE39FF">
        <w:t>Realizace požadovaných činností</w:t>
      </w:r>
      <w:r>
        <w:t xml:space="preserve"> a </w:t>
      </w:r>
      <w:r w:rsidRPr="00BE39FF">
        <w:t>zpracování požadovaných výstupů bude probíhat podle těchto základních principů.</w:t>
      </w:r>
    </w:p>
    <w:p w14:paraId="3597863A" w14:textId="77777777" w:rsidR="00FA6087" w:rsidRDefault="00FA6087" w:rsidP="00F46FDA">
      <w:pPr>
        <w:pStyle w:val="BodyText1"/>
        <w:numPr>
          <w:ilvl w:val="0"/>
          <w:numId w:val="20"/>
        </w:numPr>
        <w:spacing w:before="113" w:after="113" w:line="240" w:lineRule="auto"/>
        <w:jc w:val="both"/>
        <w:rPr>
          <w:rFonts w:asciiTheme="minorHAnsi" w:hAnsiTheme="minorHAnsi" w:cstheme="minorBidi"/>
          <w:color w:val="00000A"/>
          <w:szCs w:val="22"/>
        </w:rPr>
      </w:pPr>
      <w:r>
        <w:rPr>
          <w:rFonts w:asciiTheme="minorHAnsi" w:hAnsiTheme="minorHAnsi" w:cstheme="minorBidi"/>
          <w:b/>
          <w:color w:val="00000A"/>
          <w:szCs w:val="22"/>
        </w:rPr>
        <w:t xml:space="preserve">Použití osvědčených metod – </w:t>
      </w:r>
      <w:r>
        <w:rPr>
          <w:rFonts w:asciiTheme="minorHAnsi" w:hAnsiTheme="minorHAnsi" w:cstheme="minorBidi"/>
          <w:color w:val="00000A"/>
          <w:szCs w:val="22"/>
        </w:rPr>
        <w:t>Veškeré zde navrhované evaluační metody představují osvědčené metody, které byly členy realizačního týmu Deloitte použity při obdobných projektech procesních evaluací. Použití těchto metod zaručuje, že i postupy, kterými jsou metody realizovány, byly na základě praktických zkušeností Deloitte optimalizovány tak, aby byly tyto postupy logicky provázány a aby byly minimalizovány zbytné kroky v jejich realizaci.</w:t>
      </w:r>
    </w:p>
    <w:p w14:paraId="11053205" w14:textId="77777777" w:rsidR="00FA6087" w:rsidRDefault="00FA6087" w:rsidP="00F46FDA">
      <w:pPr>
        <w:pStyle w:val="BodyText1"/>
        <w:numPr>
          <w:ilvl w:val="0"/>
          <w:numId w:val="20"/>
        </w:numPr>
        <w:spacing w:before="113" w:after="113" w:line="240" w:lineRule="auto"/>
        <w:jc w:val="both"/>
      </w:pPr>
      <w:r>
        <w:rPr>
          <w:rFonts w:asciiTheme="minorHAnsi" w:hAnsiTheme="minorHAnsi" w:cstheme="minorBidi"/>
          <w:b/>
          <w:color w:val="00000A"/>
          <w:szCs w:val="22"/>
        </w:rPr>
        <w:t>Použití šablon a dříve zpracovaných dokumentů a materiálů</w:t>
      </w:r>
      <w:r>
        <w:rPr>
          <w:rFonts w:asciiTheme="minorHAnsi" w:hAnsiTheme="minorHAnsi" w:cstheme="minorBidi"/>
          <w:color w:val="00000A"/>
          <w:szCs w:val="22"/>
        </w:rPr>
        <w:t xml:space="preserve"> – Za účelem minimalizace zbytných kroků při realizaci činností bude Dodavatel v maximální možné míře využívat existujících šablon Deloitte (např. klasifikační archy pro hodnocení expertním panelem, formuláře pro tvorbu zápisu fokusní skupiny atp.) a dříve zpracovaných dokumentů a materiálů. </w:t>
      </w:r>
    </w:p>
    <w:p w14:paraId="0F5CA038" w14:textId="77777777" w:rsidR="00FA6087" w:rsidRDefault="00FA6087" w:rsidP="00F46FDA">
      <w:pPr>
        <w:pStyle w:val="ListParagraph"/>
        <w:numPr>
          <w:ilvl w:val="0"/>
          <w:numId w:val="20"/>
        </w:numPr>
        <w:spacing w:before="113" w:after="113" w:line="240" w:lineRule="auto"/>
        <w:jc w:val="both"/>
      </w:pPr>
      <w:r>
        <w:rPr>
          <w:b/>
        </w:rPr>
        <w:t>Triangulace evaluačních metod</w:t>
      </w:r>
      <w:r>
        <w:t xml:space="preserve"> – Pro formulaci závěrů, na základě nichž budou formulovány odpovědi na jednotlivé evaluační otázky, bude Dodavatel využívat vždy nejméně dvě různé evaluační metody (resp. nástroje), případně minimálně dva zdroje dat. Zároveň bude Dodavatel důsledně dbát na to, aby byly evaluační otázky zodpovídány (v relevantních případech) kombinací kvalitativních a kvantitativních evaluačních metod. Tato kombinace zajistí vytvořeným závěrům vysokou vypovídací schopnost.</w:t>
      </w:r>
    </w:p>
    <w:p w14:paraId="1050DE41" w14:textId="561F00EF" w:rsidR="00DB63F9" w:rsidRPr="00860027" w:rsidRDefault="00FA6087" w:rsidP="001B11C7">
      <w:pPr>
        <w:pStyle w:val="BodyText1"/>
        <w:numPr>
          <w:ilvl w:val="0"/>
          <w:numId w:val="20"/>
        </w:numPr>
        <w:spacing w:before="113" w:after="113" w:line="240" w:lineRule="auto"/>
        <w:jc w:val="both"/>
      </w:pPr>
      <w:r w:rsidRPr="00E86948">
        <w:rPr>
          <w:rFonts w:asciiTheme="minorHAnsi" w:hAnsiTheme="minorHAnsi" w:cstheme="minorBidi"/>
          <w:b/>
          <w:color w:val="00000A"/>
          <w:szCs w:val="22"/>
        </w:rPr>
        <w:t>Aktivní zajišťování dat a informací, zatěžování Zadavatele pouze v případě dat a</w:t>
      </w:r>
      <w:r w:rsidR="00791090">
        <w:rPr>
          <w:rFonts w:asciiTheme="minorHAnsi" w:hAnsiTheme="minorHAnsi" w:cstheme="minorBidi"/>
          <w:b/>
          <w:color w:val="00000A"/>
          <w:szCs w:val="22"/>
        </w:rPr>
        <w:t> </w:t>
      </w:r>
      <w:r w:rsidRPr="00E86948">
        <w:rPr>
          <w:rFonts w:asciiTheme="minorHAnsi" w:hAnsiTheme="minorHAnsi" w:cstheme="minorBidi"/>
          <w:b/>
          <w:color w:val="00000A"/>
          <w:szCs w:val="22"/>
        </w:rPr>
        <w:t>informací dostupných pouze Zadavateli nebo lépe zajistitelných přes Zadavatele</w:t>
      </w:r>
      <w:r w:rsidRPr="00E86948">
        <w:rPr>
          <w:rFonts w:asciiTheme="minorHAnsi" w:hAnsiTheme="minorHAnsi" w:cstheme="minorBidi"/>
          <w:color w:val="00000A"/>
          <w:szCs w:val="22"/>
        </w:rPr>
        <w:t xml:space="preserve"> </w:t>
      </w:r>
      <w:r>
        <w:rPr>
          <w:rFonts w:asciiTheme="minorHAnsi" w:hAnsiTheme="minorHAnsi" w:cstheme="minorBidi"/>
          <w:color w:val="00000A"/>
          <w:szCs w:val="22"/>
        </w:rPr>
        <w:t xml:space="preserve">– </w:t>
      </w:r>
      <w:r w:rsidRPr="00E86948">
        <w:rPr>
          <w:rFonts w:asciiTheme="minorHAnsi" w:hAnsiTheme="minorHAnsi" w:cstheme="minorBidi"/>
          <w:color w:val="00000A"/>
          <w:szCs w:val="22"/>
        </w:rPr>
        <w:t>Dodavatel bude primárně aktivně zajišťovat data a informace přímo od jejich poskytovatele/ů, čímž bude jednak minimálně zatěžovat Zadavatele a jeho zaměstnance a současně bude minimalizovat časové prodlevy při získávání dat a informací. Pouze v případě dat a informací dostupných pouze Zadavateli si</w:t>
      </w:r>
      <w:r w:rsidR="009E6D48">
        <w:rPr>
          <w:rFonts w:asciiTheme="minorHAnsi" w:hAnsiTheme="minorHAnsi" w:cstheme="minorBidi"/>
          <w:color w:val="00000A"/>
          <w:szCs w:val="22"/>
        </w:rPr>
        <w:t xml:space="preserve"> tyto data a informace</w:t>
      </w:r>
      <w:r w:rsidRPr="00E86948">
        <w:rPr>
          <w:rFonts w:asciiTheme="minorHAnsi" w:hAnsiTheme="minorHAnsi" w:cstheme="minorBidi"/>
          <w:color w:val="00000A"/>
          <w:szCs w:val="22"/>
        </w:rPr>
        <w:t xml:space="preserve"> Dodavatel vyžádá od Zadavatele. Dodavatel požádá o součinnost Zadavatele také v případě veřejně nedostupných informací, dat a dokumentů, které budou lépe zejména pak rychleji, dostupné prostřednictvím Zadavatele.</w:t>
      </w:r>
      <w:bookmarkStart w:id="43" w:name="_Toc23859669"/>
      <w:bookmarkStart w:id="44" w:name="_Toc25228658"/>
    </w:p>
    <w:p w14:paraId="0722C732" w14:textId="70DF2C62" w:rsidR="00DB63F9" w:rsidRPr="00A50B20" w:rsidRDefault="00DB63F9" w:rsidP="00DB63F9">
      <w:pPr>
        <w:pStyle w:val="BodyText1"/>
        <w:numPr>
          <w:ilvl w:val="0"/>
          <w:numId w:val="20"/>
        </w:numPr>
        <w:spacing w:before="113" w:after="113" w:line="240" w:lineRule="auto"/>
        <w:jc w:val="both"/>
      </w:pPr>
      <w:r>
        <w:rPr>
          <w:rFonts w:asciiTheme="minorHAnsi" w:hAnsiTheme="minorHAnsi" w:cstheme="minorBidi"/>
          <w:b/>
          <w:color w:val="00000A"/>
          <w:szCs w:val="22"/>
        </w:rPr>
        <w:t xml:space="preserve">Alternace metod – </w:t>
      </w:r>
      <w:r w:rsidRPr="007108F3">
        <w:rPr>
          <w:rFonts w:asciiTheme="minorHAnsi" w:hAnsiTheme="minorHAnsi" w:cstheme="minorBidi"/>
          <w:color w:val="00000A"/>
          <w:szCs w:val="22"/>
        </w:rPr>
        <w:t>Dodavatel s ohledem na vývoj karanténních opatření v souvislosti s</w:t>
      </w:r>
      <w:r>
        <w:rPr>
          <w:rFonts w:asciiTheme="minorHAnsi" w:hAnsiTheme="minorHAnsi" w:cstheme="minorBidi"/>
          <w:color w:val="00000A"/>
          <w:szCs w:val="22"/>
        </w:rPr>
        <w:t>e</w:t>
      </w:r>
      <w:r w:rsidRPr="007108F3">
        <w:rPr>
          <w:rFonts w:asciiTheme="minorHAnsi" w:hAnsiTheme="minorHAnsi" w:cstheme="minorBidi"/>
          <w:color w:val="00000A"/>
          <w:szCs w:val="22"/>
        </w:rPr>
        <w:t xml:space="preserve"> šířením </w:t>
      </w:r>
      <w:r>
        <w:rPr>
          <w:rFonts w:asciiTheme="minorHAnsi" w:hAnsiTheme="minorHAnsi" w:cstheme="minorBidi"/>
          <w:color w:val="00000A"/>
          <w:szCs w:val="22"/>
        </w:rPr>
        <w:t>korona</w:t>
      </w:r>
      <w:r w:rsidRPr="007108F3">
        <w:rPr>
          <w:rFonts w:asciiTheme="minorHAnsi" w:hAnsiTheme="minorHAnsi" w:cstheme="minorBidi"/>
          <w:color w:val="00000A"/>
          <w:szCs w:val="22"/>
        </w:rPr>
        <w:t>viru</w:t>
      </w:r>
      <w:r>
        <w:rPr>
          <w:rFonts w:asciiTheme="minorHAnsi" w:hAnsiTheme="minorHAnsi" w:cstheme="minorBidi"/>
          <w:color w:val="00000A"/>
          <w:szCs w:val="22"/>
        </w:rPr>
        <w:t xml:space="preserve"> a s požadavkem na efektivnost a minimalizaci časového nebo administrativního zatížení respondentů bude vždy hledat nejefektivnější řešení aplikace evaluačních metod při dodržení standardů, minimálních počtů a dosažení dostatečně robustního a validního vzorku dat. Z těchto důvodů tak bude možné kombinovat a alternovat jednotlivé metody, např. nahradit osobní rozhovory telefonickým rozhovorem, telekonferencí pomocí aplikace Skype for Business apod. </w:t>
      </w:r>
    </w:p>
    <w:p w14:paraId="6F7B32DF" w14:textId="62B336F9" w:rsidR="00FA6087" w:rsidRDefault="00FA6087" w:rsidP="001B11C7">
      <w:pPr>
        <w:pStyle w:val="BodyText1"/>
        <w:numPr>
          <w:ilvl w:val="0"/>
          <w:numId w:val="20"/>
        </w:numPr>
        <w:spacing w:before="113" w:after="113" w:line="240" w:lineRule="auto"/>
        <w:jc w:val="both"/>
      </w:pPr>
      <w:r>
        <w:br w:type="page"/>
      </w:r>
    </w:p>
    <w:p w14:paraId="776761FC" w14:textId="77777777" w:rsidR="0093614A" w:rsidRPr="004159E0" w:rsidRDefault="0093614A" w:rsidP="0093614A">
      <w:pPr>
        <w:pStyle w:val="Heading1"/>
        <w:ind w:left="709" w:hanging="709"/>
      </w:pPr>
      <w:bookmarkStart w:id="45" w:name="_Toc37248826"/>
      <w:r>
        <w:lastRenderedPageBreak/>
        <w:t>Dosavadní zjištění a z nich plynoucí hypotézy</w:t>
      </w:r>
      <w:bookmarkEnd w:id="45"/>
    </w:p>
    <w:p w14:paraId="5426FE0D" w14:textId="77777777" w:rsidR="0093614A" w:rsidRDefault="0093614A" w:rsidP="0093614A">
      <w:pPr>
        <w:rPr>
          <w:b/>
          <w:highlight w:val="yellow"/>
        </w:rPr>
      </w:pPr>
      <w:r>
        <w:t>Tabulka níže shrnuje dosavadní zjištění a z nich vyplývající h</w:t>
      </w:r>
      <w:r w:rsidRPr="005B2B26">
        <w:t>ypotézy relevantní pro jednotlivé analytické otázky. Zjištění a hypotézy budou dále ověřovány v rámci následujících fází zakázky.</w:t>
      </w:r>
    </w:p>
    <w:tbl>
      <w:tblPr>
        <w:tblStyle w:val="Deloittetable21"/>
        <w:tblW w:w="0" w:type="auto"/>
        <w:tblLook w:val="04A0" w:firstRow="1" w:lastRow="0" w:firstColumn="1" w:lastColumn="0" w:noHBand="0" w:noVBand="1"/>
      </w:tblPr>
      <w:tblGrid>
        <w:gridCol w:w="252"/>
        <w:gridCol w:w="3434"/>
        <w:gridCol w:w="4184"/>
        <w:gridCol w:w="1200"/>
      </w:tblGrid>
      <w:tr w:rsidR="0093614A" w14:paraId="6150F4C6" w14:textId="77777777" w:rsidTr="00282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ED1C26" w14:textId="77777777" w:rsidR="0093614A" w:rsidRDefault="0093614A" w:rsidP="00282CFB">
            <w:pPr>
              <w:tabs>
                <w:tab w:val="right" w:pos="2206"/>
              </w:tabs>
              <w:spacing w:after="0"/>
            </w:pPr>
            <w:r>
              <w:t>Č.</w:t>
            </w:r>
          </w:p>
        </w:tc>
        <w:tc>
          <w:tcPr>
            <w:tcW w:w="3434" w:type="dxa"/>
          </w:tcPr>
          <w:p w14:paraId="015DDF6F" w14:textId="77777777" w:rsidR="0093614A" w:rsidRPr="004159E0" w:rsidRDefault="0093614A" w:rsidP="00282CFB">
            <w:pPr>
              <w:tabs>
                <w:tab w:val="right" w:pos="2206"/>
              </w:tabs>
              <w:spacing w:after="0"/>
              <w:cnfStyle w:val="100000000000" w:firstRow="1" w:lastRow="0" w:firstColumn="0" w:lastColumn="0" w:oddVBand="0" w:evenVBand="0" w:oddHBand="0" w:evenHBand="0" w:firstRowFirstColumn="0" w:firstRowLastColumn="0" w:lastRowFirstColumn="0" w:lastRowLastColumn="0"/>
              <w:rPr>
                <w:b w:val="0"/>
              </w:rPr>
            </w:pPr>
            <w:r>
              <w:t>Zjištění</w:t>
            </w:r>
            <w:r>
              <w:tab/>
            </w:r>
          </w:p>
        </w:tc>
        <w:tc>
          <w:tcPr>
            <w:tcW w:w="4184" w:type="dxa"/>
          </w:tcPr>
          <w:p w14:paraId="09516218" w14:textId="77777777" w:rsidR="0093614A" w:rsidRDefault="0093614A" w:rsidP="00282CFB">
            <w:pPr>
              <w:spacing w:after="0"/>
              <w:cnfStyle w:val="100000000000" w:firstRow="1" w:lastRow="0" w:firstColumn="0" w:lastColumn="0" w:oddVBand="0" w:evenVBand="0" w:oddHBand="0" w:evenHBand="0" w:firstRowFirstColumn="0" w:firstRowLastColumn="0" w:lastRowFirstColumn="0" w:lastRowLastColumn="0"/>
              <w:rPr>
                <w:highlight w:val="yellow"/>
              </w:rPr>
            </w:pPr>
            <w:r>
              <w:t xml:space="preserve">Hypotéza </w:t>
            </w:r>
          </w:p>
        </w:tc>
        <w:tc>
          <w:tcPr>
            <w:tcW w:w="0" w:type="auto"/>
          </w:tcPr>
          <w:p w14:paraId="122CF21D" w14:textId="77777777" w:rsidR="0093614A" w:rsidRDefault="0093614A" w:rsidP="00282CFB">
            <w:pPr>
              <w:spacing w:after="0"/>
              <w:cnfStyle w:val="100000000000" w:firstRow="1" w:lastRow="0" w:firstColumn="0" w:lastColumn="0" w:oddVBand="0" w:evenVBand="0" w:oddHBand="0" w:evenHBand="0" w:firstRowFirstColumn="0" w:firstRowLastColumn="0" w:lastRowFirstColumn="0" w:lastRowLastColumn="0"/>
              <w:rPr>
                <w:highlight w:val="yellow"/>
              </w:rPr>
            </w:pPr>
            <w:r>
              <w:t>Analytická otázka</w:t>
            </w:r>
          </w:p>
        </w:tc>
      </w:tr>
      <w:tr w:rsidR="0093614A" w14:paraId="76C671DF" w14:textId="77777777" w:rsidTr="00282CFB">
        <w:tc>
          <w:tcPr>
            <w:cnfStyle w:val="001000000000" w:firstRow="0" w:lastRow="0" w:firstColumn="1" w:lastColumn="0" w:oddVBand="0" w:evenVBand="0" w:oddHBand="0" w:evenHBand="0" w:firstRowFirstColumn="0" w:firstRowLastColumn="0" w:lastRowFirstColumn="0" w:lastRowLastColumn="0"/>
            <w:tcW w:w="0" w:type="auto"/>
          </w:tcPr>
          <w:p w14:paraId="79CB34E4" w14:textId="77777777" w:rsidR="0093614A" w:rsidRPr="004159E0" w:rsidRDefault="0093614A" w:rsidP="00282CFB">
            <w:pPr>
              <w:spacing w:after="0"/>
              <w:rPr>
                <w:b/>
              </w:rPr>
            </w:pPr>
            <w:r w:rsidRPr="004159E0">
              <w:rPr>
                <w:b/>
              </w:rPr>
              <w:t>1</w:t>
            </w:r>
          </w:p>
        </w:tc>
        <w:tc>
          <w:tcPr>
            <w:tcW w:w="3434" w:type="dxa"/>
          </w:tcPr>
          <w:p w14:paraId="03B91900" w14:textId="77777777" w:rsidR="0093614A" w:rsidRPr="004159E0" w:rsidRDefault="0093614A" w:rsidP="00282CFB">
            <w:pPr>
              <w:spacing w:after="0"/>
              <w:cnfStyle w:val="000000000000" w:firstRow="0" w:lastRow="0" w:firstColumn="0" w:lastColumn="0" w:oddVBand="0" w:evenVBand="0" w:oddHBand="0" w:evenHBand="0" w:firstRowFirstColumn="0" w:firstRowLastColumn="0" w:lastRowFirstColumn="0" w:lastRowLastColumn="0"/>
              <w:rPr>
                <w:b/>
                <w:highlight w:val="yellow"/>
              </w:rPr>
            </w:pPr>
            <w:r w:rsidRPr="004159E0">
              <w:rPr>
                <w:b/>
              </w:rPr>
              <w:t>V současné době probíhající OP nejsou plně čerpány</w:t>
            </w:r>
          </w:p>
        </w:tc>
        <w:tc>
          <w:tcPr>
            <w:tcW w:w="4184" w:type="dxa"/>
          </w:tcPr>
          <w:p w14:paraId="6F00C660" w14:textId="77777777" w:rsidR="0093614A" w:rsidRDefault="0093614A" w:rsidP="00282CFB">
            <w:pPr>
              <w:spacing w:after="0"/>
              <w:cnfStyle w:val="000000000000" w:firstRow="0" w:lastRow="0" w:firstColumn="0" w:lastColumn="0" w:oddVBand="0" w:evenVBand="0" w:oddHBand="0" w:evenHBand="0" w:firstRowFirstColumn="0" w:firstRowLastColumn="0" w:lastRowFirstColumn="0" w:lastRowLastColumn="0"/>
              <w:rPr>
                <w:highlight w:val="yellow"/>
              </w:rPr>
            </w:pPr>
            <w:r w:rsidRPr="00413ACD">
              <w:t xml:space="preserve">Tržní selhání je tvořeno i jinými faktory než nedostupností </w:t>
            </w:r>
            <w:r>
              <w:t xml:space="preserve">finančních </w:t>
            </w:r>
            <w:r w:rsidRPr="00413ACD">
              <w:t>zdrojů.</w:t>
            </w:r>
          </w:p>
        </w:tc>
        <w:tc>
          <w:tcPr>
            <w:tcW w:w="0" w:type="auto"/>
          </w:tcPr>
          <w:p w14:paraId="0BC7459E" w14:textId="77777777" w:rsidR="0093614A" w:rsidRDefault="0093614A" w:rsidP="00282CF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t>2, 4</w:t>
            </w:r>
          </w:p>
        </w:tc>
      </w:tr>
      <w:tr w:rsidR="0093614A" w14:paraId="5B924186" w14:textId="77777777" w:rsidTr="00282CFB">
        <w:tc>
          <w:tcPr>
            <w:cnfStyle w:val="001000000000" w:firstRow="0" w:lastRow="0" w:firstColumn="1" w:lastColumn="0" w:oddVBand="0" w:evenVBand="0" w:oddHBand="0" w:evenHBand="0" w:firstRowFirstColumn="0" w:firstRowLastColumn="0" w:lastRowFirstColumn="0" w:lastRowLastColumn="0"/>
            <w:tcW w:w="0" w:type="auto"/>
          </w:tcPr>
          <w:p w14:paraId="360B700C" w14:textId="77777777" w:rsidR="0093614A" w:rsidRPr="004159E0" w:rsidRDefault="0093614A" w:rsidP="00282CFB">
            <w:pPr>
              <w:spacing w:after="0"/>
              <w:rPr>
                <w:b/>
              </w:rPr>
            </w:pPr>
            <w:r w:rsidRPr="004159E0">
              <w:rPr>
                <w:b/>
              </w:rPr>
              <w:t>2</w:t>
            </w:r>
          </w:p>
        </w:tc>
        <w:tc>
          <w:tcPr>
            <w:tcW w:w="3434" w:type="dxa"/>
          </w:tcPr>
          <w:p w14:paraId="6FD655E5" w14:textId="77777777" w:rsidR="0093614A" w:rsidRPr="004159E0" w:rsidRDefault="0093614A" w:rsidP="00282CFB">
            <w:pPr>
              <w:spacing w:after="0"/>
              <w:cnfStyle w:val="000000000000" w:firstRow="0" w:lastRow="0" w:firstColumn="0" w:lastColumn="0" w:oddVBand="0" w:evenVBand="0" w:oddHBand="0" w:evenHBand="0" w:firstRowFirstColumn="0" w:firstRowLastColumn="0" w:lastRowFirstColumn="0" w:lastRowLastColumn="0"/>
              <w:rPr>
                <w:b/>
              </w:rPr>
            </w:pPr>
            <w:r w:rsidRPr="004159E0">
              <w:rPr>
                <w:b/>
              </w:rPr>
              <w:t xml:space="preserve">Oblasti s nejvyšším potenciálem pro vznik tržního selhání, či suboptimální investiční situace, jsou oblasti bez rozvinutého trhu, kde je problematické vyčíslit návratnost investice a tím pádem i efektivnost dotace, popřípadě finančního nástroje </w:t>
            </w:r>
          </w:p>
        </w:tc>
        <w:tc>
          <w:tcPr>
            <w:tcW w:w="4184" w:type="dxa"/>
          </w:tcPr>
          <w:p w14:paraId="0CAA34B8" w14:textId="77777777" w:rsidR="0093614A" w:rsidRPr="004159E0" w:rsidRDefault="0093614A" w:rsidP="00282CFB">
            <w:pPr>
              <w:spacing w:after="0"/>
              <w:cnfStyle w:val="000000000000" w:firstRow="0" w:lastRow="0" w:firstColumn="0" w:lastColumn="0" w:oddVBand="0" w:evenVBand="0" w:oddHBand="0" w:evenHBand="0" w:firstRowFirstColumn="0" w:firstRowLastColumn="0" w:lastRowFirstColumn="0" w:lastRowLastColumn="0"/>
            </w:pPr>
            <w:r w:rsidRPr="00E538C7">
              <w:t>Oblasti s nejvyšším potenciálem pro tržní selhání, či suboptimální investiční situaci, budou podporované aktivity v rámci SC 3, částečně SC 4, které jsou zaměřeny na inovativní projekty.</w:t>
            </w:r>
          </w:p>
        </w:tc>
        <w:tc>
          <w:tcPr>
            <w:tcW w:w="0" w:type="auto"/>
          </w:tcPr>
          <w:p w14:paraId="78B53A80" w14:textId="77777777" w:rsidR="0093614A" w:rsidRDefault="0093614A" w:rsidP="00282CF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t>1</w:t>
            </w:r>
          </w:p>
        </w:tc>
      </w:tr>
      <w:tr w:rsidR="0093614A" w14:paraId="63449A5A" w14:textId="77777777" w:rsidTr="00282CFB">
        <w:tc>
          <w:tcPr>
            <w:cnfStyle w:val="001000000000" w:firstRow="0" w:lastRow="0" w:firstColumn="1" w:lastColumn="0" w:oddVBand="0" w:evenVBand="0" w:oddHBand="0" w:evenHBand="0" w:firstRowFirstColumn="0" w:firstRowLastColumn="0" w:lastRowFirstColumn="0" w:lastRowLastColumn="0"/>
            <w:tcW w:w="0" w:type="auto"/>
          </w:tcPr>
          <w:p w14:paraId="14E8A9CB" w14:textId="77777777" w:rsidR="0093614A" w:rsidRPr="004159E0" w:rsidRDefault="0093614A" w:rsidP="00282CFB">
            <w:pPr>
              <w:spacing w:after="0"/>
              <w:rPr>
                <w:b/>
              </w:rPr>
            </w:pPr>
            <w:r w:rsidRPr="004159E0">
              <w:rPr>
                <w:b/>
              </w:rPr>
              <w:t>3</w:t>
            </w:r>
          </w:p>
        </w:tc>
        <w:tc>
          <w:tcPr>
            <w:tcW w:w="3434" w:type="dxa"/>
          </w:tcPr>
          <w:p w14:paraId="3CC68ABE" w14:textId="77777777" w:rsidR="0093614A" w:rsidRPr="004159E0" w:rsidRDefault="0093614A" w:rsidP="00282CFB">
            <w:pPr>
              <w:spacing w:after="0"/>
              <w:cnfStyle w:val="000000000000" w:firstRow="0" w:lastRow="0" w:firstColumn="0" w:lastColumn="0" w:oddVBand="0" w:evenVBand="0" w:oddHBand="0" w:evenHBand="0" w:firstRowFirstColumn="0" w:firstRowLastColumn="0" w:lastRowFirstColumn="0" w:lastRowLastColumn="0"/>
              <w:rPr>
                <w:b/>
              </w:rPr>
            </w:pPr>
            <w:r w:rsidRPr="004159E0">
              <w:rPr>
                <w:b/>
              </w:rPr>
              <w:t>Současný způsob čerpání finanční podpory se vyznačuje vysokou mírou administrativní zátěže</w:t>
            </w:r>
          </w:p>
        </w:tc>
        <w:tc>
          <w:tcPr>
            <w:tcW w:w="4184" w:type="dxa"/>
          </w:tcPr>
          <w:p w14:paraId="27C56521" w14:textId="77777777" w:rsidR="0093614A" w:rsidRPr="004159E0" w:rsidRDefault="0093614A" w:rsidP="00282CFB">
            <w:pPr>
              <w:spacing w:after="0"/>
              <w:cnfStyle w:val="000000000000" w:firstRow="0" w:lastRow="0" w:firstColumn="0" w:lastColumn="0" w:oddVBand="0" w:evenVBand="0" w:oddHBand="0" w:evenHBand="0" w:firstRowFirstColumn="0" w:firstRowLastColumn="0" w:lastRowFirstColumn="0" w:lastRowLastColumn="0"/>
            </w:pPr>
            <w:r>
              <w:t>T</w:t>
            </w:r>
            <w:r w:rsidRPr="00413ACD">
              <w:t>ržní selhání, či suboptimální investiční situac</w:t>
            </w:r>
            <w:r>
              <w:t>e, se více projeví v méně hospodářsky rozvinutých regionech ČR, jejichž podniky mají menší potenciál vypořádat se s administrativní zátěží.</w:t>
            </w:r>
          </w:p>
        </w:tc>
        <w:tc>
          <w:tcPr>
            <w:tcW w:w="0" w:type="auto"/>
          </w:tcPr>
          <w:p w14:paraId="5AC56F1D" w14:textId="77777777" w:rsidR="0093614A" w:rsidRPr="004159E0" w:rsidRDefault="0093614A" w:rsidP="00282CFB">
            <w:pPr>
              <w:spacing w:after="0"/>
              <w:jc w:val="center"/>
              <w:cnfStyle w:val="000000000000" w:firstRow="0" w:lastRow="0" w:firstColumn="0" w:lastColumn="0" w:oddVBand="0" w:evenVBand="0" w:oddHBand="0" w:evenHBand="0" w:firstRowFirstColumn="0" w:firstRowLastColumn="0" w:lastRowFirstColumn="0" w:lastRowLastColumn="0"/>
            </w:pPr>
            <w:r w:rsidRPr="004159E0">
              <w:t>3</w:t>
            </w:r>
          </w:p>
        </w:tc>
      </w:tr>
      <w:tr w:rsidR="00A15FCA" w14:paraId="2483AFB7" w14:textId="77777777" w:rsidTr="00282CFB">
        <w:tc>
          <w:tcPr>
            <w:cnfStyle w:val="001000000000" w:firstRow="0" w:lastRow="0" w:firstColumn="1" w:lastColumn="0" w:oddVBand="0" w:evenVBand="0" w:oddHBand="0" w:evenHBand="0" w:firstRowFirstColumn="0" w:firstRowLastColumn="0" w:lastRowFirstColumn="0" w:lastRowLastColumn="0"/>
            <w:tcW w:w="0" w:type="auto"/>
          </w:tcPr>
          <w:p w14:paraId="10B9692C" w14:textId="127ABE84" w:rsidR="00A15FCA" w:rsidRPr="004159E0" w:rsidRDefault="00A15FCA" w:rsidP="00A15FCA">
            <w:pPr>
              <w:spacing w:after="0"/>
              <w:rPr>
                <w:b/>
              </w:rPr>
            </w:pPr>
            <w:r>
              <w:rPr>
                <w:b/>
              </w:rPr>
              <w:t>4</w:t>
            </w:r>
          </w:p>
        </w:tc>
        <w:tc>
          <w:tcPr>
            <w:tcW w:w="3434" w:type="dxa"/>
          </w:tcPr>
          <w:p w14:paraId="34046B37" w14:textId="5CB1E9AF" w:rsidR="00A15FCA" w:rsidRPr="004159E0" w:rsidRDefault="00A15FCA" w:rsidP="00A15FCA">
            <w:pPr>
              <w:spacing w:after="0"/>
              <w:cnfStyle w:val="000000000000" w:firstRow="0" w:lastRow="0" w:firstColumn="0" w:lastColumn="0" w:oddVBand="0" w:evenVBand="0" w:oddHBand="0" w:evenHBand="0" w:firstRowFirstColumn="0" w:firstRowLastColumn="0" w:lastRowFirstColumn="0" w:lastRowLastColumn="0"/>
              <w:rPr>
                <w:b/>
              </w:rPr>
            </w:pPr>
            <w:r w:rsidRPr="006C359F">
              <w:rPr>
                <w:b/>
              </w:rPr>
              <w:t>Výrazným rizikem pro čerpání v rámci PO3 a PO4 je přípa</w:t>
            </w:r>
            <w:r>
              <w:rPr>
                <w:b/>
              </w:rPr>
              <w:t>dné vyloučení velkých podniků z </w:t>
            </w:r>
            <w:r w:rsidRPr="006C359F">
              <w:rPr>
                <w:b/>
              </w:rPr>
              <w:t>dotačního schématu</w:t>
            </w:r>
          </w:p>
        </w:tc>
        <w:tc>
          <w:tcPr>
            <w:tcW w:w="4184" w:type="dxa"/>
          </w:tcPr>
          <w:p w14:paraId="2891F998" w14:textId="305EB8A4" w:rsidR="00A15FCA" w:rsidRDefault="00A15FCA" w:rsidP="00A15FCA">
            <w:pPr>
              <w:spacing w:after="0"/>
              <w:cnfStyle w:val="000000000000" w:firstRow="0" w:lastRow="0" w:firstColumn="0" w:lastColumn="0" w:oddVBand="0" w:evenVBand="0" w:oddHBand="0" w:evenHBand="0" w:firstRowFirstColumn="0" w:firstRowLastColumn="0" w:lastRowFirstColumn="0" w:lastRowLastColumn="0"/>
            </w:pPr>
            <w:r w:rsidRPr="006C359F">
              <w:t>Dle Analýzy absorpční kapacity vychází značná část deklarované kapacity právě ze zájmu těchto potenciálních žadatelů. U malých a středních podniků lze očekávat nižší zájem.</w:t>
            </w:r>
          </w:p>
        </w:tc>
        <w:tc>
          <w:tcPr>
            <w:tcW w:w="0" w:type="auto"/>
          </w:tcPr>
          <w:p w14:paraId="0321032E" w14:textId="120F38FA" w:rsidR="00A15FCA" w:rsidRPr="004159E0" w:rsidRDefault="00A15FCA" w:rsidP="00A15FCA">
            <w:pPr>
              <w:spacing w:after="0"/>
              <w:jc w:val="center"/>
              <w:cnfStyle w:val="000000000000" w:firstRow="0" w:lastRow="0" w:firstColumn="0" w:lastColumn="0" w:oddVBand="0" w:evenVBand="0" w:oddHBand="0" w:evenHBand="0" w:firstRowFirstColumn="0" w:firstRowLastColumn="0" w:lastRowFirstColumn="0" w:lastRowLastColumn="0"/>
            </w:pPr>
            <w:r>
              <w:t>Průřezově</w:t>
            </w:r>
          </w:p>
        </w:tc>
      </w:tr>
      <w:tr w:rsidR="00A15FCA" w14:paraId="70ADA9B7" w14:textId="77777777" w:rsidTr="00282CFB">
        <w:tc>
          <w:tcPr>
            <w:cnfStyle w:val="001000000000" w:firstRow="0" w:lastRow="0" w:firstColumn="1" w:lastColumn="0" w:oddVBand="0" w:evenVBand="0" w:oddHBand="0" w:evenHBand="0" w:firstRowFirstColumn="0" w:firstRowLastColumn="0" w:lastRowFirstColumn="0" w:lastRowLastColumn="0"/>
            <w:tcW w:w="0" w:type="auto"/>
          </w:tcPr>
          <w:p w14:paraId="217BB6D3" w14:textId="41E76F99" w:rsidR="00A15FCA" w:rsidRDefault="00A15FCA" w:rsidP="00A15FCA">
            <w:pPr>
              <w:spacing w:after="0"/>
              <w:rPr>
                <w:b/>
              </w:rPr>
            </w:pPr>
            <w:r>
              <w:rPr>
                <w:b/>
              </w:rPr>
              <w:t>5</w:t>
            </w:r>
          </w:p>
        </w:tc>
        <w:tc>
          <w:tcPr>
            <w:tcW w:w="3434" w:type="dxa"/>
          </w:tcPr>
          <w:p w14:paraId="22217227" w14:textId="6CBC3AAE" w:rsidR="00A15FCA" w:rsidRPr="006C359F" w:rsidRDefault="00A15FCA" w:rsidP="00A15FCA">
            <w:pPr>
              <w:spacing w:after="0"/>
              <w:cnfStyle w:val="000000000000" w:firstRow="0" w:lastRow="0" w:firstColumn="0" w:lastColumn="0" w:oddVBand="0" w:evenVBand="0" w:oddHBand="0" w:evenHBand="0" w:firstRowFirstColumn="0" w:firstRowLastColumn="0" w:lastRowFirstColumn="0" w:lastRowLastColumn="0"/>
              <w:rPr>
                <w:b/>
              </w:rPr>
            </w:pPr>
            <w:r>
              <w:rPr>
                <w:b/>
              </w:rPr>
              <w:t>Dopady COVID-19 na podnikatele</w:t>
            </w:r>
          </w:p>
        </w:tc>
        <w:tc>
          <w:tcPr>
            <w:tcW w:w="4184" w:type="dxa"/>
          </w:tcPr>
          <w:p w14:paraId="7825102A" w14:textId="1107139C" w:rsidR="00A15FCA" w:rsidRPr="006C359F" w:rsidRDefault="00A15FCA" w:rsidP="00A15FCA">
            <w:pPr>
              <w:spacing w:after="0"/>
              <w:cnfStyle w:val="000000000000" w:firstRow="0" w:lastRow="0" w:firstColumn="0" w:lastColumn="0" w:oddVBand="0" w:evenVBand="0" w:oddHBand="0" w:evenHBand="0" w:firstRowFirstColumn="0" w:firstRowLastColumn="0" w:lastRowFirstColumn="0" w:lastRowLastColumn="0"/>
            </w:pPr>
            <w:r>
              <w:t>Vzhledem k aktuální krizové situaci a spojené s COVID-19 a očekávaných dopadů na ekonomiku lze předpokládat snížení zbytných investic, mezi které spadají i environmentální opatření, a zaměření se na udržení provozu, zejména v případě malých a středních podniků.</w:t>
            </w:r>
          </w:p>
        </w:tc>
        <w:tc>
          <w:tcPr>
            <w:tcW w:w="0" w:type="auto"/>
          </w:tcPr>
          <w:p w14:paraId="40EA1ED5" w14:textId="14A4C908" w:rsidR="00A15FCA" w:rsidRDefault="00A15FCA" w:rsidP="00A15FCA">
            <w:pPr>
              <w:spacing w:after="0"/>
              <w:jc w:val="center"/>
              <w:cnfStyle w:val="000000000000" w:firstRow="0" w:lastRow="0" w:firstColumn="0" w:lastColumn="0" w:oddVBand="0" w:evenVBand="0" w:oddHBand="0" w:evenHBand="0" w:firstRowFirstColumn="0" w:firstRowLastColumn="0" w:lastRowFirstColumn="0" w:lastRowLastColumn="0"/>
            </w:pPr>
            <w:r>
              <w:t>Průřezově</w:t>
            </w:r>
          </w:p>
        </w:tc>
      </w:tr>
    </w:tbl>
    <w:p w14:paraId="59E26156" w14:textId="77777777" w:rsidR="0093614A" w:rsidRDefault="0093614A" w:rsidP="0093614A"/>
    <w:p w14:paraId="5CBCF6A2" w14:textId="77777777" w:rsidR="0093614A" w:rsidRDefault="0093614A" w:rsidP="0093614A">
      <w:pPr>
        <w:pStyle w:val="Bntext"/>
      </w:pPr>
    </w:p>
    <w:p w14:paraId="584E8F40" w14:textId="77777777" w:rsidR="0093614A" w:rsidRDefault="0093614A" w:rsidP="0093614A">
      <w:pPr>
        <w:rPr>
          <w:rFonts w:asciiTheme="majorHAnsi" w:eastAsiaTheme="majorEastAsia" w:hAnsiTheme="majorHAnsi" w:cstheme="majorBidi"/>
          <w:sz w:val="60"/>
          <w:szCs w:val="60"/>
        </w:rPr>
      </w:pPr>
      <w:r>
        <w:br w:type="page"/>
      </w:r>
    </w:p>
    <w:p w14:paraId="645B8D7F" w14:textId="77777777" w:rsidR="00FA6087" w:rsidRDefault="00FA6087" w:rsidP="00F46FDA">
      <w:pPr>
        <w:pStyle w:val="Heading1"/>
        <w:numPr>
          <w:ilvl w:val="0"/>
          <w:numId w:val="0"/>
        </w:numPr>
      </w:pPr>
      <w:bookmarkStart w:id="46" w:name="_Toc37248827"/>
      <w:r>
        <w:lastRenderedPageBreak/>
        <w:t>Přílohy</w:t>
      </w:r>
      <w:bookmarkEnd w:id="43"/>
      <w:bookmarkEnd w:id="44"/>
      <w:bookmarkEnd w:id="46"/>
    </w:p>
    <w:p w14:paraId="27501DFA" w14:textId="77777777" w:rsidR="00FA6087" w:rsidRDefault="00FA6087" w:rsidP="00F46FDA">
      <w:pPr>
        <w:pStyle w:val="Heading1"/>
        <w:numPr>
          <w:ilvl w:val="0"/>
          <w:numId w:val="0"/>
        </w:numPr>
      </w:pPr>
      <w:bookmarkStart w:id="47" w:name="_Ref24117639"/>
      <w:bookmarkStart w:id="48" w:name="_Toc25228659"/>
      <w:r>
        <w:br w:type="page"/>
      </w:r>
    </w:p>
    <w:p w14:paraId="479AB552" w14:textId="77777777" w:rsidR="00FA6087" w:rsidRDefault="00FA6087" w:rsidP="00F46FDA">
      <w:pPr>
        <w:pStyle w:val="Heading1"/>
        <w:numPr>
          <w:ilvl w:val="0"/>
          <w:numId w:val="0"/>
        </w:numPr>
      </w:pPr>
      <w:bookmarkStart w:id="49" w:name="_Toc37248828"/>
      <w:r>
        <w:lastRenderedPageBreak/>
        <w:t>Příloha 1: Datový požadavek Dodavatele</w:t>
      </w:r>
      <w:bookmarkEnd w:id="47"/>
      <w:bookmarkEnd w:id="48"/>
      <w:r w:rsidR="005444AD">
        <w:t xml:space="preserve"> a předaná data</w:t>
      </w:r>
      <w:bookmarkEnd w:id="49"/>
    </w:p>
    <w:p w14:paraId="7673E62B" w14:textId="77777777" w:rsidR="00854AB8" w:rsidRDefault="00C569E0" w:rsidP="00854AB8">
      <w:pPr>
        <w:spacing w:line="240" w:lineRule="auto"/>
        <w:jc w:val="both"/>
      </w:pPr>
      <w:r>
        <w:t xml:space="preserve">V návaznosti na úvodní telekonferenci </w:t>
      </w:r>
      <w:r w:rsidR="009D19BA">
        <w:t>P</w:t>
      </w:r>
      <w:r w:rsidR="00FA6087">
        <w:t>rojektu konan</w:t>
      </w:r>
      <w:r>
        <w:t>ou</w:t>
      </w:r>
      <w:r w:rsidR="00FA6087">
        <w:t xml:space="preserve"> dne </w:t>
      </w:r>
      <w:r w:rsidR="000E3116">
        <w:t>19. 3</w:t>
      </w:r>
      <w:r w:rsidR="007233ED">
        <w:t>.</w:t>
      </w:r>
      <w:r w:rsidR="000E3116">
        <w:t xml:space="preserve"> </w:t>
      </w:r>
      <w:r w:rsidR="00FA6087">
        <w:t>20</w:t>
      </w:r>
      <w:r w:rsidR="006C2DFE">
        <w:t>20</w:t>
      </w:r>
      <w:r w:rsidR="00FA6087">
        <w:t xml:space="preserve"> předal Dodavatel Zadavateli požadavek na po</w:t>
      </w:r>
      <w:r w:rsidR="006C2DFE">
        <w:t xml:space="preserve">skytnutí následujících zdrojů. </w:t>
      </w:r>
      <w:r w:rsidR="00854AB8">
        <w:t>Ve fázi iniciace Projektu (před odevzdáním finální verze této Vstupní zprávy) byly ze strany Zadavatele předané veškeré požadované data a podklady, které bylo možné poskytnout.</w:t>
      </w:r>
    </w:p>
    <w:p w14:paraId="57520465" w14:textId="77777777" w:rsidR="00854AB8" w:rsidRDefault="00854AB8" w:rsidP="00854AB8">
      <w:pPr>
        <w:spacing w:line="240" w:lineRule="auto"/>
        <w:jc w:val="both"/>
      </w:pPr>
      <w:r>
        <w:t>V případě potřeby mohou být dodatečné datové požadavky vznesené v průběhu realizace Projektu.</w:t>
      </w:r>
    </w:p>
    <w:p w14:paraId="152AD8CB" w14:textId="523966E3" w:rsidR="00FA6087" w:rsidRDefault="00FA6087" w:rsidP="00F46FDA">
      <w:pPr>
        <w:spacing w:line="240" w:lineRule="auto"/>
        <w:jc w:val="both"/>
      </w:pPr>
    </w:p>
    <w:p w14:paraId="27CB9A98" w14:textId="77777777" w:rsidR="00FA6087" w:rsidRDefault="00FA6087" w:rsidP="00F46FDA">
      <w:pPr>
        <w:pStyle w:val="Caption"/>
        <w:jc w:val="center"/>
      </w:pPr>
      <w:bookmarkStart w:id="50" w:name="_Toc24384740"/>
      <w:r>
        <w:t xml:space="preserve">Tabulka </w:t>
      </w:r>
      <w:r>
        <w:fldChar w:fldCharType="begin"/>
      </w:r>
      <w:r>
        <w:instrText xml:space="preserve"> SEQ Tabulka \* ARABIC </w:instrText>
      </w:r>
      <w:r>
        <w:fldChar w:fldCharType="separate"/>
      </w:r>
      <w:r w:rsidR="007401D1">
        <w:rPr>
          <w:noProof/>
        </w:rPr>
        <w:t>9</w:t>
      </w:r>
      <w:r>
        <w:fldChar w:fldCharType="end"/>
      </w:r>
      <w:r>
        <w:t>: Seznam dokumentů a zdrojů dat</w:t>
      </w:r>
      <w:bookmarkEnd w:id="50"/>
    </w:p>
    <w:tbl>
      <w:tblPr>
        <w:tblStyle w:val="Deloittetable2"/>
        <w:tblW w:w="5062" w:type="pct"/>
        <w:tblLook w:val="04A0" w:firstRow="1" w:lastRow="0" w:firstColumn="1" w:lastColumn="0" w:noHBand="0" w:noVBand="1"/>
      </w:tblPr>
      <w:tblGrid>
        <w:gridCol w:w="829"/>
        <w:gridCol w:w="7"/>
        <w:gridCol w:w="7004"/>
        <w:gridCol w:w="1342"/>
      </w:tblGrid>
      <w:tr w:rsidR="00C569E0" w:rsidRPr="00F503C2" w14:paraId="0D488ED7" w14:textId="77777777" w:rsidTr="0086002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55" w:type="pct"/>
            <w:gridSpan w:val="2"/>
            <w:hideMark/>
          </w:tcPr>
          <w:p w14:paraId="48F6918F" w14:textId="77777777" w:rsidR="00C569E0" w:rsidRPr="00E13A3D" w:rsidRDefault="00C569E0" w:rsidP="00F46FDA">
            <w:pPr>
              <w:spacing w:before="60" w:after="60" w:line="240" w:lineRule="auto"/>
              <w:rPr>
                <w:rFonts w:asciiTheme="minorHAnsi" w:hAnsiTheme="minorHAnsi"/>
                <w:b w:val="0"/>
                <w:szCs w:val="18"/>
              </w:rPr>
            </w:pPr>
            <w:r w:rsidRPr="00E13A3D">
              <w:rPr>
                <w:rFonts w:asciiTheme="minorHAnsi" w:hAnsiTheme="minorHAnsi"/>
                <w:bCs/>
                <w:szCs w:val="18"/>
              </w:rPr>
              <w:t>Č.</w:t>
            </w:r>
          </w:p>
        </w:tc>
        <w:tc>
          <w:tcPr>
            <w:tcW w:w="3814" w:type="pct"/>
            <w:hideMark/>
          </w:tcPr>
          <w:p w14:paraId="363AFAB5" w14:textId="77777777" w:rsidR="00C569E0" w:rsidRPr="00E13A3D" w:rsidRDefault="00C569E0" w:rsidP="00F46FDA">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18"/>
              </w:rPr>
            </w:pPr>
            <w:r w:rsidRPr="00E13A3D">
              <w:rPr>
                <w:rFonts w:asciiTheme="minorHAnsi" w:hAnsiTheme="minorHAnsi"/>
                <w:bCs/>
                <w:szCs w:val="18"/>
              </w:rPr>
              <w:t>Zdroj</w:t>
            </w:r>
          </w:p>
        </w:tc>
        <w:tc>
          <w:tcPr>
            <w:tcW w:w="731" w:type="pct"/>
          </w:tcPr>
          <w:p w14:paraId="0FB0D0D7" w14:textId="77777777" w:rsidR="00C569E0" w:rsidRPr="00E13A3D" w:rsidRDefault="00C569E0" w:rsidP="00F46FD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E13A3D">
              <w:rPr>
                <w:rFonts w:asciiTheme="minorHAnsi" w:hAnsiTheme="minorHAnsi"/>
                <w:bCs/>
                <w:szCs w:val="18"/>
              </w:rPr>
              <w:t>Stav</w:t>
            </w:r>
          </w:p>
        </w:tc>
      </w:tr>
      <w:tr w:rsidR="00C569E0" w:rsidRPr="009D19BA" w14:paraId="7ED25C2C"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269" w:type="pct"/>
            <w:gridSpan w:val="3"/>
            <w:shd w:val="clear" w:color="auto" w:fill="DFF0F9" w:themeFill="accent3" w:themeFillTint="33"/>
            <w:vAlign w:val="center"/>
          </w:tcPr>
          <w:p w14:paraId="339C9391" w14:textId="77777777" w:rsidR="00C569E0" w:rsidRPr="00E13A3D" w:rsidRDefault="00C569E0">
            <w:pPr>
              <w:spacing w:before="60" w:after="60" w:line="240" w:lineRule="auto"/>
              <w:rPr>
                <w:rFonts w:asciiTheme="minorHAnsi" w:hAnsiTheme="minorHAnsi"/>
                <w:b/>
                <w:szCs w:val="18"/>
              </w:rPr>
            </w:pPr>
            <w:r w:rsidRPr="00B84555">
              <w:rPr>
                <w:b/>
                <w:szCs w:val="18"/>
              </w:rPr>
              <w:t>Průřezové dokumenty a zdroje dat</w:t>
            </w:r>
          </w:p>
        </w:tc>
        <w:tc>
          <w:tcPr>
            <w:tcW w:w="731" w:type="pct"/>
            <w:shd w:val="clear" w:color="auto" w:fill="DFF0F9" w:themeFill="accent3" w:themeFillTint="33"/>
          </w:tcPr>
          <w:p w14:paraId="18D5E3C4" w14:textId="77777777" w:rsidR="00C569E0" w:rsidRPr="00E13A3D" w:rsidRDefault="00C569E0" w:rsidP="00F46FD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p>
        </w:tc>
      </w:tr>
      <w:tr w:rsidR="00C569E0" w:rsidRPr="00F503C2" w14:paraId="563C5110"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51" w:type="pct"/>
            <w:hideMark/>
          </w:tcPr>
          <w:p w14:paraId="6726F4E6" w14:textId="77777777" w:rsidR="00C569E0" w:rsidRPr="00E13A3D" w:rsidRDefault="00C569E0" w:rsidP="00F46FDA">
            <w:pPr>
              <w:spacing w:before="60" w:after="60" w:line="240" w:lineRule="auto"/>
              <w:rPr>
                <w:rFonts w:asciiTheme="minorHAnsi" w:hAnsiTheme="minorHAnsi"/>
                <w:szCs w:val="18"/>
              </w:rPr>
            </w:pPr>
            <w:r w:rsidRPr="00E13A3D">
              <w:rPr>
                <w:rFonts w:asciiTheme="minorHAnsi" w:hAnsiTheme="minorHAnsi"/>
                <w:szCs w:val="18"/>
              </w:rPr>
              <w:t>1</w:t>
            </w:r>
          </w:p>
        </w:tc>
        <w:tc>
          <w:tcPr>
            <w:tcW w:w="3818" w:type="pct"/>
            <w:gridSpan w:val="2"/>
          </w:tcPr>
          <w:p w14:paraId="5C8E1191"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rFonts w:asciiTheme="minorHAnsi" w:hAnsiTheme="minorHAnsi"/>
                <w:sz w:val="18"/>
                <w:szCs w:val="18"/>
              </w:rPr>
              <w:t>Návrh Operačního programu zaměřeného na konkurenceschopnost 2021 - 2027</w:t>
            </w:r>
          </w:p>
        </w:tc>
        <w:tc>
          <w:tcPr>
            <w:tcW w:w="731" w:type="pct"/>
          </w:tcPr>
          <w:p w14:paraId="5144C4BC"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sz w:val="18"/>
                <w:szCs w:val="18"/>
              </w:rPr>
              <w:t>Již poskytnuté Zadavatelem</w:t>
            </w:r>
          </w:p>
        </w:tc>
      </w:tr>
      <w:tr w:rsidR="00C569E0" w:rsidRPr="00F503C2" w14:paraId="4D05492F"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51" w:type="pct"/>
            <w:hideMark/>
          </w:tcPr>
          <w:p w14:paraId="62FEBAD0" w14:textId="77777777" w:rsidR="00C569E0" w:rsidRPr="00E13A3D" w:rsidRDefault="00C569E0" w:rsidP="00F46FDA">
            <w:pPr>
              <w:spacing w:before="60" w:after="60" w:line="240" w:lineRule="auto"/>
              <w:rPr>
                <w:rFonts w:asciiTheme="minorHAnsi" w:hAnsiTheme="minorHAnsi"/>
                <w:szCs w:val="18"/>
              </w:rPr>
            </w:pPr>
            <w:r w:rsidRPr="00E13A3D">
              <w:rPr>
                <w:rFonts w:asciiTheme="minorHAnsi" w:hAnsiTheme="minorHAnsi"/>
                <w:szCs w:val="18"/>
              </w:rPr>
              <w:t>2</w:t>
            </w:r>
          </w:p>
        </w:tc>
        <w:tc>
          <w:tcPr>
            <w:tcW w:w="3818" w:type="pct"/>
            <w:gridSpan w:val="2"/>
          </w:tcPr>
          <w:p w14:paraId="61519BE5"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rFonts w:asciiTheme="minorHAnsi" w:hAnsiTheme="minorHAnsi"/>
                <w:sz w:val="18"/>
                <w:szCs w:val="18"/>
              </w:rPr>
              <w:t>Analýza absorpční kapacity operačního programu zaměřeného na konkurenceschopnost pro období 2021 - 2027</w:t>
            </w:r>
          </w:p>
        </w:tc>
        <w:tc>
          <w:tcPr>
            <w:tcW w:w="731" w:type="pct"/>
          </w:tcPr>
          <w:p w14:paraId="12D69455" w14:textId="62C6FD67" w:rsidR="00C569E0" w:rsidRPr="00E13A3D" w:rsidRDefault="00854AB8"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sz w:val="18"/>
                <w:szCs w:val="18"/>
              </w:rPr>
              <w:t>Již poskytnuté Zadavatelem</w:t>
            </w:r>
          </w:p>
        </w:tc>
      </w:tr>
      <w:tr w:rsidR="00C569E0" w:rsidRPr="00F503C2" w14:paraId="0D2E8A93"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51" w:type="pct"/>
            <w:hideMark/>
          </w:tcPr>
          <w:p w14:paraId="5ED574C7" w14:textId="77777777" w:rsidR="00C569E0" w:rsidRPr="00E13A3D" w:rsidRDefault="00C569E0" w:rsidP="00F46FDA">
            <w:pPr>
              <w:spacing w:before="60" w:after="60" w:line="240" w:lineRule="auto"/>
              <w:rPr>
                <w:rFonts w:asciiTheme="minorHAnsi" w:hAnsiTheme="minorHAnsi"/>
                <w:szCs w:val="18"/>
              </w:rPr>
            </w:pPr>
            <w:r w:rsidRPr="00E13A3D">
              <w:rPr>
                <w:rFonts w:asciiTheme="minorHAnsi" w:hAnsiTheme="minorHAnsi"/>
                <w:szCs w:val="18"/>
              </w:rPr>
              <w:t>3</w:t>
            </w:r>
          </w:p>
        </w:tc>
        <w:tc>
          <w:tcPr>
            <w:tcW w:w="3818" w:type="pct"/>
            <w:gridSpan w:val="2"/>
          </w:tcPr>
          <w:p w14:paraId="3DEDD4EE"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rFonts w:asciiTheme="minorHAnsi" w:hAnsiTheme="minorHAnsi"/>
                <w:sz w:val="18"/>
                <w:szCs w:val="18"/>
              </w:rPr>
              <w:t>Karty MPO obsahující popis podporovaných oblastí, resp. aktivit v rámci jednotlivých specifických cílů</w:t>
            </w:r>
          </w:p>
        </w:tc>
        <w:tc>
          <w:tcPr>
            <w:tcW w:w="731" w:type="pct"/>
          </w:tcPr>
          <w:p w14:paraId="71F9C9C1" w14:textId="77777777" w:rsidR="00854AB8" w:rsidRDefault="00854AB8" w:rsidP="00854AB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Zaslaná 3. verze OP TAK</w:t>
            </w:r>
          </w:p>
          <w:p w14:paraId="680E71BF" w14:textId="126EE98F"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p>
        </w:tc>
      </w:tr>
      <w:tr w:rsidR="00C569E0" w:rsidRPr="00F503C2" w14:paraId="70020573"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51" w:type="pct"/>
          </w:tcPr>
          <w:p w14:paraId="4D86E93E" w14:textId="77777777" w:rsidR="00C569E0" w:rsidRPr="00B84555" w:rsidRDefault="00C569E0" w:rsidP="00961357">
            <w:pPr>
              <w:spacing w:before="60" w:after="60" w:line="240" w:lineRule="auto"/>
              <w:rPr>
                <w:szCs w:val="18"/>
              </w:rPr>
            </w:pPr>
            <w:r>
              <w:rPr>
                <w:szCs w:val="18"/>
              </w:rPr>
              <w:t>4</w:t>
            </w:r>
          </w:p>
        </w:tc>
        <w:tc>
          <w:tcPr>
            <w:tcW w:w="3818" w:type="pct"/>
            <w:gridSpan w:val="2"/>
          </w:tcPr>
          <w:p w14:paraId="4BAEC012" w14:textId="77777777" w:rsidR="00C569E0" w:rsidRPr="00B84555" w:rsidRDefault="00C569E0" w:rsidP="0096135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E13A3D">
              <w:rPr>
                <w:rFonts w:asciiTheme="minorHAnsi" w:hAnsiTheme="minorHAnsi"/>
                <w:sz w:val="18"/>
                <w:szCs w:val="18"/>
              </w:rPr>
              <w:t>Další materiály a podklady uvedené v Příloze Zadávací dokumentace č. 1 - Podrobném popisu předmětu plnění v aktuální verzi (které nejsou veřejně dostupné a nebyly dosud poskytnuté ze strany Zadavatele)</w:t>
            </w:r>
            <w:r>
              <w:rPr>
                <w:rFonts w:asciiTheme="majorHAnsi" w:hAnsiTheme="majorHAnsi"/>
              </w:rPr>
              <w:t xml:space="preserve"> </w:t>
            </w:r>
          </w:p>
        </w:tc>
        <w:tc>
          <w:tcPr>
            <w:tcW w:w="731" w:type="pct"/>
          </w:tcPr>
          <w:p w14:paraId="0A0B567F" w14:textId="0A0F7E8F" w:rsidR="00C569E0" w:rsidRPr="00B84555" w:rsidRDefault="00854AB8" w:rsidP="00961357">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E13A3D">
              <w:rPr>
                <w:sz w:val="18"/>
                <w:szCs w:val="18"/>
              </w:rPr>
              <w:t>Již poskytnuté Zadavatelem</w:t>
            </w:r>
          </w:p>
        </w:tc>
      </w:tr>
      <w:tr w:rsidR="00C569E0" w:rsidRPr="006360AE" w14:paraId="2EC42F2D"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269" w:type="pct"/>
            <w:gridSpan w:val="3"/>
            <w:shd w:val="clear" w:color="auto" w:fill="DFF0F9" w:themeFill="accent3" w:themeFillTint="33"/>
            <w:vAlign w:val="center"/>
          </w:tcPr>
          <w:p w14:paraId="1897F947" w14:textId="77777777" w:rsidR="00C569E0" w:rsidRPr="00E13A3D" w:rsidRDefault="00C569E0">
            <w:pPr>
              <w:pStyle w:val="Tabletext"/>
              <w:rPr>
                <w:rFonts w:asciiTheme="minorHAnsi" w:hAnsiTheme="minorHAnsi"/>
                <w:b/>
                <w:szCs w:val="18"/>
              </w:rPr>
            </w:pPr>
            <w:r w:rsidRPr="00B84555">
              <w:rPr>
                <w:b/>
                <w:sz w:val="18"/>
                <w:szCs w:val="18"/>
              </w:rPr>
              <w:t>Data o podpořených projektech</w:t>
            </w:r>
          </w:p>
        </w:tc>
        <w:tc>
          <w:tcPr>
            <w:tcW w:w="731" w:type="pct"/>
            <w:shd w:val="clear" w:color="auto" w:fill="DFF0F9" w:themeFill="accent3" w:themeFillTint="33"/>
          </w:tcPr>
          <w:p w14:paraId="1942CCDF"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p>
        </w:tc>
      </w:tr>
      <w:tr w:rsidR="00C569E0" w:rsidRPr="00F503C2" w14:paraId="070F5922"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51" w:type="pct"/>
            <w:hideMark/>
          </w:tcPr>
          <w:p w14:paraId="3752A292" w14:textId="77777777" w:rsidR="00C569E0" w:rsidRPr="00E13A3D" w:rsidRDefault="00C569E0" w:rsidP="00961357">
            <w:pPr>
              <w:spacing w:before="60" w:after="60" w:line="240" w:lineRule="auto"/>
              <w:rPr>
                <w:rFonts w:asciiTheme="minorHAnsi" w:hAnsiTheme="minorHAnsi"/>
                <w:szCs w:val="18"/>
              </w:rPr>
            </w:pPr>
            <w:r>
              <w:rPr>
                <w:rFonts w:asciiTheme="minorHAnsi" w:hAnsiTheme="minorHAnsi"/>
                <w:szCs w:val="18"/>
              </w:rPr>
              <w:t>5</w:t>
            </w:r>
          </w:p>
        </w:tc>
        <w:tc>
          <w:tcPr>
            <w:tcW w:w="3818" w:type="pct"/>
            <w:gridSpan w:val="2"/>
          </w:tcPr>
          <w:p w14:paraId="783390FB" w14:textId="77777777" w:rsidR="00C569E0" w:rsidRPr="00860027" w:rsidRDefault="00C569E0" w:rsidP="00961357">
            <w:pPr>
              <w:pBdr>
                <w:bar w:val="single" w:sz="4" w:color="auto"/>
              </w:pBd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60027">
              <w:rPr>
                <w:rFonts w:asciiTheme="majorHAnsi" w:hAnsiTheme="majorHAnsi"/>
                <w:szCs w:val="22"/>
              </w:rPr>
              <w:t>Data MS2014+ o podpořených projektech (příjemcích) a žadatelích v rámci OP PIK, především v rámci:</w:t>
            </w:r>
          </w:p>
          <w:p w14:paraId="6D4DD422" w14:textId="77777777" w:rsidR="00C569E0" w:rsidRPr="00860027" w:rsidRDefault="00C569E0" w:rsidP="00621187">
            <w:pPr>
              <w:pStyle w:val="Tabletext"/>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860027">
              <w:rPr>
                <w:rFonts w:asciiTheme="majorHAnsi" w:hAnsiTheme="majorHAnsi"/>
                <w:sz w:val="18"/>
                <w:szCs w:val="22"/>
              </w:rPr>
              <w:t>PO 3 Efektivnější nakládání energií</w:t>
            </w:r>
          </w:p>
          <w:p w14:paraId="5DD00C5E" w14:textId="77777777" w:rsidR="00C569E0" w:rsidRDefault="00C569E0" w:rsidP="0086002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Údaje o příjemcích v MS Excel by měly minimálně obsahovat: Název výzvy; Číslo výzvy; Prioritní osa; Specifický cíl; Program podpory (pokud relevantní); Kraj realizace; Obec; Reg. č. projektu; Název projektu; Anotace projektu; Žadatel; IČ; Právní forma; Velikost podniku; Počet zaměstnanců; Celkové způsobilé výdaje; Požadovaná dotace; Kód stavu projektu; Název stavu projektu; </w:t>
            </w:r>
            <w:r w:rsidRPr="000D0E2C">
              <w:rPr>
                <w:rFonts w:asciiTheme="majorHAnsi" w:hAnsiTheme="majorHAnsi"/>
              </w:rPr>
              <w:t>Předpokládané datum ukončení</w:t>
            </w:r>
            <w:r>
              <w:rPr>
                <w:rFonts w:asciiTheme="majorHAnsi" w:hAnsiTheme="majorHAnsi"/>
              </w:rPr>
              <w:t xml:space="preserve">; </w:t>
            </w:r>
            <w:r w:rsidRPr="000D0E2C">
              <w:rPr>
                <w:rFonts w:asciiTheme="majorHAnsi" w:hAnsiTheme="majorHAnsi"/>
              </w:rPr>
              <w:t>Skutečné d</w:t>
            </w:r>
            <w:r>
              <w:rPr>
                <w:rFonts w:asciiTheme="majorHAnsi" w:hAnsiTheme="majorHAnsi"/>
              </w:rPr>
              <w:t xml:space="preserve">atum ukončení; Předpokládané datum zahájení; Skutečné datum zahájení; </w:t>
            </w:r>
            <w:r w:rsidRPr="000D0E2C">
              <w:rPr>
                <w:rFonts w:asciiTheme="majorHAnsi" w:hAnsiTheme="majorHAnsi"/>
              </w:rPr>
              <w:t>Hlavní kontaktní osoba</w:t>
            </w:r>
            <w:r>
              <w:rPr>
                <w:rFonts w:asciiTheme="majorHAnsi" w:hAnsiTheme="majorHAnsi"/>
              </w:rPr>
              <w:t xml:space="preserve">; </w:t>
            </w:r>
            <w:r w:rsidRPr="000D0E2C">
              <w:rPr>
                <w:rFonts w:asciiTheme="majorHAnsi" w:hAnsiTheme="majorHAnsi"/>
              </w:rPr>
              <w:t>Mobilní telefon</w:t>
            </w:r>
            <w:r>
              <w:rPr>
                <w:rFonts w:asciiTheme="majorHAnsi" w:hAnsiTheme="majorHAnsi"/>
              </w:rPr>
              <w:t xml:space="preserve">; Email; Statutární zástupci; Mobilní telefony; </w:t>
            </w:r>
            <w:r w:rsidRPr="000D0E2C">
              <w:rPr>
                <w:rFonts w:asciiTheme="majorHAnsi" w:hAnsiTheme="majorHAnsi"/>
              </w:rPr>
              <w:t>Emaily</w:t>
            </w:r>
            <w:r>
              <w:rPr>
                <w:rFonts w:asciiTheme="majorHAnsi" w:hAnsiTheme="majorHAnsi"/>
              </w:rPr>
              <w:t xml:space="preserve">. </w:t>
            </w:r>
          </w:p>
          <w:p w14:paraId="11776145" w14:textId="77777777" w:rsidR="00C569E0" w:rsidRDefault="00C569E0" w:rsidP="0086002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V případě neúspěšného ukončení realizace projektu prosíme také o poskytnutí následujících údajů: </w:t>
            </w:r>
            <w:r w:rsidRPr="000D0E2C">
              <w:rPr>
                <w:rFonts w:asciiTheme="majorHAnsi" w:hAnsiTheme="majorHAnsi"/>
              </w:rPr>
              <w:t>Důvody odstoupení od smlouvy ze strany příjemce dotace (formální chyby, nesplněné indikátory…)</w:t>
            </w:r>
            <w:r>
              <w:rPr>
                <w:rFonts w:asciiTheme="majorHAnsi" w:hAnsiTheme="majorHAnsi"/>
              </w:rPr>
              <w:t xml:space="preserve">; </w:t>
            </w:r>
            <w:r w:rsidRPr="000D0E2C">
              <w:rPr>
                <w:rFonts w:asciiTheme="majorHAnsi" w:hAnsiTheme="majorHAnsi"/>
              </w:rPr>
              <w:t>Důvody ukončení projektu ze strany MPO: neproplacení dotací</w:t>
            </w:r>
            <w:r>
              <w:rPr>
                <w:rFonts w:asciiTheme="majorHAnsi" w:hAnsiTheme="majorHAnsi"/>
              </w:rPr>
              <w:t>; D</w:t>
            </w:r>
            <w:r w:rsidRPr="000D0E2C">
              <w:rPr>
                <w:rFonts w:asciiTheme="majorHAnsi" w:hAnsiTheme="majorHAnsi"/>
              </w:rPr>
              <w:t>ůvody ukončení projektu v udržitelnosti (např. fúze-změna velikosti podniku…)</w:t>
            </w:r>
          </w:p>
          <w:p w14:paraId="2BDB55DB" w14:textId="77777777" w:rsidR="00C569E0" w:rsidRPr="00860027" w:rsidRDefault="00C569E0" w:rsidP="00860027">
            <w:pPr>
              <w:pStyle w:val="Tabletext"/>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860027">
              <w:rPr>
                <w:rFonts w:asciiTheme="majorHAnsi" w:hAnsiTheme="majorHAnsi"/>
                <w:sz w:val="18"/>
              </w:rPr>
              <w:t>V případě neúspěšných žadatelů prosíme o poskytnutí důvodů / fází neschválení projektu: Formální hodnocení; Věcné hodnocení; Odstoupení; Ekonomický rating atd.</w:t>
            </w:r>
          </w:p>
        </w:tc>
        <w:tc>
          <w:tcPr>
            <w:tcW w:w="731" w:type="pct"/>
          </w:tcPr>
          <w:p w14:paraId="18797878" w14:textId="6F9F2715" w:rsidR="00C569E0" w:rsidRPr="00E13A3D" w:rsidRDefault="00854AB8"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sz w:val="18"/>
                <w:szCs w:val="18"/>
              </w:rPr>
              <w:t>Již poskytnuté Zadavatelem</w:t>
            </w:r>
          </w:p>
        </w:tc>
      </w:tr>
      <w:tr w:rsidR="00C569E0" w:rsidRPr="00B84555" w14:paraId="20536A49"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269" w:type="pct"/>
            <w:gridSpan w:val="3"/>
            <w:shd w:val="clear" w:color="auto" w:fill="DFF0F9" w:themeFill="accent3" w:themeFillTint="33"/>
          </w:tcPr>
          <w:p w14:paraId="755B92F9" w14:textId="77777777" w:rsidR="00C569E0" w:rsidRPr="00E13A3D" w:rsidRDefault="00C569E0" w:rsidP="00E13A3D">
            <w:pPr>
              <w:pStyle w:val="Tabletext"/>
              <w:rPr>
                <w:rFonts w:asciiTheme="minorHAnsi" w:hAnsiTheme="minorHAnsi"/>
                <w:b/>
                <w:szCs w:val="18"/>
              </w:rPr>
            </w:pPr>
            <w:r w:rsidRPr="00B84555">
              <w:rPr>
                <w:b/>
                <w:sz w:val="18"/>
                <w:szCs w:val="18"/>
              </w:rPr>
              <w:t>Kontakty</w:t>
            </w:r>
          </w:p>
        </w:tc>
        <w:tc>
          <w:tcPr>
            <w:tcW w:w="731" w:type="pct"/>
            <w:shd w:val="clear" w:color="auto" w:fill="DFF0F9" w:themeFill="accent3" w:themeFillTint="33"/>
          </w:tcPr>
          <w:p w14:paraId="55224F92"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p>
        </w:tc>
      </w:tr>
      <w:tr w:rsidR="00C569E0" w:rsidRPr="00B84555" w14:paraId="1C1E28AF" w14:textId="77777777" w:rsidTr="00860027">
        <w:trPr>
          <w:trHeight w:val="20"/>
        </w:trPr>
        <w:tc>
          <w:tcPr>
            <w:cnfStyle w:val="001000000000" w:firstRow="0" w:lastRow="0" w:firstColumn="1" w:lastColumn="0" w:oddVBand="0" w:evenVBand="0" w:oddHBand="0" w:evenHBand="0" w:firstRowFirstColumn="0" w:firstRowLastColumn="0" w:lastRowFirstColumn="0" w:lastRowLastColumn="0"/>
            <w:tcW w:w="451" w:type="pct"/>
          </w:tcPr>
          <w:p w14:paraId="3B21289E" w14:textId="4402CD05" w:rsidR="00C569E0" w:rsidRPr="00E13A3D" w:rsidRDefault="00557EC6" w:rsidP="00E13A3D">
            <w:pPr>
              <w:pStyle w:val="Tabletext"/>
              <w:rPr>
                <w:rFonts w:asciiTheme="minorHAnsi" w:hAnsiTheme="minorHAnsi"/>
                <w:szCs w:val="18"/>
              </w:rPr>
            </w:pPr>
            <w:r>
              <w:rPr>
                <w:rFonts w:asciiTheme="minorHAnsi" w:hAnsiTheme="minorHAnsi"/>
                <w:sz w:val="18"/>
                <w:szCs w:val="18"/>
              </w:rPr>
              <w:t>6</w:t>
            </w:r>
          </w:p>
        </w:tc>
        <w:tc>
          <w:tcPr>
            <w:tcW w:w="3818" w:type="pct"/>
            <w:gridSpan w:val="2"/>
          </w:tcPr>
          <w:p w14:paraId="022014C9" w14:textId="77777777" w:rsidR="00C569E0" w:rsidRPr="00E13A3D" w:rsidRDefault="00C569E0"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rFonts w:asciiTheme="minorHAnsi" w:hAnsiTheme="minorHAnsi"/>
                <w:sz w:val="18"/>
                <w:szCs w:val="18"/>
              </w:rPr>
              <w:t xml:space="preserve">Kontakty (e-mail) MPO na příjemce podpory v rámci </w:t>
            </w:r>
            <w:r w:rsidRPr="00E13A3D">
              <w:rPr>
                <w:rFonts w:asciiTheme="minorHAnsi" w:hAnsiTheme="minorHAnsi"/>
                <w:b/>
                <w:sz w:val="18"/>
                <w:szCs w:val="18"/>
              </w:rPr>
              <w:t>OP PIK</w:t>
            </w:r>
            <w:r w:rsidRPr="00E13A3D">
              <w:rPr>
                <w:rFonts w:asciiTheme="minorHAnsi" w:hAnsiTheme="minorHAnsi"/>
                <w:sz w:val="18"/>
                <w:szCs w:val="18"/>
              </w:rPr>
              <w:t xml:space="preserve"> a organizace zastřešující subjekty pohybující se v oblastech s potenciálem pro přijímání podpory v rámci </w:t>
            </w:r>
            <w:r w:rsidRPr="00E13A3D">
              <w:rPr>
                <w:rFonts w:asciiTheme="minorHAnsi" w:hAnsiTheme="minorHAnsi"/>
                <w:b/>
                <w:sz w:val="18"/>
                <w:szCs w:val="18"/>
              </w:rPr>
              <w:t xml:space="preserve">OP TAK </w:t>
            </w:r>
            <w:r w:rsidRPr="00E13A3D">
              <w:rPr>
                <w:rFonts w:asciiTheme="minorHAnsi" w:hAnsiTheme="minorHAnsi"/>
                <w:sz w:val="18"/>
                <w:szCs w:val="18"/>
              </w:rPr>
              <w:t>PO 3.</w:t>
            </w:r>
          </w:p>
        </w:tc>
        <w:tc>
          <w:tcPr>
            <w:tcW w:w="731" w:type="pct"/>
          </w:tcPr>
          <w:p w14:paraId="23CA1F44" w14:textId="1F93B082" w:rsidR="00C569E0" w:rsidRPr="00E13A3D" w:rsidRDefault="00854AB8" w:rsidP="00E13A3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13A3D">
              <w:rPr>
                <w:sz w:val="18"/>
                <w:szCs w:val="18"/>
              </w:rPr>
              <w:t>Již poskytnuté Zadavatelem</w:t>
            </w:r>
          </w:p>
        </w:tc>
      </w:tr>
    </w:tbl>
    <w:p w14:paraId="4C0B75CD" w14:textId="77777777" w:rsidR="008D4E6C" w:rsidRDefault="008D4E6C">
      <w:pPr>
        <w:spacing w:after="200" w:line="276" w:lineRule="auto"/>
      </w:pPr>
      <w:r>
        <w:br w:type="page"/>
      </w:r>
    </w:p>
    <w:p w14:paraId="6EB30419" w14:textId="77777777" w:rsidR="00FA6087" w:rsidRDefault="00FA6087" w:rsidP="00F46FDA">
      <w:pPr>
        <w:pStyle w:val="Heading1"/>
        <w:numPr>
          <w:ilvl w:val="0"/>
          <w:numId w:val="0"/>
        </w:numPr>
      </w:pPr>
      <w:bookmarkStart w:id="51" w:name="_Toc37248829"/>
      <w:r>
        <w:lastRenderedPageBreak/>
        <w:t xml:space="preserve">Příloha 2: </w:t>
      </w:r>
      <w:r w:rsidRPr="00FA6087">
        <w:t>Návrh</w:t>
      </w:r>
      <w:r>
        <w:t>y</w:t>
      </w:r>
      <w:r w:rsidRPr="00FA6087">
        <w:t xml:space="preserve"> scénář</w:t>
      </w:r>
      <w:r>
        <w:t>ů</w:t>
      </w:r>
      <w:bookmarkEnd w:id="51"/>
    </w:p>
    <w:p w14:paraId="64B12FFC" w14:textId="77777777" w:rsidR="00556277" w:rsidRDefault="00B35D2A" w:rsidP="00B35D2A">
      <w:pPr>
        <w:spacing w:before="360" w:line="240" w:lineRule="auto"/>
        <w:rPr>
          <w:b/>
          <w:color w:val="86BC25" w:themeColor="accent1"/>
        </w:rPr>
      </w:pPr>
      <w:r>
        <w:rPr>
          <w:b/>
          <w:color w:val="86BC25" w:themeColor="accent1"/>
        </w:rPr>
        <w:t>Dotazníkové šetření</w:t>
      </w:r>
    </w:p>
    <w:p w14:paraId="7C8ACEF4" w14:textId="77777777" w:rsidR="00556277" w:rsidRDefault="00556277" w:rsidP="00B35D2A">
      <w:pPr>
        <w:spacing w:before="360" w:line="240" w:lineRule="auto"/>
      </w:pPr>
      <w:r>
        <w:t>Návrh dotazníku je strukturován podle analytických otázek, ve finální podobě se může seskupení a pořadí otázek lišit.</w:t>
      </w:r>
    </w:p>
    <w:p w14:paraId="743262DE" w14:textId="77777777" w:rsidR="00556277" w:rsidRDefault="00556277" w:rsidP="00B35D2A">
      <w:pPr>
        <w:spacing w:before="360" w:line="240" w:lineRule="auto"/>
      </w:pPr>
      <w:r>
        <w:t>Dodavatel předpokládá pouze jedno dotazníkové šetření, které bude využito k získání informací k analytickým otázkám 1, 3 a 4. Některé otázky jsou podmíněny předchozími odpověďmi respondenta.</w:t>
      </w:r>
    </w:p>
    <w:p w14:paraId="4C07E525" w14:textId="55E9F67E" w:rsidR="00DD4517" w:rsidRDefault="00DD4517" w:rsidP="00D0233F">
      <w:pPr>
        <w:pStyle w:val="Caption"/>
        <w:spacing w:before="240" w:after="120"/>
        <w:jc w:val="center"/>
      </w:pPr>
      <w:r>
        <w:t xml:space="preserve">Tabulka </w:t>
      </w:r>
      <w:r>
        <w:fldChar w:fldCharType="begin"/>
      </w:r>
      <w:r>
        <w:instrText xml:space="preserve"> SEQ Tabulka \* ARABIC </w:instrText>
      </w:r>
      <w:r>
        <w:fldChar w:fldCharType="separate"/>
      </w:r>
      <w:r w:rsidR="00D0233F">
        <w:rPr>
          <w:noProof/>
        </w:rPr>
        <w:t>10</w:t>
      </w:r>
      <w:r>
        <w:fldChar w:fldCharType="end"/>
      </w:r>
      <w:r>
        <w:t xml:space="preserve">: </w:t>
      </w:r>
      <w:r w:rsidR="00D0233F">
        <w:t>Návrh dotazníku</w:t>
      </w:r>
    </w:p>
    <w:tbl>
      <w:tblPr>
        <w:tblStyle w:val="GridTable4-Accent1"/>
        <w:tblW w:w="5278" w:type="pct"/>
        <w:tblLook w:val="04A0" w:firstRow="1" w:lastRow="0" w:firstColumn="1" w:lastColumn="0" w:noHBand="0" w:noVBand="1"/>
      </w:tblPr>
      <w:tblGrid>
        <w:gridCol w:w="1521"/>
        <w:gridCol w:w="615"/>
        <w:gridCol w:w="2601"/>
        <w:gridCol w:w="3346"/>
        <w:gridCol w:w="1481"/>
      </w:tblGrid>
      <w:tr w:rsidR="004736A8" w:rsidRPr="004736A8" w14:paraId="1FA23F09" w14:textId="77777777" w:rsidTr="004736A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735" w:type="pct"/>
          </w:tcPr>
          <w:p w14:paraId="357D7841" w14:textId="77777777" w:rsidR="004736A8" w:rsidRPr="00826CDF" w:rsidRDefault="004736A8" w:rsidP="004736A8">
            <w:pPr>
              <w:spacing w:after="0" w:line="240" w:lineRule="auto"/>
              <w:rPr>
                <w:rFonts w:asciiTheme="minorHAnsi" w:eastAsia="Times New Roman" w:hAnsiTheme="minorHAnsi" w:cs="Calibri"/>
                <w:sz w:val="12"/>
                <w:szCs w:val="12"/>
              </w:rPr>
            </w:pPr>
            <w:r w:rsidRPr="00826CDF">
              <w:rPr>
                <w:rFonts w:eastAsia="Times New Roman" w:cs="Calibri"/>
                <w:sz w:val="12"/>
                <w:szCs w:val="12"/>
              </w:rPr>
              <w:t>Č. AO</w:t>
            </w:r>
          </w:p>
        </w:tc>
        <w:tc>
          <w:tcPr>
            <w:tcW w:w="276" w:type="pct"/>
          </w:tcPr>
          <w:p w14:paraId="297B3273" w14:textId="77777777" w:rsidR="004736A8" w:rsidRPr="00826CDF" w:rsidRDefault="004736A8" w:rsidP="004736A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12"/>
                <w:szCs w:val="12"/>
              </w:rPr>
            </w:pPr>
            <w:r w:rsidRPr="00826CDF">
              <w:rPr>
                <w:rFonts w:eastAsia="Times New Roman" w:cs="Calibri"/>
                <w:sz w:val="12"/>
                <w:szCs w:val="12"/>
              </w:rPr>
              <w:t>Č.</w:t>
            </w:r>
          </w:p>
        </w:tc>
        <w:tc>
          <w:tcPr>
            <w:tcW w:w="1427" w:type="pct"/>
          </w:tcPr>
          <w:p w14:paraId="764B41A3" w14:textId="77777777" w:rsidR="004736A8" w:rsidRPr="00826CDF" w:rsidRDefault="004736A8" w:rsidP="004736A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12"/>
                <w:szCs w:val="12"/>
              </w:rPr>
            </w:pPr>
            <w:r w:rsidRPr="00826CDF">
              <w:rPr>
                <w:rFonts w:eastAsia="Times New Roman" w:cs="Calibri"/>
                <w:sz w:val="12"/>
                <w:szCs w:val="12"/>
              </w:rPr>
              <w:t>Návrh znění otázky</w:t>
            </w:r>
          </w:p>
        </w:tc>
        <w:tc>
          <w:tcPr>
            <w:tcW w:w="1764" w:type="pct"/>
          </w:tcPr>
          <w:p w14:paraId="4021FE94" w14:textId="77777777" w:rsidR="004736A8" w:rsidRPr="00826CDF" w:rsidRDefault="004736A8" w:rsidP="004736A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12"/>
                <w:szCs w:val="12"/>
              </w:rPr>
            </w:pPr>
            <w:r w:rsidRPr="00826CDF">
              <w:rPr>
                <w:rFonts w:eastAsia="Times New Roman" w:cs="Calibri"/>
                <w:sz w:val="12"/>
                <w:szCs w:val="12"/>
              </w:rPr>
              <w:t>Návrh předdefinovaných odpovědí</w:t>
            </w:r>
          </w:p>
        </w:tc>
        <w:tc>
          <w:tcPr>
            <w:tcW w:w="798" w:type="pct"/>
          </w:tcPr>
          <w:p w14:paraId="7330510C" w14:textId="77777777" w:rsidR="004736A8" w:rsidRPr="00826CDF" w:rsidRDefault="004736A8" w:rsidP="004736A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12"/>
                <w:szCs w:val="12"/>
              </w:rPr>
            </w:pPr>
            <w:r w:rsidRPr="00826CDF">
              <w:rPr>
                <w:rFonts w:eastAsia="Times New Roman" w:cs="Calibri"/>
                <w:sz w:val="12"/>
                <w:szCs w:val="12"/>
              </w:rPr>
              <w:t>Typ otázky</w:t>
            </w:r>
          </w:p>
        </w:tc>
      </w:tr>
      <w:tr w:rsidR="004736A8" w:rsidRPr="004736A8" w14:paraId="522A7295" w14:textId="77777777" w:rsidTr="004736A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35" w:type="pct"/>
            <w:vMerge w:val="restart"/>
            <w:shd w:val="clear" w:color="auto" w:fill="auto"/>
            <w:hideMark/>
          </w:tcPr>
          <w:p w14:paraId="2E58F18C" w14:textId="77777777" w:rsidR="004736A8" w:rsidRPr="00826CDF" w:rsidRDefault="004736A8" w:rsidP="004736A8">
            <w:pPr>
              <w:spacing w:after="0" w:line="240" w:lineRule="auto"/>
              <w:rPr>
                <w:rFonts w:asciiTheme="minorHAnsi" w:eastAsia="Times New Roman" w:hAnsiTheme="minorHAnsi" w:cs="Calibri"/>
                <w:color w:val="000000"/>
                <w:sz w:val="12"/>
                <w:szCs w:val="12"/>
              </w:rPr>
            </w:pPr>
            <w:r w:rsidRPr="00826CDF">
              <w:rPr>
                <w:rFonts w:eastAsia="Times New Roman" w:cs="Calibri"/>
                <w:color w:val="000000"/>
                <w:sz w:val="12"/>
                <w:szCs w:val="12"/>
              </w:rPr>
              <w:t>Kategorizace respondenta</w:t>
            </w:r>
          </w:p>
        </w:tc>
        <w:tc>
          <w:tcPr>
            <w:tcW w:w="276" w:type="pct"/>
            <w:shd w:val="clear" w:color="auto" w:fill="auto"/>
            <w:hideMark/>
          </w:tcPr>
          <w:p w14:paraId="253740F5"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w:t>
            </w:r>
          </w:p>
        </w:tc>
        <w:tc>
          <w:tcPr>
            <w:tcW w:w="1427" w:type="pct"/>
            <w:shd w:val="clear" w:color="auto" w:fill="auto"/>
            <w:hideMark/>
          </w:tcPr>
          <w:p w14:paraId="53C3BA37"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 jakém kraji podnikáte?</w:t>
            </w:r>
          </w:p>
        </w:tc>
        <w:tc>
          <w:tcPr>
            <w:tcW w:w="1764" w:type="pct"/>
            <w:shd w:val="clear" w:color="auto" w:fill="auto"/>
            <w:noWrap/>
            <w:hideMark/>
          </w:tcPr>
          <w:p w14:paraId="16CBA733" w14:textId="77777777" w:rsidR="004736A8" w:rsidRPr="00826CDF" w:rsidRDefault="004736A8" w:rsidP="004736A8">
            <w:pPr>
              <w:pStyle w:val="ListParagraph"/>
              <w:numPr>
                <w:ilvl w:val="0"/>
                <w:numId w:val="5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Na výběr ze 14 krajů</w:t>
            </w:r>
          </w:p>
        </w:tc>
        <w:tc>
          <w:tcPr>
            <w:tcW w:w="798" w:type="pct"/>
            <w:shd w:val="clear" w:color="auto" w:fill="auto"/>
          </w:tcPr>
          <w:p w14:paraId="1DDA137D" w14:textId="77777777" w:rsidR="004736A8" w:rsidRPr="00826CDF" w:rsidDel="00845099" w:rsidRDefault="004736A8" w:rsidP="004736A8">
            <w:pPr>
              <w:pStyle w:val="ListParagraph"/>
              <w:numPr>
                <w:ilvl w:val="0"/>
                <w:numId w:val="55"/>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3EB85692" w14:textId="77777777" w:rsidTr="004736A8">
        <w:trPr>
          <w:trHeight w:val="2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417AA59B"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192FFF3B"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w:t>
            </w:r>
          </w:p>
        </w:tc>
        <w:tc>
          <w:tcPr>
            <w:tcW w:w="1427" w:type="pct"/>
            <w:shd w:val="clear" w:color="auto" w:fill="auto"/>
            <w:hideMark/>
          </w:tcPr>
          <w:p w14:paraId="615F3EB1"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 jakém odvětví působí váš podnik/vaše organizace?</w:t>
            </w:r>
          </w:p>
        </w:tc>
        <w:tc>
          <w:tcPr>
            <w:tcW w:w="1764" w:type="pct"/>
            <w:shd w:val="clear" w:color="auto" w:fill="auto"/>
            <w:noWrap/>
            <w:hideMark/>
          </w:tcPr>
          <w:p w14:paraId="1DF4F85A" w14:textId="77777777" w:rsidR="004736A8" w:rsidRPr="00826CDF" w:rsidRDefault="004736A8" w:rsidP="004736A8">
            <w:pPr>
              <w:pStyle w:val="ListParagraph"/>
              <w:numPr>
                <w:ilvl w:val="0"/>
                <w:numId w:val="54"/>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Kategorizace dle NACE</w:t>
            </w:r>
          </w:p>
        </w:tc>
        <w:tc>
          <w:tcPr>
            <w:tcW w:w="798" w:type="pct"/>
            <w:shd w:val="clear" w:color="auto" w:fill="auto"/>
          </w:tcPr>
          <w:p w14:paraId="59E84553" w14:textId="77777777" w:rsidR="004736A8" w:rsidRPr="00826CDF" w:rsidRDefault="004736A8" w:rsidP="004736A8">
            <w:pPr>
              <w:pStyle w:val="ListParagraph"/>
              <w:numPr>
                <w:ilvl w:val="0"/>
                <w:numId w:val="54"/>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1278466F" w14:textId="77777777" w:rsidTr="004736A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40DDFB93"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1F091CC2"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3</w:t>
            </w:r>
          </w:p>
        </w:tc>
        <w:tc>
          <w:tcPr>
            <w:tcW w:w="1427" w:type="pct"/>
            <w:shd w:val="clear" w:color="auto" w:fill="auto"/>
            <w:hideMark/>
          </w:tcPr>
          <w:p w14:paraId="3BA0F699"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Kolik zaměstnanců má váš podnik/vaše organizace? (přepočteno na celé úvazky)</w:t>
            </w:r>
          </w:p>
        </w:tc>
        <w:tc>
          <w:tcPr>
            <w:tcW w:w="1764" w:type="pct"/>
            <w:shd w:val="clear" w:color="auto" w:fill="auto"/>
            <w:noWrap/>
            <w:hideMark/>
          </w:tcPr>
          <w:p w14:paraId="2921274C" w14:textId="77777777" w:rsidR="004736A8" w:rsidRPr="00826CDF" w:rsidRDefault="004736A8" w:rsidP="004736A8">
            <w:pPr>
              <w:pStyle w:val="ListParagraph"/>
              <w:numPr>
                <w:ilvl w:val="0"/>
                <w:numId w:val="5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Méně než 10 (mikropodnik)</w:t>
            </w:r>
          </w:p>
          <w:p w14:paraId="77ED4EAC" w14:textId="77777777" w:rsidR="004736A8" w:rsidRPr="00826CDF" w:rsidRDefault="004736A8" w:rsidP="004736A8">
            <w:pPr>
              <w:pStyle w:val="ListParagraph"/>
              <w:numPr>
                <w:ilvl w:val="0"/>
                <w:numId w:val="5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11 až 50 (malý podnik)</w:t>
            </w:r>
          </w:p>
          <w:p w14:paraId="65F001EF" w14:textId="77777777" w:rsidR="004736A8" w:rsidRPr="00826CDF" w:rsidRDefault="004736A8" w:rsidP="004736A8">
            <w:pPr>
              <w:pStyle w:val="ListParagraph"/>
              <w:numPr>
                <w:ilvl w:val="0"/>
                <w:numId w:val="5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51 až 250 (střední podnik)</w:t>
            </w:r>
          </w:p>
          <w:p w14:paraId="43872BEE" w14:textId="77777777" w:rsidR="004736A8" w:rsidRPr="00826CDF" w:rsidRDefault="004736A8" w:rsidP="004736A8">
            <w:pPr>
              <w:pStyle w:val="ListParagraph"/>
              <w:numPr>
                <w:ilvl w:val="0"/>
                <w:numId w:val="5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Více než 250 (velký podnik)</w:t>
            </w:r>
          </w:p>
        </w:tc>
        <w:tc>
          <w:tcPr>
            <w:tcW w:w="798" w:type="pct"/>
            <w:shd w:val="clear" w:color="auto" w:fill="auto"/>
          </w:tcPr>
          <w:p w14:paraId="33AD17D6" w14:textId="77777777" w:rsidR="004736A8" w:rsidRPr="00826CDF" w:rsidRDefault="004736A8" w:rsidP="004736A8">
            <w:pPr>
              <w:pStyle w:val="ListParagraph"/>
              <w:numPr>
                <w:ilvl w:val="0"/>
                <w:numId w:val="52"/>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474F238C" w14:textId="77777777" w:rsidTr="004736A8">
        <w:trPr>
          <w:trHeight w:val="2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2B32D41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57FE2514"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4</w:t>
            </w:r>
          </w:p>
        </w:tc>
        <w:tc>
          <w:tcPr>
            <w:tcW w:w="1427" w:type="pct"/>
            <w:shd w:val="clear" w:color="auto" w:fill="auto"/>
          </w:tcPr>
          <w:p w14:paraId="4BE1641B"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Jaký je typ Vaší společnosti?</w:t>
            </w:r>
          </w:p>
        </w:tc>
        <w:tc>
          <w:tcPr>
            <w:tcW w:w="1764" w:type="pct"/>
            <w:shd w:val="clear" w:color="auto" w:fill="auto"/>
            <w:noWrap/>
          </w:tcPr>
          <w:p w14:paraId="20CA329B"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Společnost s ručením omezeným</w:t>
            </w:r>
          </w:p>
          <w:p w14:paraId="08043323"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Akciová společnost</w:t>
            </w:r>
          </w:p>
          <w:p w14:paraId="242A7C7D"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Obchodní společnost zřizovaná obcí, městem, </w:t>
            </w:r>
          </w:p>
          <w:p w14:paraId="0CF698C9" w14:textId="77777777" w:rsidR="004736A8" w:rsidRPr="00826CDF" w:rsidRDefault="004736A8" w:rsidP="004736A8">
            <w:pPr>
              <w:pStyle w:val="ListParagraph"/>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Krajem nebo státem (včetně s.r.o. nebo a.s.)</w:t>
            </w:r>
          </w:p>
          <w:p w14:paraId="6B501489"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Veřejná obchodní společnost</w:t>
            </w:r>
          </w:p>
          <w:p w14:paraId="7A30AA7A"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Komanditní společnost</w:t>
            </w:r>
          </w:p>
          <w:p w14:paraId="3808FAF0"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Družstvo</w:t>
            </w:r>
          </w:p>
          <w:p w14:paraId="4B8FA353"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Sdružení podnikatelů</w:t>
            </w:r>
          </w:p>
          <w:p w14:paraId="607994B2" w14:textId="77777777" w:rsidR="004736A8" w:rsidRPr="00826CDF" w:rsidRDefault="004736A8" w:rsidP="004736A8">
            <w:pPr>
              <w:pStyle w:val="ListParagraph"/>
              <w:numPr>
                <w:ilvl w:val="0"/>
                <w:numId w:val="5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Jiná: ........</w:t>
            </w:r>
          </w:p>
        </w:tc>
        <w:tc>
          <w:tcPr>
            <w:tcW w:w="798" w:type="pct"/>
            <w:shd w:val="clear" w:color="auto" w:fill="auto"/>
          </w:tcPr>
          <w:p w14:paraId="334A5FEF" w14:textId="77777777" w:rsidR="004736A8" w:rsidRPr="00826CDF" w:rsidRDefault="004736A8" w:rsidP="004736A8">
            <w:pPr>
              <w:pStyle w:val="ListParagraph"/>
              <w:numPr>
                <w:ilvl w:val="0"/>
                <w:numId w:val="52"/>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3ED1C917" w14:textId="77777777" w:rsidTr="004736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421395E4"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046A121D"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5</w:t>
            </w:r>
          </w:p>
        </w:tc>
        <w:tc>
          <w:tcPr>
            <w:tcW w:w="1427" w:type="pct"/>
            <w:shd w:val="clear" w:color="auto" w:fill="auto"/>
          </w:tcPr>
          <w:p w14:paraId="7445A48B"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Realizujete (popř. realizoval/a jste v minulosti) projekt spolufinancovaný z evropských fondů (ESIF), národních fondů nebo jiné formy veřejné podpory?</w:t>
            </w:r>
          </w:p>
        </w:tc>
        <w:tc>
          <w:tcPr>
            <w:tcW w:w="1764" w:type="pct"/>
            <w:shd w:val="clear" w:color="auto" w:fill="auto"/>
            <w:noWrap/>
          </w:tcPr>
          <w:p w14:paraId="2EC669AD" w14:textId="77777777" w:rsidR="004736A8" w:rsidRPr="00826CDF" w:rsidRDefault="004736A8" w:rsidP="004736A8">
            <w:pPr>
              <w:pStyle w:val="ListParagraph"/>
              <w:numPr>
                <w:ilvl w:val="0"/>
                <w:numId w:val="53"/>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Operační programy ESIF</w:t>
            </w:r>
          </w:p>
          <w:p w14:paraId="0CD0CB05" w14:textId="77777777" w:rsidR="004736A8" w:rsidRPr="00826CDF" w:rsidRDefault="004736A8" w:rsidP="004736A8">
            <w:pPr>
              <w:pStyle w:val="ListParagraph"/>
              <w:numPr>
                <w:ilvl w:val="0"/>
                <w:numId w:val="53"/>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Národní dotační programy</w:t>
            </w:r>
          </w:p>
          <w:p w14:paraId="410948FF" w14:textId="77777777" w:rsidR="004736A8" w:rsidRPr="00826CDF" w:rsidRDefault="004736A8" w:rsidP="004736A8">
            <w:pPr>
              <w:pStyle w:val="ListParagraph"/>
              <w:numPr>
                <w:ilvl w:val="0"/>
                <w:numId w:val="53"/>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Finanční nástroje (ČMZRB, EIB, EIF atd.)</w:t>
            </w:r>
          </w:p>
          <w:p w14:paraId="1C4231BC" w14:textId="77777777" w:rsidR="004736A8" w:rsidRPr="00826CDF" w:rsidRDefault="004736A8" w:rsidP="004736A8">
            <w:pPr>
              <w:pStyle w:val="ListParagraph"/>
              <w:numPr>
                <w:ilvl w:val="0"/>
                <w:numId w:val="53"/>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Rozpočet (včetně dotací) obce, města, kraje</w:t>
            </w:r>
          </w:p>
          <w:p w14:paraId="327ABDA2" w14:textId="77777777" w:rsidR="004736A8" w:rsidRPr="00826CDF" w:rsidRDefault="004736A8" w:rsidP="004736A8">
            <w:pPr>
              <w:pStyle w:val="ListParagraph"/>
              <w:numPr>
                <w:ilvl w:val="0"/>
                <w:numId w:val="53"/>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w:t>
            </w:r>
          </w:p>
          <w:p w14:paraId="29C9BC81" w14:textId="77777777" w:rsidR="004736A8" w:rsidRPr="00826CDF" w:rsidRDefault="004736A8" w:rsidP="004736A8">
            <w:pPr>
              <w:pStyle w:val="ListParagraph"/>
              <w:numPr>
                <w:ilvl w:val="0"/>
                <w:numId w:val="53"/>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w:t>
            </w:r>
          </w:p>
        </w:tc>
        <w:tc>
          <w:tcPr>
            <w:tcW w:w="798" w:type="pct"/>
            <w:shd w:val="clear" w:color="auto" w:fill="auto"/>
          </w:tcPr>
          <w:p w14:paraId="3B5173BC" w14:textId="77777777" w:rsidR="004736A8" w:rsidRPr="00826CDF" w:rsidRDefault="004736A8" w:rsidP="004736A8">
            <w:pPr>
              <w:pStyle w:val="ListParagraph"/>
              <w:numPr>
                <w:ilvl w:val="0"/>
                <w:numId w:val="53"/>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5BAD4CAA" w14:textId="77777777" w:rsidTr="004736A8">
        <w:trPr>
          <w:trHeight w:val="92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tcPr>
          <w:p w14:paraId="111C506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06441E43"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6</w:t>
            </w:r>
          </w:p>
        </w:tc>
        <w:tc>
          <w:tcPr>
            <w:tcW w:w="1427" w:type="pct"/>
            <w:shd w:val="clear" w:color="auto" w:fill="auto"/>
          </w:tcPr>
          <w:p w14:paraId="7E49AA55"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V jaké </w:t>
            </w:r>
            <w:r w:rsidRPr="00826CDF">
              <w:rPr>
                <w:rFonts w:eastAsia="Times New Roman" w:cs="Calibri"/>
                <w:b/>
                <w:color w:val="000000"/>
                <w:sz w:val="12"/>
                <w:szCs w:val="12"/>
              </w:rPr>
              <w:t>konkrétní oblasti</w:t>
            </w:r>
            <w:r w:rsidRPr="00826CDF">
              <w:rPr>
                <w:rFonts w:eastAsia="Times New Roman" w:cs="Calibri"/>
                <w:color w:val="000000"/>
                <w:sz w:val="12"/>
                <w:szCs w:val="12"/>
              </w:rPr>
              <w:t xml:space="preserve"> / realizujete nebo plánujete investiční projekty?</w:t>
            </w:r>
          </w:p>
        </w:tc>
        <w:tc>
          <w:tcPr>
            <w:tcW w:w="1764" w:type="pct"/>
            <w:shd w:val="clear" w:color="auto" w:fill="auto"/>
          </w:tcPr>
          <w:p w14:paraId="6B186F58"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rPr>
              <w:t>Oblast energetické účinnosti (např.  kogenerace, zateplování, energetický management, zvýšení energetické účinnosti, akumulace energie, využití odpadní energie…)</w:t>
            </w:r>
          </w:p>
          <w:p w14:paraId="23747589"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lang w:val="de-DE"/>
              </w:rPr>
              <w:t xml:space="preserve">Oblast </w:t>
            </w:r>
            <w:r w:rsidRPr="00826CDF">
              <w:rPr>
                <w:sz w:val="12"/>
                <w:szCs w:val="12"/>
                <w:lang w:val="de-DE"/>
              </w:rPr>
              <w:t xml:space="preserve">energie z obnovitelných zdrojů </w:t>
            </w:r>
            <w:r w:rsidRPr="00826CDF">
              <w:rPr>
                <w:sz w:val="12"/>
                <w:szCs w:val="12"/>
              </w:rPr>
              <w:t>(výroba elektrické energie z OZE, využití bioplynu pro KVET)</w:t>
            </w:r>
          </w:p>
          <w:p w14:paraId="45CDD845"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rPr>
              <w:t>Oblast rozvoje inteligentních energetických systémů, sítí a skladování na místní úrovni (decentralizované zdroje, snižování emisí, nové zdroje plynu,…)</w:t>
            </w:r>
          </w:p>
          <w:p w14:paraId="04EE9E32" w14:textId="77777777" w:rsidR="004736A8" w:rsidRPr="00826CDF" w:rsidRDefault="004736A8" w:rsidP="004736A8">
            <w:pPr>
              <w:pStyle w:val="ListParagraph"/>
              <w:numPr>
                <w:ilvl w:val="0"/>
                <w:numId w:val="42"/>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rPr>
              <w:t>Oblast posílení biologické rozmanitosti, zelené infrastruktury v městském prostředí a snížení znečištění (alternativní pohony vozidel, dobíjecí stanice,…)</w:t>
            </w:r>
          </w:p>
        </w:tc>
        <w:tc>
          <w:tcPr>
            <w:tcW w:w="798" w:type="pct"/>
            <w:shd w:val="clear" w:color="auto" w:fill="auto"/>
          </w:tcPr>
          <w:p w14:paraId="51379072" w14:textId="77777777" w:rsidR="004736A8" w:rsidRPr="00826CDF" w:rsidRDefault="004736A8" w:rsidP="004736A8">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1D75C47A" w14:textId="77777777" w:rsidTr="004736A8">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35" w:type="pct"/>
            <w:vMerge w:val="restart"/>
            <w:shd w:val="clear" w:color="auto" w:fill="auto"/>
            <w:hideMark/>
          </w:tcPr>
          <w:p w14:paraId="2262FB23" w14:textId="77777777" w:rsidR="004736A8" w:rsidRPr="00826CDF" w:rsidRDefault="004736A8" w:rsidP="004736A8">
            <w:pPr>
              <w:spacing w:after="0" w:line="240" w:lineRule="auto"/>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AO1: 1. Ve kterých oblastech v rámci SC OP TAK dochází k tržnímu selhání nebo suboptimální investiční situaci?  </w:t>
            </w:r>
          </w:p>
        </w:tc>
        <w:tc>
          <w:tcPr>
            <w:tcW w:w="276" w:type="pct"/>
            <w:vMerge w:val="restart"/>
            <w:shd w:val="clear" w:color="auto" w:fill="auto"/>
            <w:hideMark/>
          </w:tcPr>
          <w:p w14:paraId="4A493E56"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7 </w:t>
            </w:r>
          </w:p>
          <w:p w14:paraId="76E95429"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Podm. otázka k č. 6</w:t>
            </w:r>
          </w:p>
        </w:tc>
        <w:tc>
          <w:tcPr>
            <w:tcW w:w="1427" w:type="pct"/>
            <w:shd w:val="clear" w:color="auto" w:fill="auto"/>
            <w:hideMark/>
          </w:tcPr>
          <w:p w14:paraId="704EB0D0"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Realizoval/a jste, popř. </w:t>
            </w:r>
            <w:r w:rsidRPr="00826CDF">
              <w:rPr>
                <w:rFonts w:eastAsia="Times New Roman" w:cs="Calibri"/>
                <w:b/>
                <w:bCs/>
                <w:color w:val="000000"/>
                <w:sz w:val="12"/>
                <w:szCs w:val="12"/>
              </w:rPr>
              <w:t>realizujete v současné době nebo plánujete realizovat  projekt</w:t>
            </w:r>
            <w:r w:rsidRPr="00826CDF">
              <w:rPr>
                <w:rFonts w:eastAsia="Times New Roman" w:cs="Calibri"/>
                <w:color w:val="000000"/>
                <w:sz w:val="12"/>
                <w:szCs w:val="12"/>
              </w:rPr>
              <w:t xml:space="preserve"> </w:t>
            </w:r>
            <w:r w:rsidRPr="00826CDF">
              <w:rPr>
                <w:color w:val="000000"/>
                <w:sz w:val="12"/>
                <w:szCs w:val="12"/>
              </w:rPr>
              <w:t>zaměřený na oblast energetické účinnosti (např.  kogenerace, zateplování, energetický management…)?</w:t>
            </w:r>
          </w:p>
        </w:tc>
        <w:tc>
          <w:tcPr>
            <w:tcW w:w="1764" w:type="pct"/>
            <w:vMerge w:val="restart"/>
            <w:shd w:val="clear" w:color="auto" w:fill="auto"/>
            <w:hideMark/>
          </w:tcPr>
          <w:p w14:paraId="15E20896" w14:textId="77777777" w:rsidR="004736A8" w:rsidRPr="00826CDF" w:rsidRDefault="004736A8" w:rsidP="004736A8">
            <w:pPr>
              <w:pStyle w:val="ListParagraph"/>
              <w:numPr>
                <w:ilvl w:val="0"/>
                <w:numId w:val="4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Realizovali jsme</w:t>
            </w:r>
          </w:p>
          <w:p w14:paraId="1B70210F" w14:textId="77777777" w:rsidR="004736A8" w:rsidRPr="00826CDF" w:rsidRDefault="004736A8" w:rsidP="004736A8">
            <w:pPr>
              <w:pStyle w:val="ListParagraph"/>
              <w:numPr>
                <w:ilvl w:val="0"/>
                <w:numId w:val="4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Realizujeme</w:t>
            </w:r>
          </w:p>
          <w:p w14:paraId="37B109A0" w14:textId="77777777" w:rsidR="004736A8" w:rsidRPr="00826CDF" w:rsidRDefault="004736A8" w:rsidP="004736A8">
            <w:pPr>
              <w:pStyle w:val="ListParagraph"/>
              <w:numPr>
                <w:ilvl w:val="0"/>
                <w:numId w:val="4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Plánujeme realizovat</w:t>
            </w:r>
          </w:p>
          <w:p w14:paraId="1DCB1C6A" w14:textId="77777777" w:rsidR="004736A8" w:rsidRPr="00826CDF" w:rsidRDefault="004736A8" w:rsidP="004736A8">
            <w:pPr>
              <w:pStyle w:val="ListParagraph"/>
              <w:numPr>
                <w:ilvl w:val="0"/>
                <w:numId w:val="42"/>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Nerealizujeme a neplánujeme realizovat</w:t>
            </w:r>
          </w:p>
        </w:tc>
        <w:tc>
          <w:tcPr>
            <w:tcW w:w="798" w:type="pct"/>
            <w:vMerge w:val="restart"/>
            <w:shd w:val="clear" w:color="auto" w:fill="auto"/>
          </w:tcPr>
          <w:p w14:paraId="140DC775" w14:textId="77777777" w:rsidR="004736A8" w:rsidRPr="00826CDF" w:rsidRDefault="004736A8" w:rsidP="004736A8">
            <w:pPr>
              <w:pStyle w:val="ListParagraph"/>
              <w:numPr>
                <w:ilvl w:val="0"/>
                <w:numId w:val="42"/>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p w14:paraId="6FA988C6" w14:textId="77777777" w:rsidR="004736A8" w:rsidRPr="00826CDF" w:rsidRDefault="004736A8" w:rsidP="004736A8">
            <w:p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p w14:paraId="55F119C0" w14:textId="77777777" w:rsidR="004736A8" w:rsidRPr="00826CDF" w:rsidRDefault="004736A8" w:rsidP="004736A8">
            <w:p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42AE7BBD" w14:textId="77777777" w:rsidTr="004736A8">
        <w:trPr>
          <w:trHeight w:val="6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49FF3B1C"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vMerge/>
            <w:shd w:val="clear" w:color="auto" w:fill="auto"/>
            <w:hideMark/>
          </w:tcPr>
          <w:p w14:paraId="5F8B8340"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1427" w:type="pct"/>
            <w:shd w:val="clear" w:color="auto" w:fill="auto"/>
            <w:hideMark/>
          </w:tcPr>
          <w:p w14:paraId="0637258A"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Realizoval/a jste, popř.</w:t>
            </w:r>
            <w:r w:rsidRPr="00826CDF">
              <w:rPr>
                <w:rFonts w:eastAsia="Times New Roman" w:cs="Calibri"/>
                <w:b/>
                <w:bCs/>
                <w:color w:val="000000"/>
                <w:sz w:val="12"/>
                <w:szCs w:val="12"/>
              </w:rPr>
              <w:t xml:space="preserve"> realizujete v současné době nebo plánujete realizovat</w:t>
            </w:r>
            <w:r w:rsidRPr="00826CDF">
              <w:rPr>
                <w:rFonts w:eastAsia="Times New Roman" w:cs="Calibri"/>
                <w:color w:val="000000"/>
                <w:sz w:val="12"/>
                <w:szCs w:val="12"/>
              </w:rPr>
              <w:t xml:space="preserve"> nějaký projekt</w:t>
            </w:r>
            <w:r w:rsidRPr="00826CDF">
              <w:rPr>
                <w:color w:val="000000"/>
                <w:sz w:val="12"/>
                <w:szCs w:val="12"/>
              </w:rPr>
              <w:t xml:space="preserve"> zaměřený na oblast </w:t>
            </w:r>
            <w:r w:rsidRPr="00826CDF">
              <w:rPr>
                <w:sz w:val="12"/>
                <w:szCs w:val="12"/>
              </w:rPr>
              <w:t>energie z obnovitelných zdrojů?</w:t>
            </w:r>
          </w:p>
        </w:tc>
        <w:tc>
          <w:tcPr>
            <w:tcW w:w="1764" w:type="pct"/>
            <w:vMerge/>
            <w:shd w:val="clear" w:color="auto" w:fill="auto"/>
            <w:hideMark/>
          </w:tcPr>
          <w:p w14:paraId="0CA7D935" w14:textId="77777777" w:rsidR="004736A8" w:rsidRPr="00826CDF" w:rsidRDefault="004736A8" w:rsidP="004736A8">
            <w:p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vMerge/>
            <w:shd w:val="clear" w:color="auto" w:fill="auto"/>
          </w:tcPr>
          <w:p w14:paraId="1E4470F7" w14:textId="77777777" w:rsidR="004736A8" w:rsidRPr="00826CDF" w:rsidRDefault="004736A8" w:rsidP="004736A8">
            <w:p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7977B69C" w14:textId="77777777" w:rsidTr="004736A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3ACDCA7E"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vMerge/>
            <w:shd w:val="clear" w:color="auto" w:fill="auto"/>
          </w:tcPr>
          <w:p w14:paraId="03DE0C88"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c>
          <w:tcPr>
            <w:tcW w:w="1427" w:type="pct"/>
            <w:shd w:val="clear" w:color="auto" w:fill="auto"/>
          </w:tcPr>
          <w:p w14:paraId="78937F31"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Realizoval/a jste, popř.</w:t>
            </w:r>
            <w:r w:rsidRPr="00826CDF">
              <w:rPr>
                <w:rFonts w:eastAsia="Times New Roman" w:cs="Calibri"/>
                <w:b/>
                <w:bCs/>
                <w:color w:val="000000"/>
                <w:sz w:val="12"/>
                <w:szCs w:val="12"/>
              </w:rPr>
              <w:t xml:space="preserve"> realizujete v současné době nebo plánujete realizovat</w:t>
            </w:r>
            <w:r w:rsidRPr="00826CDF">
              <w:rPr>
                <w:rFonts w:eastAsia="Times New Roman" w:cs="Calibri"/>
                <w:color w:val="000000"/>
                <w:sz w:val="12"/>
                <w:szCs w:val="12"/>
              </w:rPr>
              <w:t xml:space="preserve"> nějaký projekt</w:t>
            </w:r>
            <w:r w:rsidRPr="00826CDF">
              <w:rPr>
                <w:color w:val="000000"/>
                <w:sz w:val="12"/>
                <w:szCs w:val="12"/>
              </w:rPr>
              <w:t xml:space="preserve"> zaměřený na oblast rozvoje inteligentních energetických systémů, sítí a skladování na místní úrovni (decentralizované zdroje, snižování emisí, nové zdroje plynu,…)?</w:t>
            </w:r>
          </w:p>
        </w:tc>
        <w:tc>
          <w:tcPr>
            <w:tcW w:w="1764" w:type="pct"/>
            <w:vMerge/>
            <w:shd w:val="clear" w:color="auto" w:fill="auto"/>
          </w:tcPr>
          <w:p w14:paraId="4D836712" w14:textId="77777777" w:rsidR="004736A8" w:rsidRPr="00826CDF" w:rsidRDefault="004736A8" w:rsidP="004736A8">
            <w:p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vMerge/>
            <w:shd w:val="clear" w:color="auto" w:fill="auto"/>
          </w:tcPr>
          <w:p w14:paraId="45160983" w14:textId="77777777" w:rsidR="004736A8" w:rsidRPr="00826CDF" w:rsidRDefault="004736A8" w:rsidP="004736A8">
            <w:p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691BFF64" w14:textId="77777777" w:rsidTr="004736A8">
        <w:trPr>
          <w:trHeight w:val="6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00A57E94"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vMerge/>
            <w:shd w:val="clear" w:color="auto" w:fill="auto"/>
          </w:tcPr>
          <w:p w14:paraId="67F5A9A3"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1427" w:type="pct"/>
            <w:shd w:val="clear" w:color="auto" w:fill="auto"/>
          </w:tcPr>
          <w:p w14:paraId="5679C30F"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Realizoval/a jste, popř.</w:t>
            </w:r>
            <w:r w:rsidRPr="00826CDF">
              <w:rPr>
                <w:rFonts w:eastAsia="Times New Roman" w:cs="Calibri"/>
                <w:b/>
                <w:bCs/>
                <w:color w:val="000000"/>
                <w:sz w:val="12"/>
                <w:szCs w:val="12"/>
              </w:rPr>
              <w:t xml:space="preserve"> realizujete v současné době nebo plánujete realizovat</w:t>
            </w:r>
            <w:r w:rsidRPr="00826CDF">
              <w:rPr>
                <w:rFonts w:eastAsia="Times New Roman" w:cs="Calibri"/>
                <w:color w:val="000000"/>
                <w:sz w:val="12"/>
                <w:szCs w:val="12"/>
              </w:rPr>
              <w:t xml:space="preserve"> nějaký projekt</w:t>
            </w:r>
            <w:r w:rsidRPr="00826CDF">
              <w:rPr>
                <w:color w:val="000000"/>
                <w:sz w:val="12"/>
                <w:szCs w:val="12"/>
              </w:rPr>
              <w:t xml:space="preserve"> zaměřený na oblast posílení biologické rozmanitosti, zelené infrastruktury v městském prostředí a snížení znečištění (alternativní pohony vozidel, dobíjecí stanice,…)?</w:t>
            </w:r>
          </w:p>
        </w:tc>
        <w:tc>
          <w:tcPr>
            <w:tcW w:w="1764" w:type="pct"/>
            <w:vMerge/>
            <w:shd w:val="clear" w:color="auto" w:fill="auto"/>
          </w:tcPr>
          <w:p w14:paraId="183CEA86" w14:textId="77777777" w:rsidR="004736A8" w:rsidRPr="00826CDF" w:rsidRDefault="004736A8" w:rsidP="004736A8">
            <w:p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vMerge/>
            <w:shd w:val="clear" w:color="auto" w:fill="auto"/>
          </w:tcPr>
          <w:p w14:paraId="73FDC283" w14:textId="77777777" w:rsidR="004736A8" w:rsidRPr="00826CDF" w:rsidRDefault="004736A8" w:rsidP="004736A8">
            <w:p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4E133713" w14:textId="77777777" w:rsidTr="004736A8">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735" w:type="pct"/>
            <w:shd w:val="clear" w:color="auto" w:fill="auto"/>
          </w:tcPr>
          <w:p w14:paraId="72219D6E"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0EA179B4"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8</w:t>
            </w:r>
          </w:p>
        </w:tc>
        <w:tc>
          <w:tcPr>
            <w:tcW w:w="1427" w:type="pct"/>
            <w:shd w:val="clear" w:color="auto" w:fill="auto"/>
          </w:tcPr>
          <w:p w14:paraId="63C6A1DD"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rPr>
              <w:t>Jak vnímáte důležitost projektů posunu k nízkouhlíkovému hospodářství ve Vašem podniku ve srovnání s ostatními projekty?</w:t>
            </w:r>
          </w:p>
        </w:tc>
        <w:tc>
          <w:tcPr>
            <w:tcW w:w="1764" w:type="pct"/>
            <w:shd w:val="clear" w:color="auto" w:fill="auto"/>
          </w:tcPr>
          <w:p w14:paraId="563C9352" w14:textId="77777777" w:rsidR="004736A8" w:rsidRPr="00826CDF" w:rsidRDefault="004736A8" w:rsidP="004736A8">
            <w:pPr>
              <w:pStyle w:val="ListParagraph"/>
              <w:numPr>
                <w:ilvl w:val="0"/>
                <w:numId w:val="57"/>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Velmi důležitou</w:t>
            </w:r>
          </w:p>
          <w:p w14:paraId="6CEC8A2D" w14:textId="77777777" w:rsidR="004736A8" w:rsidRPr="00826CDF" w:rsidRDefault="004736A8" w:rsidP="004736A8">
            <w:pPr>
              <w:pStyle w:val="ListParagraph"/>
              <w:numPr>
                <w:ilvl w:val="0"/>
                <w:numId w:val="57"/>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Důležitou</w:t>
            </w:r>
          </w:p>
          <w:p w14:paraId="497DD4F0" w14:textId="77777777" w:rsidR="004736A8" w:rsidRPr="00826CDF" w:rsidRDefault="004736A8" w:rsidP="004736A8">
            <w:pPr>
              <w:pStyle w:val="ListParagraph"/>
              <w:numPr>
                <w:ilvl w:val="0"/>
                <w:numId w:val="57"/>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 xml:space="preserve">Méně důležitou </w:t>
            </w:r>
          </w:p>
          <w:p w14:paraId="7B5EC6F0" w14:textId="77777777" w:rsidR="004736A8" w:rsidRPr="00826CDF" w:rsidRDefault="004736A8" w:rsidP="004736A8">
            <w:pPr>
              <w:pStyle w:val="ListParagraph"/>
              <w:numPr>
                <w:ilvl w:val="0"/>
                <w:numId w:val="57"/>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Nedůležitou</w:t>
            </w:r>
          </w:p>
        </w:tc>
        <w:tc>
          <w:tcPr>
            <w:tcW w:w="798" w:type="pct"/>
            <w:shd w:val="clear" w:color="auto" w:fill="auto"/>
          </w:tcPr>
          <w:p w14:paraId="7E02D786" w14:textId="77777777" w:rsidR="004736A8" w:rsidRPr="00826CDF" w:rsidRDefault="004736A8" w:rsidP="004736A8">
            <w:pPr>
              <w:pStyle w:val="ListParagraph"/>
              <w:numPr>
                <w:ilvl w:val="0"/>
                <w:numId w:val="57"/>
              </w:numPr>
              <w:spacing w:after="0" w:line="240" w:lineRule="auto"/>
              <w:ind w:left="41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06EA7978" w14:textId="77777777" w:rsidTr="004736A8">
        <w:trPr>
          <w:trHeight w:val="1427"/>
        </w:trPr>
        <w:tc>
          <w:tcPr>
            <w:cnfStyle w:val="001000000000" w:firstRow="0" w:lastRow="0" w:firstColumn="1" w:lastColumn="0" w:oddVBand="0" w:evenVBand="0" w:oddHBand="0" w:evenHBand="0" w:firstRowFirstColumn="0" w:firstRowLastColumn="0" w:lastRowFirstColumn="0" w:lastRowLastColumn="0"/>
            <w:tcW w:w="735" w:type="pct"/>
            <w:shd w:val="clear" w:color="auto" w:fill="auto"/>
          </w:tcPr>
          <w:p w14:paraId="5234B66F"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4B4794B1"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9</w:t>
            </w:r>
          </w:p>
        </w:tc>
        <w:tc>
          <w:tcPr>
            <w:tcW w:w="1427" w:type="pct"/>
            <w:shd w:val="clear" w:color="auto" w:fill="auto"/>
          </w:tcPr>
          <w:p w14:paraId="14203860"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Co Vás motivuje k investicím v oblastech posunu k nízkouhlíkovému hospodářství?</w:t>
            </w:r>
          </w:p>
        </w:tc>
        <w:tc>
          <w:tcPr>
            <w:tcW w:w="1764" w:type="pct"/>
            <w:shd w:val="clear" w:color="auto" w:fill="auto"/>
          </w:tcPr>
          <w:p w14:paraId="331F67D5" w14:textId="77777777" w:rsidR="004736A8" w:rsidRPr="00826CDF" w:rsidRDefault="004736A8" w:rsidP="004736A8">
            <w:pPr>
              <w:pStyle w:val="ListParagraph"/>
              <w:numPr>
                <w:ilvl w:val="0"/>
                <w:numId w:val="57"/>
              </w:numPr>
              <w:ind w:left="36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Je to pro nás součást marketingu</w:t>
            </w:r>
          </w:p>
          <w:p w14:paraId="56DF2F9E" w14:textId="77777777" w:rsidR="004736A8" w:rsidRPr="00826CDF" w:rsidRDefault="004736A8" w:rsidP="004736A8">
            <w:pPr>
              <w:pStyle w:val="ListParagraph"/>
              <w:numPr>
                <w:ilvl w:val="0"/>
                <w:numId w:val="57"/>
              </w:numPr>
              <w:ind w:left="36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Je to součást naší společenské odpovědnosti</w:t>
            </w:r>
          </w:p>
          <w:p w14:paraId="4B32A70D" w14:textId="77777777" w:rsidR="004736A8" w:rsidRPr="00826CDF" w:rsidRDefault="004736A8" w:rsidP="004736A8">
            <w:pPr>
              <w:pStyle w:val="ListParagraph"/>
              <w:numPr>
                <w:ilvl w:val="0"/>
                <w:numId w:val="57"/>
              </w:numPr>
              <w:ind w:left="36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Jedná se pro nás o úsporu nákladů</w:t>
            </w:r>
          </w:p>
          <w:p w14:paraId="713F71B7" w14:textId="77777777" w:rsidR="004736A8" w:rsidRPr="00826CDF" w:rsidRDefault="004736A8" w:rsidP="004736A8">
            <w:pPr>
              <w:pStyle w:val="ListParagraph"/>
              <w:numPr>
                <w:ilvl w:val="0"/>
                <w:numId w:val="57"/>
              </w:numPr>
              <w:ind w:left="363"/>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Pokládáme to za zlepšování konkurenční výhody</w:t>
            </w:r>
          </w:p>
        </w:tc>
        <w:tc>
          <w:tcPr>
            <w:tcW w:w="798" w:type="pct"/>
            <w:shd w:val="clear" w:color="auto" w:fill="auto"/>
          </w:tcPr>
          <w:p w14:paraId="29FA6B13" w14:textId="77777777" w:rsidR="004736A8" w:rsidRPr="00826CDF" w:rsidRDefault="004736A8" w:rsidP="004736A8">
            <w:pPr>
              <w:pStyle w:val="ListParagraph"/>
              <w:numPr>
                <w:ilvl w:val="0"/>
                <w:numId w:val="57"/>
              </w:numPr>
              <w:spacing w:after="0" w:line="240" w:lineRule="auto"/>
              <w:ind w:left="417"/>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7C5F27F0" w14:textId="77777777" w:rsidTr="004736A8">
        <w:trPr>
          <w:cnfStyle w:val="000000100000" w:firstRow="0" w:lastRow="0" w:firstColumn="0" w:lastColumn="0" w:oddVBand="0" w:evenVBand="0" w:oddHBand="1" w:evenHBand="0" w:firstRowFirstColumn="0" w:firstRowLastColumn="0" w:lastRowFirstColumn="0" w:lastRowLastColumn="0"/>
          <w:trHeight w:val="299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6C42A198"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533E3C7A"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10</w:t>
            </w:r>
          </w:p>
        </w:tc>
        <w:tc>
          <w:tcPr>
            <w:tcW w:w="1427" w:type="pct"/>
            <w:shd w:val="clear" w:color="auto" w:fill="auto"/>
            <w:hideMark/>
          </w:tcPr>
          <w:p w14:paraId="15A302B1"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Pokud projekt, aktivity tohoto zaměření </w:t>
            </w:r>
            <w:r w:rsidRPr="00826CDF">
              <w:rPr>
                <w:rFonts w:eastAsia="Times New Roman" w:cs="Calibri"/>
                <w:b/>
                <w:color w:val="000000"/>
                <w:sz w:val="12"/>
                <w:szCs w:val="12"/>
              </w:rPr>
              <w:t>nerealizujete</w:t>
            </w:r>
            <w:r w:rsidRPr="00826CDF">
              <w:rPr>
                <w:rFonts w:eastAsia="Times New Roman" w:cs="Calibri"/>
                <w:color w:val="000000"/>
                <w:sz w:val="12"/>
                <w:szCs w:val="12"/>
              </w:rPr>
              <w:t xml:space="preserve">, neplánujete nebo se jej nedaří zrealizovat, </w:t>
            </w:r>
            <w:r w:rsidRPr="00826CDF">
              <w:rPr>
                <w:rFonts w:eastAsia="Times New Roman" w:cs="Calibri"/>
                <w:b/>
                <w:color w:val="000000"/>
                <w:sz w:val="12"/>
                <w:szCs w:val="12"/>
              </w:rPr>
              <w:t>z jakého důvodu</w:t>
            </w:r>
            <w:r w:rsidRPr="00826CDF">
              <w:rPr>
                <w:rFonts w:eastAsia="Times New Roman" w:cs="Calibri"/>
                <w:color w:val="000000"/>
                <w:sz w:val="12"/>
                <w:szCs w:val="12"/>
              </w:rPr>
              <w:t>?</w:t>
            </w:r>
          </w:p>
        </w:tc>
        <w:tc>
          <w:tcPr>
            <w:tcW w:w="1764" w:type="pct"/>
            <w:shd w:val="clear" w:color="auto" w:fill="auto"/>
            <w:hideMark/>
          </w:tcPr>
          <w:p w14:paraId="29AB0922"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 projektu jsme zatím neuvažovali</w:t>
            </w:r>
          </w:p>
          <w:p w14:paraId="218A261C"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Nemáme zpracovaný projekt</w:t>
            </w:r>
          </w:p>
          <w:p w14:paraId="4BE4C1F5"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Projekt je pro nás nerentabilní/má příliš dlouhou dobu návratnosti</w:t>
            </w:r>
          </w:p>
          <w:p w14:paraId="21F1C047"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Nevíme o možnosti získat podporu pro tento typ projektu</w:t>
            </w:r>
          </w:p>
          <w:p w14:paraId="526A2953"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Z důvodu legislativních anebo regulatorních omezení (např. stavební povolení, ochrana životního prostředí apod.)</w:t>
            </w:r>
          </w:p>
          <w:p w14:paraId="4DC04492" w14:textId="77777777" w:rsidR="004736A8" w:rsidRPr="00826CDF" w:rsidRDefault="004736A8" w:rsidP="004736A8">
            <w:pPr>
              <w:pStyle w:val="ListParagraph"/>
              <w:numPr>
                <w:ilvl w:val="0"/>
                <w:numId w:val="44"/>
              </w:numPr>
              <w:spacing w:after="0" w:line="240" w:lineRule="auto"/>
              <w:ind w:left="36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Nemáme prostor se projektu věnovat</w:t>
            </w:r>
          </w:p>
          <w:p w14:paraId="641372B3"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Nemáme dostatek vlastních finančních prostředků</w:t>
            </w:r>
          </w:p>
          <w:p w14:paraId="592418D0"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Nebyl nám poskytnut bankovní úvěr nebo záruka</w:t>
            </w:r>
          </w:p>
          <w:p w14:paraId="58D8D0F5"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Finanční prostředky nejsou v regionu dostupné</w:t>
            </w:r>
          </w:p>
          <w:p w14:paraId="10D52857"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Není/nebylo možné čerpat dotační podporu</w:t>
            </w:r>
          </w:p>
          <w:p w14:paraId="5C794335"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Čekáme na zavedení podpory</w:t>
            </w:r>
          </w:p>
          <w:p w14:paraId="33142B89" w14:textId="77777777" w:rsidR="004736A8" w:rsidRPr="00826CDF" w:rsidRDefault="004736A8" w:rsidP="004736A8">
            <w:pPr>
              <w:pStyle w:val="ListParagraph"/>
              <w:numPr>
                <w:ilvl w:val="0"/>
                <w:numId w:val="44"/>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 ...............</w:t>
            </w:r>
          </w:p>
        </w:tc>
        <w:tc>
          <w:tcPr>
            <w:tcW w:w="798" w:type="pct"/>
            <w:shd w:val="clear" w:color="auto" w:fill="auto"/>
          </w:tcPr>
          <w:p w14:paraId="27D6F419" w14:textId="77777777" w:rsidR="004736A8" w:rsidRPr="00826CDF" w:rsidRDefault="004736A8" w:rsidP="004736A8">
            <w:pPr>
              <w:pStyle w:val="ListParagraph"/>
              <w:numPr>
                <w:ilvl w:val="0"/>
                <w:numId w:val="44"/>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7737BD82" w14:textId="77777777" w:rsidTr="004736A8">
        <w:trPr>
          <w:trHeight w:val="115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698C1F9E"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3FA5CCEF"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11</w:t>
            </w:r>
          </w:p>
        </w:tc>
        <w:tc>
          <w:tcPr>
            <w:tcW w:w="1427" w:type="pct"/>
            <w:shd w:val="clear" w:color="auto" w:fill="auto"/>
            <w:hideMark/>
          </w:tcPr>
          <w:p w14:paraId="56B3D32D"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Pokud realizujete, nebo plánujete realizovat, </w:t>
            </w:r>
            <w:r w:rsidRPr="00826CDF">
              <w:rPr>
                <w:rFonts w:eastAsia="Times New Roman" w:cs="Calibri"/>
                <w:b/>
                <w:color w:val="000000"/>
                <w:sz w:val="12"/>
                <w:szCs w:val="12"/>
              </w:rPr>
              <w:t>jaký je zhruba finanční rozpočet projektu</w:t>
            </w:r>
            <w:r w:rsidRPr="00826CDF">
              <w:rPr>
                <w:rFonts w:eastAsia="Times New Roman" w:cs="Calibri"/>
                <w:color w:val="000000"/>
                <w:sz w:val="12"/>
                <w:szCs w:val="12"/>
              </w:rPr>
              <w:t xml:space="preserve">? </w:t>
            </w:r>
          </w:p>
        </w:tc>
        <w:tc>
          <w:tcPr>
            <w:tcW w:w="1764" w:type="pct"/>
            <w:shd w:val="clear" w:color="auto" w:fill="auto"/>
            <w:hideMark/>
          </w:tcPr>
          <w:p w14:paraId="4BB943D5" w14:textId="77777777" w:rsidR="004736A8" w:rsidRPr="00826CDF" w:rsidRDefault="004736A8" w:rsidP="004736A8">
            <w:pPr>
              <w:pStyle w:val="ListParagraph"/>
              <w:numPr>
                <w:ilvl w:val="0"/>
                <w:numId w:val="45"/>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 1 mil. Kč</w:t>
            </w:r>
          </w:p>
          <w:p w14:paraId="1D6C1E18" w14:textId="77777777" w:rsidR="004736A8" w:rsidRPr="00826CDF" w:rsidRDefault="004736A8" w:rsidP="004736A8">
            <w:pPr>
              <w:pStyle w:val="ListParagraph"/>
              <w:numPr>
                <w:ilvl w:val="0"/>
                <w:numId w:val="45"/>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 5 mil. Kč</w:t>
            </w:r>
          </w:p>
          <w:p w14:paraId="57CB3EC8" w14:textId="77777777" w:rsidR="004736A8" w:rsidRPr="00826CDF" w:rsidRDefault="004736A8" w:rsidP="004736A8">
            <w:pPr>
              <w:pStyle w:val="ListParagraph"/>
              <w:numPr>
                <w:ilvl w:val="0"/>
                <w:numId w:val="45"/>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 10 mil. Kč</w:t>
            </w:r>
          </w:p>
          <w:p w14:paraId="2B34641C" w14:textId="77777777" w:rsidR="004736A8" w:rsidRPr="00826CDF" w:rsidRDefault="004736A8" w:rsidP="004736A8">
            <w:pPr>
              <w:pStyle w:val="ListParagraph"/>
              <w:numPr>
                <w:ilvl w:val="0"/>
                <w:numId w:val="45"/>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 50 mil. Kč</w:t>
            </w:r>
          </w:p>
          <w:p w14:paraId="13F15DC4" w14:textId="77777777" w:rsidR="004736A8" w:rsidRPr="00826CDF" w:rsidRDefault="004736A8" w:rsidP="004736A8">
            <w:pPr>
              <w:pStyle w:val="ListParagraph"/>
              <w:numPr>
                <w:ilvl w:val="0"/>
                <w:numId w:val="45"/>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Nad 50 mil. Kč</w:t>
            </w:r>
          </w:p>
        </w:tc>
        <w:tc>
          <w:tcPr>
            <w:tcW w:w="798" w:type="pct"/>
            <w:shd w:val="clear" w:color="auto" w:fill="auto"/>
          </w:tcPr>
          <w:p w14:paraId="2DA6E8A5" w14:textId="77777777" w:rsidR="004736A8" w:rsidRPr="00826CDF" w:rsidRDefault="004736A8" w:rsidP="004736A8">
            <w:pPr>
              <w:pStyle w:val="ListParagraph"/>
              <w:numPr>
                <w:ilvl w:val="0"/>
                <w:numId w:val="45"/>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1D3F3409" w14:textId="77777777" w:rsidTr="004736A8">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tcPr>
          <w:p w14:paraId="306E0D94"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090BA93B"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12</w:t>
            </w:r>
          </w:p>
        </w:tc>
        <w:tc>
          <w:tcPr>
            <w:tcW w:w="1427" w:type="pct"/>
            <w:shd w:val="clear" w:color="auto" w:fill="auto"/>
          </w:tcPr>
          <w:p w14:paraId="1F67F455"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Jaká je předpokládaná návratnost vašeho projektu?</w:t>
            </w:r>
          </w:p>
        </w:tc>
        <w:tc>
          <w:tcPr>
            <w:tcW w:w="1764" w:type="pct"/>
            <w:shd w:val="clear" w:color="auto" w:fill="auto"/>
          </w:tcPr>
          <w:p w14:paraId="721527AF" w14:textId="77777777" w:rsidR="004736A8" w:rsidRPr="00826CDF" w:rsidRDefault="004736A8" w:rsidP="004736A8">
            <w:pPr>
              <w:pStyle w:val="ListParagraph"/>
              <w:numPr>
                <w:ilvl w:val="0"/>
                <w:numId w:val="4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3-4 roky</w:t>
            </w:r>
          </w:p>
          <w:p w14:paraId="30A0575E" w14:textId="77777777" w:rsidR="004736A8" w:rsidRPr="00826CDF" w:rsidRDefault="004736A8" w:rsidP="004736A8">
            <w:pPr>
              <w:pStyle w:val="ListParagraph"/>
              <w:numPr>
                <w:ilvl w:val="0"/>
                <w:numId w:val="4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5-6 let</w:t>
            </w:r>
          </w:p>
          <w:p w14:paraId="12446F1E" w14:textId="77777777" w:rsidR="004736A8" w:rsidRPr="00826CDF" w:rsidRDefault="004736A8" w:rsidP="004736A8">
            <w:pPr>
              <w:pStyle w:val="ListParagraph"/>
              <w:numPr>
                <w:ilvl w:val="0"/>
                <w:numId w:val="4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7-8 let</w:t>
            </w:r>
          </w:p>
          <w:p w14:paraId="66678DB0" w14:textId="77777777" w:rsidR="004736A8" w:rsidRPr="00826CDF" w:rsidRDefault="004736A8" w:rsidP="004736A8">
            <w:pPr>
              <w:pStyle w:val="ListParagraph"/>
              <w:numPr>
                <w:ilvl w:val="0"/>
                <w:numId w:val="4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9-12 let</w:t>
            </w:r>
          </w:p>
          <w:p w14:paraId="2DB39731" w14:textId="77777777" w:rsidR="004736A8" w:rsidRPr="00826CDF" w:rsidRDefault="004736A8" w:rsidP="004736A8">
            <w:pPr>
              <w:pStyle w:val="ListParagraph"/>
              <w:numPr>
                <w:ilvl w:val="0"/>
                <w:numId w:val="4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12-15 let</w:t>
            </w:r>
          </w:p>
          <w:p w14:paraId="5DBC0F1C" w14:textId="77777777" w:rsidR="004736A8" w:rsidRPr="00826CDF" w:rsidRDefault="004736A8" w:rsidP="004736A8">
            <w:pPr>
              <w:pStyle w:val="ListParagraph"/>
              <w:numPr>
                <w:ilvl w:val="0"/>
                <w:numId w:val="45"/>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Více než 15 let</w:t>
            </w:r>
          </w:p>
        </w:tc>
        <w:tc>
          <w:tcPr>
            <w:tcW w:w="798" w:type="pct"/>
            <w:shd w:val="clear" w:color="auto" w:fill="auto"/>
          </w:tcPr>
          <w:p w14:paraId="129C9CFC" w14:textId="77777777" w:rsidR="004736A8" w:rsidRPr="00826CDF" w:rsidRDefault="004736A8" w:rsidP="004736A8">
            <w:pPr>
              <w:pStyle w:val="ListParagraph"/>
              <w:numPr>
                <w:ilvl w:val="0"/>
                <w:numId w:val="45"/>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jedné možnosti</w:t>
            </w:r>
          </w:p>
        </w:tc>
      </w:tr>
      <w:tr w:rsidR="004736A8" w:rsidRPr="004736A8" w14:paraId="17A02513" w14:textId="77777777" w:rsidTr="004736A8">
        <w:trPr>
          <w:trHeight w:val="3857"/>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1CBBF17F"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712C5FC3"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13</w:t>
            </w:r>
          </w:p>
        </w:tc>
        <w:tc>
          <w:tcPr>
            <w:tcW w:w="1427" w:type="pct"/>
            <w:shd w:val="clear" w:color="auto" w:fill="auto"/>
            <w:hideMark/>
          </w:tcPr>
          <w:p w14:paraId="4E62B8BF"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
                <w:bCs/>
                <w:color w:val="000000"/>
                <w:sz w:val="12"/>
                <w:szCs w:val="12"/>
              </w:rPr>
              <w:t>Jaké finanční zdroje</w:t>
            </w:r>
            <w:r w:rsidRPr="00826CDF">
              <w:rPr>
                <w:rFonts w:eastAsia="Times New Roman" w:cs="Calibri"/>
                <w:color w:val="000000"/>
                <w:sz w:val="12"/>
                <w:szCs w:val="12"/>
              </w:rPr>
              <w:t xml:space="preserve"> </w:t>
            </w:r>
            <w:r w:rsidRPr="00826CDF">
              <w:rPr>
                <w:rFonts w:eastAsia="Times New Roman" w:cs="Calibri"/>
                <w:b/>
                <w:bCs/>
                <w:color w:val="000000"/>
                <w:sz w:val="12"/>
                <w:szCs w:val="12"/>
              </w:rPr>
              <w:t>využíváte nebo hodláte využít těchto / svých</w:t>
            </w:r>
            <w:r w:rsidRPr="00826CDF">
              <w:rPr>
                <w:rFonts w:eastAsia="Times New Roman" w:cs="Calibri"/>
                <w:color w:val="000000"/>
                <w:sz w:val="12"/>
                <w:szCs w:val="12"/>
              </w:rPr>
              <w:t xml:space="preserve"> projektů?</w:t>
            </w:r>
          </w:p>
        </w:tc>
        <w:tc>
          <w:tcPr>
            <w:tcW w:w="1764" w:type="pct"/>
            <w:shd w:val="clear" w:color="auto" w:fill="auto"/>
            <w:hideMark/>
          </w:tcPr>
          <w:p w14:paraId="3C56496F"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Vlastní prostředky</w:t>
            </w:r>
          </w:p>
          <w:p w14:paraId="554BFD31"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Evropské dotace</w:t>
            </w:r>
          </w:p>
          <w:p w14:paraId="5F3D20C8"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Národní dotace</w:t>
            </w:r>
          </w:p>
          <w:p w14:paraId="471F8CA5"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Běžný bankovní investiční úvěr</w:t>
            </w:r>
          </w:p>
          <w:p w14:paraId="206376AD"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Zvýhodněný bankovní úvěr (např. s úrokovým zvýhodněním, odloženou splátkou apod., poskytovanými ČMZRB,  EIB,  nebo komerčními bankami.)</w:t>
            </w:r>
          </w:p>
          <w:p w14:paraId="22CC916F"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Poskytnutí záruky (např. od ČMZRB)</w:t>
            </w:r>
          </w:p>
          <w:p w14:paraId="1CF406D9"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Kombinace dotace a zvýhodněného úvěru, záruky Nebankovní podnikatelský úvěr</w:t>
            </w:r>
          </w:p>
          <w:p w14:paraId="58B77D29"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Finanční leasing</w:t>
            </w:r>
          </w:p>
          <w:p w14:paraId="12496EEE"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Operativní leasing</w:t>
            </w:r>
          </w:p>
          <w:p w14:paraId="26315C8E"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Bankovní záruky</w:t>
            </w:r>
          </w:p>
          <w:p w14:paraId="4EB880FC"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Kapitálové investice</w:t>
            </w:r>
            <w:r w:rsidRPr="00826CDF">
              <w:rPr>
                <w:rFonts w:eastAsia="Times New Roman" w:cs="Calibri"/>
                <w:color w:val="000000"/>
                <w:sz w:val="12"/>
                <w:szCs w:val="12"/>
              </w:rPr>
              <w:br/>
              <w:t>…</w:t>
            </w:r>
          </w:p>
          <w:p w14:paraId="173935BE" w14:textId="77777777" w:rsidR="004736A8" w:rsidRPr="00826CDF" w:rsidRDefault="004736A8" w:rsidP="004736A8">
            <w:pPr>
              <w:pStyle w:val="ListParagraph"/>
              <w:numPr>
                <w:ilvl w:val="0"/>
                <w:numId w:val="4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 prosím uveďte:</w:t>
            </w:r>
          </w:p>
        </w:tc>
        <w:tc>
          <w:tcPr>
            <w:tcW w:w="798" w:type="pct"/>
            <w:shd w:val="clear" w:color="auto" w:fill="auto"/>
          </w:tcPr>
          <w:p w14:paraId="08CF669C" w14:textId="77777777" w:rsidR="004736A8" w:rsidRPr="00826CDF" w:rsidRDefault="004736A8" w:rsidP="004736A8">
            <w:pPr>
              <w:pStyle w:val="ListParagraph"/>
              <w:numPr>
                <w:ilvl w:val="0"/>
                <w:numId w:val="41"/>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52335837" w14:textId="77777777" w:rsidTr="004736A8">
        <w:trPr>
          <w:cnfStyle w:val="000000100000" w:firstRow="0" w:lastRow="0" w:firstColumn="0" w:lastColumn="0" w:oddVBand="0" w:evenVBand="0" w:oddHBand="1"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75BAF86E"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20D98C73"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14</w:t>
            </w:r>
          </w:p>
        </w:tc>
        <w:tc>
          <w:tcPr>
            <w:tcW w:w="1427" w:type="pct"/>
            <w:shd w:val="clear" w:color="auto" w:fill="auto"/>
            <w:hideMark/>
          </w:tcPr>
          <w:p w14:paraId="54EDCE40"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Jak hodnotíte </w:t>
            </w:r>
            <w:r w:rsidRPr="00826CDF">
              <w:rPr>
                <w:rFonts w:eastAsia="Times New Roman" w:cs="Calibri"/>
                <w:b/>
                <w:bCs/>
                <w:color w:val="000000"/>
                <w:sz w:val="12"/>
                <w:szCs w:val="12"/>
              </w:rPr>
              <w:t>dostupnost komerčního financování</w:t>
            </w:r>
            <w:r w:rsidRPr="00826CDF">
              <w:rPr>
                <w:rFonts w:eastAsia="Times New Roman" w:cs="Calibri"/>
                <w:color w:val="000000"/>
                <w:sz w:val="12"/>
                <w:szCs w:val="12"/>
              </w:rPr>
              <w:t xml:space="preserve"> svých projektů tohoto typu? </w:t>
            </w:r>
          </w:p>
        </w:tc>
        <w:tc>
          <w:tcPr>
            <w:tcW w:w="1764" w:type="pct"/>
            <w:shd w:val="clear" w:color="auto" w:fill="auto"/>
            <w:hideMark/>
          </w:tcPr>
          <w:p w14:paraId="420E491D" w14:textId="77777777" w:rsidR="004736A8" w:rsidRPr="00826CDF" w:rsidRDefault="004736A8" w:rsidP="004736A8">
            <w:pPr>
              <w:pStyle w:val="ListParagraph"/>
              <w:numPr>
                <w:ilvl w:val="0"/>
                <w:numId w:val="46"/>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Nedostupné (byli jsme se žádostí odmítnuti – nesplnili jsme požadavky vůbec)</w:t>
            </w:r>
          </w:p>
          <w:p w14:paraId="3917AB89" w14:textId="77777777" w:rsidR="004736A8" w:rsidRPr="00826CDF" w:rsidRDefault="004736A8" w:rsidP="004736A8">
            <w:pPr>
              <w:pStyle w:val="ListParagraph"/>
              <w:numPr>
                <w:ilvl w:val="0"/>
                <w:numId w:val="46"/>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Dostupné s obtížemi (měli jsme problém naplnit požadavky banky v oblasti risk skóringu atd.)</w:t>
            </w:r>
          </w:p>
          <w:p w14:paraId="5C1C83FB" w14:textId="77777777" w:rsidR="004736A8" w:rsidRPr="00826CDF" w:rsidRDefault="004736A8" w:rsidP="004736A8">
            <w:pPr>
              <w:pStyle w:val="ListParagraph"/>
              <w:numPr>
                <w:ilvl w:val="0"/>
                <w:numId w:val="46"/>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Dobře dostupné (dostali jsme financování, jak jsme potřebovali)</w:t>
            </w:r>
          </w:p>
          <w:p w14:paraId="4D000C86" w14:textId="77777777" w:rsidR="004736A8" w:rsidRPr="00826CDF" w:rsidRDefault="004736A8" w:rsidP="004736A8">
            <w:pPr>
              <w:pStyle w:val="ListParagraph"/>
              <w:numPr>
                <w:ilvl w:val="0"/>
                <w:numId w:val="46"/>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Nemáme konkrétní představu</w:t>
            </w:r>
          </w:p>
          <w:p w14:paraId="15ED5071" w14:textId="77777777" w:rsidR="004736A8" w:rsidRPr="00826CDF" w:rsidRDefault="004736A8" w:rsidP="004736A8">
            <w:pPr>
              <w:pStyle w:val="ListParagraph"/>
              <w:numPr>
                <w:ilvl w:val="0"/>
                <w:numId w:val="46"/>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Komerční financování nevyužíváme (máme vlastní zdroje)</w:t>
            </w:r>
          </w:p>
          <w:p w14:paraId="4C33B7C5" w14:textId="77777777" w:rsidR="004736A8" w:rsidRPr="00826CDF" w:rsidRDefault="004736A8" w:rsidP="004736A8">
            <w:pPr>
              <w:pStyle w:val="ListParagraph"/>
              <w:numPr>
                <w:ilvl w:val="0"/>
                <w:numId w:val="46"/>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Tento typ projektu nelze financovat z komerčních zdrojů (odmítnutí bankou kvůli charakteru projektu, ne požadavkům na žadatelský subjekt)</w:t>
            </w:r>
          </w:p>
        </w:tc>
        <w:tc>
          <w:tcPr>
            <w:tcW w:w="798" w:type="pct"/>
            <w:shd w:val="clear" w:color="auto" w:fill="auto"/>
          </w:tcPr>
          <w:p w14:paraId="771DEDA9" w14:textId="77777777" w:rsidR="004736A8" w:rsidRPr="00826CDF" w:rsidRDefault="004736A8" w:rsidP="004736A8">
            <w:pPr>
              <w:pStyle w:val="ListParagraph"/>
              <w:numPr>
                <w:ilvl w:val="0"/>
                <w:numId w:val="46"/>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0C34FB1C" w14:textId="77777777" w:rsidTr="004736A8">
        <w:trPr>
          <w:trHeight w:val="301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16CC1E82"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2FBB239D"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15</w:t>
            </w:r>
          </w:p>
        </w:tc>
        <w:tc>
          <w:tcPr>
            <w:tcW w:w="1427" w:type="pct"/>
            <w:shd w:val="clear" w:color="auto" w:fill="auto"/>
            <w:hideMark/>
          </w:tcPr>
          <w:p w14:paraId="39521554"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Ve </w:t>
            </w:r>
            <w:r w:rsidRPr="00826CDF">
              <w:rPr>
                <w:rFonts w:eastAsia="Times New Roman" w:cs="Calibri"/>
                <w:b/>
                <w:color w:val="000000"/>
                <w:sz w:val="12"/>
                <w:szCs w:val="12"/>
              </w:rPr>
              <w:t>kterých z uvedených oblastí</w:t>
            </w:r>
            <w:r w:rsidRPr="00826CDF">
              <w:rPr>
                <w:rFonts w:eastAsia="Times New Roman" w:cs="Calibri"/>
                <w:color w:val="000000"/>
                <w:sz w:val="12"/>
                <w:szCs w:val="12"/>
              </w:rPr>
              <w:t xml:space="preserve"> je komerční financování méně nebo zcela nedostupné?</w:t>
            </w:r>
          </w:p>
        </w:tc>
        <w:tc>
          <w:tcPr>
            <w:tcW w:w="1764" w:type="pct"/>
            <w:shd w:val="clear" w:color="auto" w:fill="auto"/>
            <w:hideMark/>
          </w:tcPr>
          <w:p w14:paraId="1D090272" w14:textId="77777777" w:rsidR="004736A8" w:rsidRPr="00826CDF" w:rsidRDefault="004736A8" w:rsidP="004736A8">
            <w:pPr>
              <w:pStyle w:val="ListParagraph"/>
              <w:numPr>
                <w:ilvl w:val="0"/>
                <w:numId w:val="47"/>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Komerční financování je nedostupné ve všech oblastech</w:t>
            </w:r>
          </w:p>
          <w:p w14:paraId="7DAF9B76" w14:textId="77777777" w:rsidR="004736A8" w:rsidRPr="00826CDF" w:rsidRDefault="004736A8" w:rsidP="004736A8">
            <w:pPr>
              <w:pStyle w:val="ListParagraph"/>
              <w:numPr>
                <w:ilvl w:val="0"/>
                <w:numId w:val="47"/>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Komerční financování je dostupné ve všech oblastech</w:t>
            </w:r>
          </w:p>
          <w:p w14:paraId="54EC0C15" w14:textId="77777777" w:rsidR="004736A8" w:rsidRPr="00826CDF" w:rsidRDefault="004736A8" w:rsidP="004736A8">
            <w:pPr>
              <w:pStyle w:val="ListParagraph"/>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posunu k nízkouhlíkovému hospodářství</w:t>
            </w:r>
          </w:p>
          <w:p w14:paraId="7E98522C"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rPr>
              <w:t>Oblast energetické účinnosti</w:t>
            </w:r>
          </w:p>
          <w:p w14:paraId="34956C4E"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lang w:val="de-DE"/>
              </w:rPr>
              <w:t xml:space="preserve">Oblast </w:t>
            </w:r>
            <w:r w:rsidRPr="00826CDF">
              <w:rPr>
                <w:sz w:val="12"/>
                <w:szCs w:val="12"/>
                <w:lang w:val="de-DE"/>
              </w:rPr>
              <w:t>energie z obnovitelných zdrojů</w:t>
            </w:r>
          </w:p>
          <w:p w14:paraId="6368ABCC"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color w:val="000000"/>
                <w:sz w:val="12"/>
                <w:szCs w:val="12"/>
              </w:rPr>
              <w:t>Oblast rozvoje inteligentních energetických systémů, sítí a skladování na místní úrovni</w:t>
            </w:r>
          </w:p>
          <w:p w14:paraId="4193AB8B" w14:textId="77777777" w:rsidR="004736A8" w:rsidRPr="00826CDF" w:rsidRDefault="004736A8" w:rsidP="004736A8">
            <w:pPr>
              <w:pStyle w:val="ListParagraph"/>
              <w:numPr>
                <w:ilvl w:val="0"/>
                <w:numId w:val="43"/>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826CDF">
              <w:rPr>
                <w:color w:val="000000"/>
                <w:sz w:val="12"/>
                <w:szCs w:val="12"/>
              </w:rPr>
              <w:t>Oblast posílení biologické rozmanitosti, zelené infrastruktury v městském prostředí a snížení znečištění</w:t>
            </w:r>
          </w:p>
        </w:tc>
        <w:tc>
          <w:tcPr>
            <w:tcW w:w="798" w:type="pct"/>
            <w:shd w:val="clear" w:color="auto" w:fill="auto"/>
          </w:tcPr>
          <w:p w14:paraId="5928C5B1" w14:textId="77777777" w:rsidR="004736A8" w:rsidRPr="00826CDF" w:rsidRDefault="004736A8" w:rsidP="004736A8">
            <w:pPr>
              <w:pStyle w:val="ListParagraph"/>
              <w:numPr>
                <w:ilvl w:val="0"/>
                <w:numId w:val="47"/>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6C7FDBBB" w14:textId="77777777" w:rsidTr="004736A8">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6792128C"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69DE7998"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16</w:t>
            </w:r>
          </w:p>
        </w:tc>
        <w:tc>
          <w:tcPr>
            <w:tcW w:w="1427" w:type="pct"/>
            <w:shd w:val="clear" w:color="auto" w:fill="auto"/>
            <w:hideMark/>
          </w:tcPr>
          <w:p w14:paraId="16EBBC46"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Jak hodnotíte</w:t>
            </w:r>
            <w:r w:rsidRPr="00826CDF">
              <w:rPr>
                <w:rFonts w:eastAsia="Times New Roman" w:cs="Calibri"/>
                <w:b/>
                <w:bCs/>
                <w:color w:val="000000"/>
                <w:sz w:val="12"/>
                <w:szCs w:val="12"/>
              </w:rPr>
              <w:t xml:space="preserve"> dostupnost dotačního financování </w:t>
            </w:r>
            <w:r w:rsidRPr="00826CDF">
              <w:rPr>
                <w:rFonts w:eastAsia="Times New Roman" w:cs="Calibri"/>
                <w:color w:val="000000"/>
                <w:sz w:val="12"/>
                <w:szCs w:val="12"/>
              </w:rPr>
              <w:t xml:space="preserve">svých projektů tohoto typu? </w:t>
            </w:r>
          </w:p>
        </w:tc>
        <w:tc>
          <w:tcPr>
            <w:tcW w:w="1764" w:type="pct"/>
            <w:shd w:val="clear" w:color="auto" w:fill="auto"/>
            <w:hideMark/>
          </w:tcPr>
          <w:p w14:paraId="6CA28D2A" w14:textId="77777777" w:rsidR="004736A8" w:rsidRPr="00826CDF" w:rsidRDefault="004736A8" w:rsidP="004736A8">
            <w:pPr>
              <w:pStyle w:val="ListParagraph"/>
              <w:numPr>
                <w:ilvl w:val="0"/>
                <w:numId w:val="48"/>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Nedostupné (nejsou programy na národní úrovni, ani úrovni EU)</w:t>
            </w:r>
          </w:p>
          <w:p w14:paraId="330E65E4" w14:textId="77777777" w:rsidR="004736A8" w:rsidRPr="00826CDF" w:rsidRDefault="004736A8" w:rsidP="004736A8">
            <w:pPr>
              <w:pStyle w:val="ListParagraph"/>
              <w:numPr>
                <w:ilvl w:val="0"/>
                <w:numId w:val="48"/>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Dostupné s obtížemi (administrativní náročnost, dlouhá doba hodnocení projektů, změny podmínek)</w:t>
            </w:r>
          </w:p>
          <w:p w14:paraId="4A67A961" w14:textId="77777777" w:rsidR="004736A8" w:rsidRPr="00826CDF" w:rsidRDefault="004736A8" w:rsidP="004736A8">
            <w:pPr>
              <w:pStyle w:val="ListParagraph"/>
              <w:numPr>
                <w:ilvl w:val="0"/>
                <w:numId w:val="48"/>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Dobře dostupné (dotaci z národních nebo EU programů jsme získali bez problémů)</w:t>
            </w:r>
          </w:p>
          <w:p w14:paraId="05D9C802" w14:textId="77777777" w:rsidR="004736A8" w:rsidRPr="00826CDF" w:rsidRDefault="004736A8" w:rsidP="004736A8">
            <w:pPr>
              <w:pStyle w:val="ListParagraph"/>
              <w:numPr>
                <w:ilvl w:val="0"/>
                <w:numId w:val="48"/>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Dostupné, ale nejsou potřeba (poradili bychom si a realizovali projekt i bez dotace)</w:t>
            </w:r>
          </w:p>
          <w:p w14:paraId="0EDA9912" w14:textId="77777777" w:rsidR="004736A8" w:rsidRPr="00826CDF" w:rsidRDefault="004736A8" w:rsidP="004736A8">
            <w:pPr>
              <w:pStyle w:val="ListParagraph"/>
              <w:numPr>
                <w:ilvl w:val="0"/>
                <w:numId w:val="48"/>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Nemáme konkrétní představu</w:t>
            </w:r>
          </w:p>
          <w:p w14:paraId="732EFEAF" w14:textId="77777777" w:rsidR="004736A8" w:rsidRPr="00826CDF" w:rsidRDefault="004736A8" w:rsidP="004736A8">
            <w:pPr>
              <w:pStyle w:val="ListParagraph"/>
              <w:numPr>
                <w:ilvl w:val="0"/>
                <w:numId w:val="48"/>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Dotační financování nevyužíváme </w:t>
            </w:r>
          </w:p>
        </w:tc>
        <w:tc>
          <w:tcPr>
            <w:tcW w:w="798" w:type="pct"/>
            <w:shd w:val="clear" w:color="auto" w:fill="auto"/>
          </w:tcPr>
          <w:p w14:paraId="6CED73C9" w14:textId="77777777" w:rsidR="004736A8" w:rsidRPr="00826CDF" w:rsidRDefault="004736A8" w:rsidP="004736A8">
            <w:pPr>
              <w:pStyle w:val="ListParagraph"/>
              <w:numPr>
                <w:ilvl w:val="0"/>
                <w:numId w:val="48"/>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56CD518F" w14:textId="77777777" w:rsidTr="004736A8">
        <w:trPr>
          <w:trHeight w:val="69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001D7C9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06405BE2"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17</w:t>
            </w:r>
          </w:p>
        </w:tc>
        <w:tc>
          <w:tcPr>
            <w:tcW w:w="1427" w:type="pct"/>
            <w:shd w:val="clear" w:color="auto" w:fill="auto"/>
            <w:hideMark/>
          </w:tcPr>
          <w:p w14:paraId="6E11B016"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Jaké </w:t>
            </w:r>
            <w:r w:rsidRPr="00826CDF">
              <w:rPr>
                <w:rFonts w:eastAsia="Times New Roman" w:cs="Calibri"/>
                <w:b/>
                <w:bCs/>
                <w:color w:val="000000"/>
                <w:sz w:val="12"/>
                <w:szCs w:val="12"/>
              </w:rPr>
              <w:t>jiné/další zdroje financování</w:t>
            </w:r>
            <w:r w:rsidRPr="00826CDF">
              <w:rPr>
                <w:rFonts w:eastAsia="Times New Roman" w:cs="Calibri"/>
                <w:color w:val="000000"/>
                <w:sz w:val="12"/>
                <w:szCs w:val="12"/>
              </w:rPr>
              <w:t xml:space="preserve"> byste rád/a využil/a pro svůj projekt, ale z různých důvodů to pro vás není možné?</w:t>
            </w:r>
          </w:p>
        </w:tc>
        <w:tc>
          <w:tcPr>
            <w:tcW w:w="1764" w:type="pct"/>
            <w:shd w:val="clear" w:color="auto" w:fill="auto"/>
            <w:hideMark/>
          </w:tcPr>
          <w:p w14:paraId="379D330A" w14:textId="77777777" w:rsidR="004736A8" w:rsidRPr="00826CDF" w:rsidRDefault="004736A8" w:rsidP="004736A8">
            <w:p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Otevřená otázka – nejsme schopni vyjmenovat všechny. </w:t>
            </w:r>
          </w:p>
        </w:tc>
        <w:tc>
          <w:tcPr>
            <w:tcW w:w="798" w:type="pct"/>
            <w:shd w:val="clear" w:color="auto" w:fill="auto"/>
          </w:tcPr>
          <w:p w14:paraId="24BBE1AC" w14:textId="77777777" w:rsidR="004736A8" w:rsidRPr="00826CDF" w:rsidRDefault="004736A8" w:rsidP="004736A8">
            <w:pPr>
              <w:pStyle w:val="ListParagraph"/>
              <w:numPr>
                <w:ilvl w:val="0"/>
                <w:numId w:val="56"/>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Otevřená otázka</w:t>
            </w:r>
          </w:p>
        </w:tc>
      </w:tr>
      <w:tr w:rsidR="004736A8" w:rsidRPr="004736A8" w14:paraId="3193AB8A" w14:textId="77777777" w:rsidTr="004736A8">
        <w:trPr>
          <w:cnfStyle w:val="000000100000" w:firstRow="0" w:lastRow="0" w:firstColumn="0" w:lastColumn="0" w:oddVBand="0" w:evenVBand="0" w:oddHBand="1" w:evenHBand="0" w:firstRowFirstColumn="0" w:firstRowLastColumn="0" w:lastRowFirstColumn="0" w:lastRowLastColumn="0"/>
          <w:trHeight w:val="3450"/>
        </w:trPr>
        <w:tc>
          <w:tcPr>
            <w:cnfStyle w:val="001000000000" w:firstRow="0" w:lastRow="0" w:firstColumn="1" w:lastColumn="0" w:oddVBand="0" w:evenVBand="0" w:oddHBand="0" w:evenHBand="0" w:firstRowFirstColumn="0" w:firstRowLastColumn="0" w:lastRowFirstColumn="0" w:lastRowLastColumn="0"/>
            <w:tcW w:w="735" w:type="pct"/>
            <w:vMerge w:val="restart"/>
            <w:shd w:val="clear" w:color="auto" w:fill="auto"/>
            <w:hideMark/>
          </w:tcPr>
          <w:p w14:paraId="1DBEBF21" w14:textId="77777777" w:rsidR="004736A8" w:rsidRPr="00826CDF" w:rsidRDefault="004736A8" w:rsidP="004736A8">
            <w:pPr>
              <w:spacing w:after="0" w:line="240" w:lineRule="auto"/>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AO2: 2. Jak přesně se tržní selhání či suboptimální investiční situace v daných oblastech projevuje? </w:t>
            </w:r>
          </w:p>
        </w:tc>
        <w:tc>
          <w:tcPr>
            <w:tcW w:w="276" w:type="pct"/>
            <w:shd w:val="clear" w:color="auto" w:fill="auto"/>
            <w:hideMark/>
          </w:tcPr>
          <w:p w14:paraId="39B72935"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18</w:t>
            </w:r>
          </w:p>
        </w:tc>
        <w:tc>
          <w:tcPr>
            <w:tcW w:w="1427" w:type="pct"/>
            <w:shd w:val="clear" w:color="auto" w:fill="auto"/>
            <w:hideMark/>
          </w:tcPr>
          <w:p w14:paraId="42B4B663"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Jaké jsou </w:t>
            </w:r>
            <w:r w:rsidRPr="00826CDF">
              <w:rPr>
                <w:rFonts w:eastAsia="Times New Roman" w:cs="Calibri"/>
                <w:b/>
                <w:bCs/>
                <w:color w:val="000000"/>
                <w:sz w:val="12"/>
                <w:szCs w:val="12"/>
              </w:rPr>
              <w:t>hlavní překážky</w:t>
            </w:r>
            <w:r w:rsidRPr="00826CDF">
              <w:rPr>
                <w:rFonts w:eastAsia="Times New Roman" w:cs="Calibri"/>
                <w:color w:val="000000"/>
                <w:sz w:val="12"/>
                <w:szCs w:val="12"/>
              </w:rPr>
              <w:t>, které vám brání ve využívání zdrojů financování?</w:t>
            </w:r>
          </w:p>
        </w:tc>
        <w:tc>
          <w:tcPr>
            <w:tcW w:w="1764" w:type="pct"/>
            <w:shd w:val="clear" w:color="auto" w:fill="auto"/>
            <w:hideMark/>
          </w:tcPr>
          <w:p w14:paraId="29C5CF87"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Neznalost všech dostupných možností financování</w:t>
            </w:r>
          </w:p>
          <w:p w14:paraId="24B74689"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Nedosažení potřebného ratingu pro poskytnutí úvěru</w:t>
            </w:r>
          </w:p>
          <w:p w14:paraId="2619BD1A"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Nedosažení potřebné zástavní ceny (např. nemovitosti)</w:t>
            </w:r>
          </w:p>
          <w:p w14:paraId="4478654A"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Nedosažení potřebného ročního obratu</w:t>
            </w:r>
          </w:p>
          <w:p w14:paraId="59D28F5D"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Běžný komerční trh nefinancuje váš typ projektů</w:t>
            </w:r>
          </w:p>
          <w:p w14:paraId="7DD2C78F"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Projekty jsou příliš rizikové pro běžné komerční produkty</w:t>
            </w:r>
          </w:p>
          <w:p w14:paraId="1A3EC4EB"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Informační bariéra, o možnosti rámcově víme, ale nejde dohledat podrobnější informace</w:t>
            </w:r>
          </w:p>
          <w:p w14:paraId="75152A88"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Cs/>
                <w:color w:val="000000"/>
                <w:sz w:val="12"/>
                <w:szCs w:val="12"/>
              </w:rPr>
              <w:t>Není dostupná pobočková síť  u nás v kraji, regionu</w:t>
            </w:r>
          </w:p>
          <w:p w14:paraId="480DA854"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Velká administrativní náročnost získání daného zdroje</w:t>
            </w:r>
          </w:p>
          <w:p w14:paraId="4EFF8158"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Přetlak poptávky nad nabídkou dotačního financování </w:t>
            </w:r>
          </w:p>
          <w:p w14:paraId="3B11FD36"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Nesplnění specifických požadavků na žadatele o daný zdroj (uveďte, prosím, jaké)</w:t>
            </w:r>
          </w:p>
          <w:p w14:paraId="3C2BDE34"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Nesplnění specifických požadavků na projekt  pro daný zdroj (uveďte, prosím, jaké)</w:t>
            </w:r>
          </w:p>
          <w:p w14:paraId="79F845B5"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w:t>
            </w:r>
          </w:p>
          <w:p w14:paraId="44972245" w14:textId="77777777" w:rsidR="004736A8" w:rsidRPr="00826CDF" w:rsidRDefault="004736A8" w:rsidP="004736A8">
            <w:pPr>
              <w:pStyle w:val="ListParagraph"/>
              <w:numPr>
                <w:ilvl w:val="0"/>
                <w:numId w:val="49"/>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 prosím uveďte:</w:t>
            </w:r>
          </w:p>
        </w:tc>
        <w:tc>
          <w:tcPr>
            <w:tcW w:w="798" w:type="pct"/>
            <w:shd w:val="clear" w:color="auto" w:fill="auto"/>
          </w:tcPr>
          <w:p w14:paraId="750A9218" w14:textId="77777777" w:rsidR="004736A8" w:rsidRPr="00826CDF" w:rsidRDefault="004736A8" w:rsidP="004736A8">
            <w:pPr>
              <w:pStyle w:val="ListParagraph"/>
              <w:numPr>
                <w:ilvl w:val="0"/>
                <w:numId w:val="49"/>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7AB2B40C" w14:textId="77777777" w:rsidTr="004736A8">
        <w:trPr>
          <w:trHeight w:val="69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09289AB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75C30556"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19</w:t>
            </w:r>
          </w:p>
        </w:tc>
        <w:tc>
          <w:tcPr>
            <w:tcW w:w="1427" w:type="pct"/>
            <w:shd w:val="clear" w:color="auto" w:fill="auto"/>
            <w:hideMark/>
          </w:tcPr>
          <w:p w14:paraId="55B0A54F"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Co vám v nabídce podpory </w:t>
            </w:r>
            <w:r w:rsidRPr="00826CDF">
              <w:rPr>
                <w:rFonts w:eastAsia="Times New Roman" w:cs="Calibri"/>
                <w:b/>
                <w:bCs/>
                <w:color w:val="000000"/>
                <w:sz w:val="12"/>
                <w:szCs w:val="12"/>
              </w:rPr>
              <w:t xml:space="preserve"> </w:t>
            </w:r>
            <w:r w:rsidRPr="00826CDF">
              <w:rPr>
                <w:rFonts w:eastAsia="Times New Roman" w:cs="Calibri"/>
                <w:color w:val="000000"/>
                <w:sz w:val="12"/>
                <w:szCs w:val="12"/>
              </w:rPr>
              <w:t>vašeho projektu chybí?</w:t>
            </w:r>
          </w:p>
        </w:tc>
        <w:tc>
          <w:tcPr>
            <w:tcW w:w="1764" w:type="pct"/>
            <w:shd w:val="clear" w:color="auto" w:fill="auto"/>
            <w:hideMark/>
          </w:tcPr>
          <w:p w14:paraId="74C2A548" w14:textId="77777777" w:rsidR="004736A8" w:rsidRPr="00826CDF" w:rsidRDefault="004736A8" w:rsidP="004736A8">
            <w:pPr>
              <w:pStyle w:val="ListParagraph"/>
              <w:numPr>
                <w:ilvl w:val="0"/>
                <w:numId w:val="50"/>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Regionální dostupnost</w:t>
            </w:r>
          </w:p>
          <w:p w14:paraId="6A4BB656" w14:textId="77777777" w:rsidR="004736A8" w:rsidRPr="00826CDF" w:rsidRDefault="004736A8" w:rsidP="004736A8">
            <w:pPr>
              <w:pStyle w:val="ListParagraph"/>
              <w:numPr>
                <w:ilvl w:val="0"/>
                <w:numId w:val="50"/>
              </w:numPr>
              <w:spacing w:after="0" w:line="240" w:lineRule="auto"/>
              <w:ind w:left="370"/>
              <w:cnfStyle w:val="000000000000" w:firstRow="0" w:lastRow="0" w:firstColumn="0" w:lastColumn="0" w:oddVBand="0" w:evenVBand="0" w:oddHBand="0" w:evenHBand="0" w:firstRowFirstColumn="0" w:firstRowLastColumn="0" w:lastRowFirstColumn="0" w:lastRowLastColumn="0"/>
              <w:rPr>
                <w:rStyle w:val="CommentReference"/>
                <w:rFonts w:asciiTheme="minorHAnsi" w:eastAsia="Times New Roman" w:hAnsiTheme="minorHAnsi" w:cs="Calibri"/>
                <w:color w:val="000000"/>
                <w:sz w:val="12"/>
                <w:szCs w:val="12"/>
              </w:rPr>
            </w:pPr>
            <w:r w:rsidRPr="00826CDF">
              <w:rPr>
                <w:rFonts w:eastAsia="Times New Roman" w:cs="Calibri"/>
                <w:color w:val="000000"/>
                <w:sz w:val="12"/>
                <w:szCs w:val="12"/>
              </w:rPr>
              <w:t>Doprovodné poradenství</w:t>
            </w:r>
          </w:p>
          <w:p w14:paraId="759EF2C1" w14:textId="77777777" w:rsidR="004736A8" w:rsidRPr="00826CDF" w:rsidRDefault="004736A8" w:rsidP="004736A8">
            <w:pPr>
              <w:pStyle w:val="ListParagraph"/>
              <w:numPr>
                <w:ilvl w:val="0"/>
                <w:numId w:val="50"/>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826CDF">
              <w:rPr>
                <w:rFonts w:eastAsia="Times New Roman" w:cs="Calibri"/>
                <w:color w:val="000000"/>
                <w:sz w:val="12"/>
                <w:szCs w:val="12"/>
              </w:rPr>
              <w:t>Podpůrné služby</w:t>
            </w:r>
          </w:p>
          <w:p w14:paraId="6DD3DD6E" w14:textId="77777777" w:rsidR="004736A8" w:rsidRPr="00826CDF" w:rsidRDefault="004736A8" w:rsidP="004736A8">
            <w:pPr>
              <w:pStyle w:val="ListParagraph"/>
              <w:numPr>
                <w:ilvl w:val="0"/>
                <w:numId w:val="50"/>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826CDF">
              <w:rPr>
                <w:sz w:val="12"/>
                <w:szCs w:val="12"/>
              </w:rPr>
              <w:t>Jiné, prosím uveďte: ....</w:t>
            </w:r>
          </w:p>
          <w:p w14:paraId="73E2C6F5" w14:textId="77777777" w:rsidR="004736A8" w:rsidRPr="00826CDF" w:rsidRDefault="004736A8" w:rsidP="004736A8">
            <w:pPr>
              <w:pStyle w:val="ListParagraph"/>
              <w:numPr>
                <w:ilvl w:val="0"/>
                <w:numId w:val="50"/>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shd w:val="clear" w:color="auto" w:fill="auto"/>
          </w:tcPr>
          <w:p w14:paraId="5DF7AAE6" w14:textId="77777777" w:rsidR="004736A8" w:rsidRPr="00826CDF" w:rsidRDefault="004736A8" w:rsidP="004736A8">
            <w:pPr>
              <w:pStyle w:val="ListParagraph"/>
              <w:numPr>
                <w:ilvl w:val="0"/>
                <w:numId w:val="50"/>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p w14:paraId="01642A2D" w14:textId="77777777" w:rsidR="004736A8" w:rsidRPr="00826CDF" w:rsidRDefault="004736A8" w:rsidP="004736A8">
            <w:pPr>
              <w:pStyle w:val="ListParagraph"/>
              <w:numPr>
                <w:ilvl w:val="0"/>
                <w:numId w:val="50"/>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Otevřená otázka</w:t>
            </w:r>
          </w:p>
        </w:tc>
      </w:tr>
      <w:tr w:rsidR="004736A8" w:rsidRPr="004736A8" w14:paraId="35E28BA5" w14:textId="77777777" w:rsidTr="004736A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tcPr>
          <w:p w14:paraId="34B216F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2F26CDD4"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20</w:t>
            </w:r>
          </w:p>
        </w:tc>
        <w:tc>
          <w:tcPr>
            <w:tcW w:w="1427" w:type="pct"/>
            <w:shd w:val="clear" w:color="auto" w:fill="auto"/>
          </w:tcPr>
          <w:p w14:paraId="7EB31348"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Se kterým z výroků se nejvíce ztotožňujete?</w:t>
            </w:r>
          </w:p>
        </w:tc>
        <w:tc>
          <w:tcPr>
            <w:tcW w:w="1764" w:type="pct"/>
            <w:shd w:val="clear" w:color="auto" w:fill="auto"/>
          </w:tcPr>
          <w:p w14:paraId="36F7A61F" w14:textId="77777777" w:rsidR="004736A8" w:rsidRPr="00826CDF" w:rsidRDefault="004736A8" w:rsidP="004736A8">
            <w:pPr>
              <w:pStyle w:val="ListParagraph"/>
              <w:numPr>
                <w:ilvl w:val="0"/>
                <w:numId w:val="50"/>
              </w:numPr>
              <w:spacing w:after="0" w:line="240" w:lineRule="auto"/>
              <w:ind w:left="3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Kdyby stát pořádně informoval o všech možnostech financování, tak si určitě vyberu</w:t>
            </w:r>
          </w:p>
          <w:p w14:paraId="55ACBB91" w14:textId="77777777" w:rsidR="004736A8" w:rsidRPr="00826CDF" w:rsidRDefault="004736A8" w:rsidP="004736A8">
            <w:pPr>
              <w:pStyle w:val="ListParagraph"/>
              <w:numPr>
                <w:ilvl w:val="0"/>
                <w:numId w:val="50"/>
              </w:numPr>
              <w:spacing w:after="0" w:line="240" w:lineRule="auto"/>
              <w:ind w:left="3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Snížení administrativní zátěže při získávání zdrojů by realizaci projektů pomohlo nejvíce</w:t>
            </w:r>
          </w:p>
          <w:p w14:paraId="5EA48E61" w14:textId="77777777" w:rsidR="004736A8" w:rsidRPr="00826CDF" w:rsidRDefault="004736A8" w:rsidP="004736A8">
            <w:pPr>
              <w:pStyle w:val="ListParagraph"/>
              <w:numPr>
                <w:ilvl w:val="0"/>
                <w:numId w:val="50"/>
              </w:numPr>
              <w:spacing w:after="0" w:line="240" w:lineRule="auto"/>
              <w:ind w:left="3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Mám negativní zkušenost s dotacemi, zkusím radši zvýhodněný úvěr a budu to mít bez komplikací</w:t>
            </w:r>
          </w:p>
          <w:p w14:paraId="69F6FDDF" w14:textId="77777777" w:rsidR="004736A8" w:rsidRPr="00826CDF" w:rsidRDefault="004736A8" w:rsidP="004736A8">
            <w:pPr>
              <w:pStyle w:val="ListParagraph"/>
              <w:numPr>
                <w:ilvl w:val="0"/>
                <w:numId w:val="50"/>
              </w:numPr>
              <w:spacing w:after="0" w:line="240" w:lineRule="auto"/>
              <w:ind w:left="3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 xml:space="preserve">I když čerpám maximální podporu, můj projekt mi ekonomicky nevychází </w:t>
            </w:r>
          </w:p>
          <w:p w14:paraId="43763DA9" w14:textId="77777777" w:rsidR="004736A8" w:rsidRPr="00826CDF" w:rsidRDefault="004736A8" w:rsidP="004736A8">
            <w:pPr>
              <w:pStyle w:val="ListParagraph"/>
              <w:numPr>
                <w:ilvl w:val="0"/>
                <w:numId w:val="50"/>
              </w:numPr>
              <w:spacing w:after="0" w:line="240" w:lineRule="auto"/>
              <w:ind w:left="3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 xml:space="preserve">Potřeboval bych pomoct a poradit na začátku s přípravou projektu, ale na tuto pomoc podpora není poskytována </w:t>
            </w:r>
          </w:p>
          <w:p w14:paraId="2A285A95" w14:textId="77777777" w:rsidR="004736A8" w:rsidRPr="00826CDF" w:rsidRDefault="004736A8" w:rsidP="004736A8">
            <w:p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shd w:val="clear" w:color="auto" w:fill="auto"/>
          </w:tcPr>
          <w:p w14:paraId="6927C5F7" w14:textId="77777777" w:rsidR="004736A8" w:rsidRPr="00826CDF" w:rsidRDefault="004736A8" w:rsidP="004736A8">
            <w:pPr>
              <w:pStyle w:val="ListParagraph"/>
              <w:numPr>
                <w:ilvl w:val="0"/>
                <w:numId w:val="50"/>
              </w:numPr>
              <w:spacing w:after="0" w:line="240" w:lineRule="auto"/>
              <w:ind w:left="398"/>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rFonts w:eastAsia="Times New Roman" w:cs="Calibri"/>
                <w:color w:val="000000"/>
                <w:sz w:val="12"/>
                <w:szCs w:val="12"/>
              </w:rPr>
              <w:t>Výběr více možností</w:t>
            </w:r>
          </w:p>
        </w:tc>
      </w:tr>
      <w:tr w:rsidR="004736A8" w:rsidRPr="004736A8" w14:paraId="3E13B06F" w14:textId="77777777" w:rsidTr="004736A8">
        <w:trPr>
          <w:trHeight w:val="92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hideMark/>
          </w:tcPr>
          <w:p w14:paraId="4F13F688" w14:textId="77777777" w:rsidR="004736A8" w:rsidRPr="00826CDF" w:rsidRDefault="004736A8" w:rsidP="004736A8">
            <w:pPr>
              <w:spacing w:after="0" w:line="240" w:lineRule="auto"/>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AO3: 3. Postihuje tržní selhání nebo suboptimální investiční situace celou ČR či pouze některý z regionů?  </w:t>
            </w:r>
          </w:p>
        </w:tc>
        <w:tc>
          <w:tcPr>
            <w:tcW w:w="276" w:type="pct"/>
            <w:shd w:val="clear" w:color="auto" w:fill="auto"/>
            <w:hideMark/>
          </w:tcPr>
          <w:p w14:paraId="4BE5A515"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21</w:t>
            </w:r>
          </w:p>
        </w:tc>
        <w:tc>
          <w:tcPr>
            <w:tcW w:w="1427" w:type="pct"/>
            <w:shd w:val="clear" w:color="auto" w:fill="auto"/>
            <w:hideMark/>
          </w:tcPr>
          <w:p w14:paraId="43FB0320"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Průřezově, viz. otázka č. 1</w:t>
            </w:r>
          </w:p>
        </w:tc>
        <w:tc>
          <w:tcPr>
            <w:tcW w:w="1764" w:type="pct"/>
            <w:shd w:val="clear" w:color="auto" w:fill="auto"/>
            <w:noWrap/>
            <w:hideMark/>
          </w:tcPr>
          <w:p w14:paraId="0FB3BD11" w14:textId="77777777" w:rsidR="004736A8" w:rsidRPr="00826CDF" w:rsidRDefault="004736A8" w:rsidP="004736A8">
            <w:p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shd w:val="clear" w:color="auto" w:fill="auto"/>
          </w:tcPr>
          <w:p w14:paraId="7D68F1DD" w14:textId="77777777" w:rsidR="004736A8" w:rsidRPr="00826CDF" w:rsidRDefault="004736A8" w:rsidP="004736A8">
            <w:p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510D5FA1" w14:textId="77777777" w:rsidTr="004736A8">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735" w:type="pct"/>
            <w:vMerge w:val="restart"/>
            <w:shd w:val="clear" w:color="auto" w:fill="auto"/>
            <w:hideMark/>
          </w:tcPr>
          <w:p w14:paraId="146463A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r w:rsidRPr="00826CDF">
              <w:rPr>
                <w:rFonts w:eastAsia="Times New Roman" w:cs="Calibri"/>
                <w:color w:val="000000"/>
                <w:sz w:val="12"/>
                <w:szCs w:val="12"/>
              </w:rPr>
              <w:t>AO4: 4. Jaká jsou doporučení/návrhy pro využití dostupných forem podpory v rámci jednotlivých SC/aktivit, které by měly řešit tržní selhání či suboptimální investiční situace v podnikatelském sektoru?</w:t>
            </w:r>
          </w:p>
        </w:tc>
        <w:tc>
          <w:tcPr>
            <w:tcW w:w="276" w:type="pct"/>
            <w:vMerge w:val="restart"/>
            <w:shd w:val="clear" w:color="auto" w:fill="auto"/>
            <w:hideMark/>
          </w:tcPr>
          <w:p w14:paraId="6A4EA7AC"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22</w:t>
            </w:r>
          </w:p>
          <w:p w14:paraId="66835450"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Podm. otázka k č. 6</w:t>
            </w:r>
          </w:p>
        </w:tc>
        <w:tc>
          <w:tcPr>
            <w:tcW w:w="1427" w:type="pct"/>
            <w:shd w:val="clear" w:color="auto" w:fill="auto"/>
            <w:hideMark/>
          </w:tcPr>
          <w:p w14:paraId="5746714E"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
                <w:bCs/>
                <w:color w:val="000000"/>
                <w:sz w:val="12"/>
                <w:szCs w:val="12"/>
              </w:rPr>
              <w:t>Jaké formy financování</w:t>
            </w:r>
            <w:r w:rsidRPr="00826CDF">
              <w:rPr>
                <w:rFonts w:eastAsia="Times New Roman" w:cs="Calibri"/>
                <w:color w:val="000000"/>
                <w:sz w:val="12"/>
                <w:szCs w:val="12"/>
              </w:rPr>
              <w:t xml:space="preserve"> investičních záměrů podnikatelů v</w:t>
            </w:r>
            <w:r w:rsidRPr="00826CDF">
              <w:rPr>
                <w:color w:val="000000"/>
                <w:sz w:val="12"/>
                <w:szCs w:val="12"/>
              </w:rPr>
              <w:t> </w:t>
            </w:r>
            <w:r w:rsidRPr="00826CDF">
              <w:rPr>
                <w:b/>
                <w:color w:val="000000"/>
                <w:sz w:val="12"/>
                <w:szCs w:val="12"/>
              </w:rPr>
              <w:t>oblasti energetické účinnosti</w:t>
            </w:r>
            <w:r w:rsidRPr="00826CDF">
              <w:rPr>
                <w:color w:val="000000"/>
                <w:sz w:val="12"/>
                <w:szCs w:val="12"/>
              </w:rPr>
              <w:t xml:space="preserve"> (např. kogenerace, zateplování, energetický management…)</w:t>
            </w:r>
            <w:r w:rsidRPr="00826CDF">
              <w:rPr>
                <w:rFonts w:eastAsia="Times New Roman" w:cs="Calibri"/>
                <w:color w:val="000000"/>
                <w:sz w:val="12"/>
                <w:szCs w:val="12"/>
              </w:rPr>
              <w:t xml:space="preserve"> by pro vás byly nejvhodnější?</w:t>
            </w:r>
          </w:p>
        </w:tc>
        <w:tc>
          <w:tcPr>
            <w:tcW w:w="1764" w:type="pct"/>
            <w:vMerge w:val="restart"/>
            <w:shd w:val="clear" w:color="auto" w:fill="auto"/>
            <w:hideMark/>
          </w:tcPr>
          <w:p w14:paraId="44759AEC"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Vlastní prostředky</w:t>
            </w:r>
          </w:p>
          <w:p w14:paraId="6EC5248D"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Evropské dotace</w:t>
            </w:r>
          </w:p>
          <w:p w14:paraId="1C1826BE"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Národní dotace</w:t>
            </w:r>
          </w:p>
          <w:p w14:paraId="659301B1"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Běžný bankovní investiční úvěr</w:t>
            </w:r>
          </w:p>
          <w:p w14:paraId="53B4C5C1"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Zvýhodněný bankovní úvěr (např. s úrokovým zvýhodněním, odloženou splátkou apod., poskytnutými ČMZRB,  EIB, komerčními bankami.)</w:t>
            </w:r>
          </w:p>
          <w:p w14:paraId="591370E0"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Poskytnutí záruky (např. od ČMZRB)</w:t>
            </w:r>
          </w:p>
          <w:p w14:paraId="59DE3391"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Kombinace dotace a zvýhodněného úvěru, záruky </w:t>
            </w:r>
          </w:p>
          <w:p w14:paraId="3C6D149F"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Nebankovní podnikatelský úvěr</w:t>
            </w:r>
          </w:p>
          <w:p w14:paraId="3FBCF486"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Finanční leasing</w:t>
            </w:r>
          </w:p>
          <w:p w14:paraId="4EFD8D93"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Operativní leasing</w:t>
            </w:r>
          </w:p>
          <w:p w14:paraId="702D1285"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Bankovní záruky</w:t>
            </w:r>
          </w:p>
          <w:p w14:paraId="0C2C7B85"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Kapitálové investice</w:t>
            </w:r>
            <w:r w:rsidRPr="00826CDF">
              <w:rPr>
                <w:rFonts w:eastAsia="Times New Roman" w:cs="Calibri"/>
                <w:color w:val="000000"/>
                <w:sz w:val="12"/>
                <w:szCs w:val="12"/>
              </w:rPr>
              <w:br/>
              <w:t>…</w:t>
            </w:r>
          </w:p>
          <w:p w14:paraId="218B52E4" w14:textId="77777777" w:rsidR="004736A8" w:rsidRPr="00826CDF" w:rsidRDefault="004736A8" w:rsidP="004736A8">
            <w:pPr>
              <w:pStyle w:val="ListParagraph"/>
              <w:numPr>
                <w:ilvl w:val="0"/>
                <w:numId w:val="40"/>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 prosím uveďte:</w:t>
            </w:r>
          </w:p>
        </w:tc>
        <w:tc>
          <w:tcPr>
            <w:tcW w:w="798" w:type="pct"/>
            <w:vMerge w:val="restart"/>
            <w:shd w:val="clear" w:color="auto" w:fill="auto"/>
          </w:tcPr>
          <w:p w14:paraId="78F7C9CB" w14:textId="77777777" w:rsidR="004736A8" w:rsidRPr="00826CDF" w:rsidRDefault="004736A8" w:rsidP="004736A8">
            <w:pPr>
              <w:pStyle w:val="ListParagraph"/>
              <w:numPr>
                <w:ilvl w:val="0"/>
                <w:numId w:val="40"/>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p w14:paraId="55057033" w14:textId="77777777" w:rsidR="004736A8" w:rsidRPr="00826CDF" w:rsidRDefault="004736A8" w:rsidP="004736A8">
            <w:p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p w14:paraId="4CAE2D51" w14:textId="77777777" w:rsidR="004736A8" w:rsidRPr="00826CDF" w:rsidRDefault="004736A8" w:rsidP="004736A8">
            <w:p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06AD8832" w14:textId="77777777" w:rsidTr="004736A8">
        <w:trPr>
          <w:trHeight w:val="1237"/>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091A9037"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vMerge/>
            <w:shd w:val="clear" w:color="auto" w:fill="auto"/>
            <w:hideMark/>
          </w:tcPr>
          <w:p w14:paraId="5B1B3099"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1427" w:type="pct"/>
            <w:shd w:val="clear" w:color="auto" w:fill="auto"/>
            <w:hideMark/>
          </w:tcPr>
          <w:p w14:paraId="3D243446"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
                <w:bCs/>
                <w:color w:val="000000"/>
                <w:sz w:val="12"/>
                <w:szCs w:val="12"/>
              </w:rPr>
              <w:t>Jaké formy financování</w:t>
            </w:r>
            <w:r w:rsidRPr="00826CDF">
              <w:rPr>
                <w:rFonts w:eastAsia="Times New Roman" w:cs="Calibri"/>
                <w:color w:val="000000"/>
                <w:sz w:val="12"/>
                <w:szCs w:val="12"/>
              </w:rPr>
              <w:t xml:space="preserve"> investičních záměrů podnikatelů v </w:t>
            </w:r>
            <w:r w:rsidRPr="00826CDF">
              <w:rPr>
                <w:rFonts w:eastAsia="Times New Roman" w:cs="Calibri"/>
                <w:b/>
                <w:color w:val="000000"/>
                <w:sz w:val="12"/>
                <w:szCs w:val="12"/>
              </w:rPr>
              <w:t xml:space="preserve">oblasti </w:t>
            </w:r>
            <w:r w:rsidRPr="00826CDF">
              <w:rPr>
                <w:b/>
                <w:sz w:val="12"/>
                <w:szCs w:val="12"/>
              </w:rPr>
              <w:t>energie z obnovitelných zdrojů</w:t>
            </w:r>
            <w:r w:rsidRPr="00826CDF" w:rsidDel="00506EAE">
              <w:rPr>
                <w:rFonts w:eastAsia="Times New Roman" w:cs="Calibri"/>
                <w:b/>
                <w:bCs/>
                <w:color w:val="000000"/>
                <w:sz w:val="12"/>
                <w:szCs w:val="12"/>
              </w:rPr>
              <w:t xml:space="preserve"> </w:t>
            </w:r>
            <w:r w:rsidRPr="00826CDF">
              <w:rPr>
                <w:rFonts w:eastAsia="Times New Roman" w:cs="Calibri"/>
                <w:color w:val="000000"/>
                <w:sz w:val="12"/>
                <w:szCs w:val="12"/>
              </w:rPr>
              <w:t>by pro vás byly nejvhodnější?</w:t>
            </w:r>
          </w:p>
        </w:tc>
        <w:tc>
          <w:tcPr>
            <w:tcW w:w="1764" w:type="pct"/>
            <w:vMerge/>
            <w:shd w:val="clear" w:color="auto" w:fill="auto"/>
            <w:hideMark/>
          </w:tcPr>
          <w:p w14:paraId="30F64157" w14:textId="77777777" w:rsidR="004736A8" w:rsidRPr="00826CDF" w:rsidRDefault="004736A8" w:rsidP="004736A8">
            <w:p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vMerge/>
            <w:shd w:val="clear" w:color="auto" w:fill="auto"/>
          </w:tcPr>
          <w:p w14:paraId="72356D43" w14:textId="77777777" w:rsidR="004736A8" w:rsidRPr="00826CDF" w:rsidRDefault="004736A8" w:rsidP="004736A8">
            <w:p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37167E42" w14:textId="77777777" w:rsidTr="004736A8">
        <w:trPr>
          <w:cnfStyle w:val="000000100000" w:firstRow="0" w:lastRow="0" w:firstColumn="0" w:lastColumn="0" w:oddVBand="0" w:evenVBand="0" w:oddHBand="1" w:evenHBand="0" w:firstRowFirstColumn="0" w:firstRowLastColumn="0" w:lastRowFirstColumn="0" w:lastRowLastColumn="0"/>
          <w:trHeight w:val="213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4A4EAC85"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vMerge/>
            <w:shd w:val="clear" w:color="auto" w:fill="auto"/>
          </w:tcPr>
          <w:p w14:paraId="473D59A9"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c>
          <w:tcPr>
            <w:tcW w:w="1427" w:type="pct"/>
            <w:shd w:val="clear" w:color="auto" w:fill="auto"/>
          </w:tcPr>
          <w:p w14:paraId="17A57F17"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color w:val="000000"/>
                <w:sz w:val="12"/>
                <w:szCs w:val="12"/>
              </w:rPr>
            </w:pPr>
            <w:r w:rsidRPr="00826CDF">
              <w:rPr>
                <w:rFonts w:eastAsia="Times New Roman" w:cs="Calibri"/>
                <w:b/>
                <w:bCs/>
                <w:color w:val="000000"/>
                <w:sz w:val="12"/>
                <w:szCs w:val="12"/>
              </w:rPr>
              <w:t>Jaké formy financování</w:t>
            </w:r>
            <w:r w:rsidRPr="00826CDF">
              <w:rPr>
                <w:rFonts w:eastAsia="Times New Roman" w:cs="Calibri"/>
                <w:color w:val="000000"/>
                <w:sz w:val="12"/>
                <w:szCs w:val="12"/>
              </w:rPr>
              <w:t xml:space="preserve"> investičních záměrů podnikatelů v oblasti </w:t>
            </w:r>
            <w:r w:rsidRPr="00826CDF">
              <w:rPr>
                <w:b/>
                <w:color w:val="000000"/>
                <w:sz w:val="12"/>
                <w:szCs w:val="12"/>
              </w:rPr>
              <w:t>rozvoje inteligentních energetických systémů, sítí a skladování na místní úrovni</w:t>
            </w:r>
            <w:r w:rsidRPr="00826CDF">
              <w:rPr>
                <w:color w:val="000000"/>
                <w:sz w:val="12"/>
                <w:szCs w:val="12"/>
              </w:rPr>
              <w:t xml:space="preserve"> (decentralizované zdroje, snižování emisí, nové zdroje plynu,…) </w:t>
            </w:r>
            <w:r w:rsidRPr="00826CDF">
              <w:rPr>
                <w:rFonts w:eastAsia="Times New Roman" w:cs="Calibri"/>
                <w:color w:val="000000"/>
                <w:sz w:val="12"/>
                <w:szCs w:val="12"/>
              </w:rPr>
              <w:t>by pro vás byly nejvhodnější?</w:t>
            </w:r>
          </w:p>
        </w:tc>
        <w:tc>
          <w:tcPr>
            <w:tcW w:w="1764" w:type="pct"/>
            <w:vMerge/>
            <w:shd w:val="clear" w:color="auto" w:fill="auto"/>
          </w:tcPr>
          <w:p w14:paraId="43094EE7" w14:textId="77777777" w:rsidR="004736A8" w:rsidRPr="00826CDF" w:rsidRDefault="004736A8" w:rsidP="004736A8">
            <w:p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vMerge/>
            <w:shd w:val="clear" w:color="auto" w:fill="auto"/>
          </w:tcPr>
          <w:p w14:paraId="5724BA93" w14:textId="77777777" w:rsidR="004736A8" w:rsidRPr="00826CDF" w:rsidRDefault="004736A8" w:rsidP="004736A8">
            <w:p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3EC70001" w14:textId="77777777" w:rsidTr="004736A8">
        <w:trPr>
          <w:trHeight w:val="213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74F6702E"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vMerge/>
            <w:shd w:val="clear" w:color="auto" w:fill="auto"/>
          </w:tcPr>
          <w:p w14:paraId="2D3A9C7C"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1427" w:type="pct"/>
            <w:shd w:val="clear" w:color="auto" w:fill="auto"/>
          </w:tcPr>
          <w:p w14:paraId="3C91F99E"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bCs/>
                <w:color w:val="000000"/>
                <w:sz w:val="12"/>
                <w:szCs w:val="12"/>
              </w:rPr>
            </w:pPr>
            <w:r w:rsidRPr="00826CDF">
              <w:rPr>
                <w:rFonts w:eastAsia="Times New Roman" w:cs="Calibri"/>
                <w:b/>
                <w:bCs/>
                <w:color w:val="000000"/>
                <w:sz w:val="12"/>
                <w:szCs w:val="12"/>
              </w:rPr>
              <w:t>Jaké formy financování</w:t>
            </w:r>
            <w:r w:rsidRPr="00826CDF">
              <w:rPr>
                <w:rFonts w:eastAsia="Times New Roman" w:cs="Calibri"/>
                <w:color w:val="000000"/>
                <w:sz w:val="12"/>
                <w:szCs w:val="12"/>
              </w:rPr>
              <w:t xml:space="preserve"> investičních záměrů podnikatelů v oblasti</w:t>
            </w:r>
            <w:r w:rsidRPr="00826CDF">
              <w:rPr>
                <w:color w:val="000000"/>
                <w:sz w:val="12"/>
                <w:szCs w:val="12"/>
              </w:rPr>
              <w:t xml:space="preserve"> </w:t>
            </w:r>
            <w:r w:rsidRPr="00826CDF">
              <w:rPr>
                <w:b/>
                <w:color w:val="000000"/>
                <w:sz w:val="12"/>
                <w:szCs w:val="12"/>
              </w:rPr>
              <w:t>posílení biologické rozmanitosti, zelené infrastruktury v městském prostředí a snížení znečištění</w:t>
            </w:r>
            <w:r w:rsidRPr="00826CDF">
              <w:rPr>
                <w:color w:val="000000"/>
                <w:sz w:val="12"/>
                <w:szCs w:val="12"/>
              </w:rPr>
              <w:t xml:space="preserve"> (alternativní pohony vozidel, dobíjecí stanice,…) </w:t>
            </w:r>
            <w:r w:rsidRPr="00826CDF">
              <w:rPr>
                <w:rFonts w:eastAsia="Times New Roman" w:cs="Calibri"/>
                <w:color w:val="000000"/>
                <w:sz w:val="12"/>
                <w:szCs w:val="12"/>
              </w:rPr>
              <w:t>by pro vás byly nejvhodnější?</w:t>
            </w:r>
          </w:p>
        </w:tc>
        <w:tc>
          <w:tcPr>
            <w:tcW w:w="1764" w:type="pct"/>
            <w:vMerge/>
            <w:shd w:val="clear" w:color="auto" w:fill="auto"/>
          </w:tcPr>
          <w:p w14:paraId="4722018F" w14:textId="77777777" w:rsidR="004736A8" w:rsidRPr="00826CDF" w:rsidRDefault="004736A8" w:rsidP="004736A8">
            <w:p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vMerge/>
            <w:shd w:val="clear" w:color="auto" w:fill="auto"/>
          </w:tcPr>
          <w:p w14:paraId="7EA298A5" w14:textId="77777777" w:rsidR="004736A8" w:rsidRPr="00826CDF" w:rsidRDefault="004736A8" w:rsidP="004736A8">
            <w:p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r>
      <w:tr w:rsidR="004736A8" w:rsidRPr="004736A8" w14:paraId="174866FF" w14:textId="77777777" w:rsidTr="004736A8">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hideMark/>
          </w:tcPr>
          <w:p w14:paraId="73580F2F"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hideMark/>
          </w:tcPr>
          <w:p w14:paraId="144B82B3"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23</w:t>
            </w:r>
          </w:p>
        </w:tc>
        <w:tc>
          <w:tcPr>
            <w:tcW w:w="1427" w:type="pct"/>
            <w:shd w:val="clear" w:color="auto" w:fill="auto"/>
            <w:hideMark/>
          </w:tcPr>
          <w:p w14:paraId="2FE1D3FC"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b/>
                <w:bCs/>
                <w:color w:val="000000"/>
                <w:sz w:val="12"/>
                <w:szCs w:val="12"/>
              </w:rPr>
              <w:t xml:space="preserve">Jakým způsobem </w:t>
            </w:r>
            <w:r w:rsidRPr="00826CDF">
              <w:rPr>
                <w:rFonts w:eastAsia="Times New Roman" w:cs="Calibri"/>
                <w:color w:val="000000"/>
                <w:sz w:val="12"/>
                <w:szCs w:val="12"/>
              </w:rPr>
              <w:t xml:space="preserve">(kromě poskytování dotací a dalšího zvýhodněného financování) by podle vás bylo možné podniky </w:t>
            </w:r>
            <w:r w:rsidRPr="00826CDF">
              <w:rPr>
                <w:rFonts w:eastAsia="Times New Roman" w:cs="Calibri"/>
                <w:b/>
                <w:bCs/>
                <w:color w:val="000000"/>
                <w:sz w:val="12"/>
                <w:szCs w:val="12"/>
              </w:rPr>
              <w:t>motivovat</w:t>
            </w:r>
            <w:r w:rsidRPr="00826CDF">
              <w:rPr>
                <w:rFonts w:eastAsia="Times New Roman" w:cs="Calibri"/>
                <w:color w:val="000000"/>
                <w:sz w:val="12"/>
                <w:szCs w:val="12"/>
              </w:rPr>
              <w:t xml:space="preserve"> k posunu k nízkouhlíkovému hospodářství?</w:t>
            </w:r>
          </w:p>
        </w:tc>
        <w:tc>
          <w:tcPr>
            <w:tcW w:w="1764" w:type="pct"/>
            <w:shd w:val="clear" w:color="auto" w:fill="auto"/>
            <w:hideMark/>
          </w:tcPr>
          <w:p w14:paraId="058E44EA" w14:textId="77777777" w:rsidR="004736A8" w:rsidRPr="00826CDF" w:rsidRDefault="004736A8" w:rsidP="004736A8">
            <w:pPr>
              <w:pStyle w:val="ListParagraph"/>
              <w:numPr>
                <w:ilvl w:val="0"/>
                <w:numId w:val="66"/>
              </w:numPr>
              <w:spacing w:after="0" w:line="240" w:lineRule="auto"/>
              <w:ind w:left="432"/>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826CDF">
              <w:rPr>
                <w:rFonts w:eastAsia="Times New Roman" w:cs="Calibri"/>
                <w:color w:val="000000"/>
                <w:sz w:val="12"/>
                <w:szCs w:val="12"/>
              </w:rPr>
              <w:t>Legislativní nařízení a zpřísňování podmínek d</w:t>
            </w:r>
            <w:r w:rsidRPr="00826CDF">
              <w:rPr>
                <w:sz w:val="12"/>
                <w:szCs w:val="12"/>
              </w:rPr>
              <w:t>aňové úlevy</w:t>
            </w:r>
          </w:p>
          <w:p w14:paraId="3DF67ABB" w14:textId="77777777" w:rsidR="004736A8" w:rsidRPr="00826CDF" w:rsidRDefault="004736A8" w:rsidP="004736A8">
            <w:pPr>
              <w:pStyle w:val="ListParagraph"/>
              <w:numPr>
                <w:ilvl w:val="0"/>
                <w:numId w:val="66"/>
              </w:numPr>
              <w:spacing w:after="0" w:line="240" w:lineRule="auto"/>
              <w:ind w:left="43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Úprava podmínek podpory směrem k menší administrativní náročnosti pro její získání </w:t>
            </w:r>
          </w:p>
          <w:p w14:paraId="33CF3AD7" w14:textId="77777777" w:rsidR="004736A8" w:rsidRPr="00826CDF" w:rsidRDefault="004736A8" w:rsidP="004736A8">
            <w:pPr>
              <w:pStyle w:val="ListParagraph"/>
              <w:numPr>
                <w:ilvl w:val="0"/>
                <w:numId w:val="66"/>
              </w:numPr>
              <w:spacing w:after="0" w:line="240" w:lineRule="auto"/>
              <w:ind w:left="43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Pomocí při přípravě projektů (zejména environmentální poradenství)</w:t>
            </w:r>
          </w:p>
          <w:p w14:paraId="30111AF4" w14:textId="77777777" w:rsidR="004736A8" w:rsidRPr="00826CDF" w:rsidRDefault="004736A8" w:rsidP="004736A8">
            <w:pPr>
              <w:pStyle w:val="ListParagraph"/>
              <w:numPr>
                <w:ilvl w:val="0"/>
                <w:numId w:val="66"/>
              </w:numPr>
              <w:spacing w:after="0" w:line="240" w:lineRule="auto"/>
              <w:ind w:left="43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Dostupnost zvýhodněných úvěrů nebo záruk</w:t>
            </w:r>
          </w:p>
          <w:p w14:paraId="1B43DC1C" w14:textId="77777777" w:rsidR="004736A8" w:rsidRPr="00826CDF" w:rsidRDefault="004736A8" w:rsidP="004736A8">
            <w:pPr>
              <w:pStyle w:val="ListParagraph"/>
              <w:numPr>
                <w:ilvl w:val="0"/>
                <w:numId w:val="66"/>
              </w:numPr>
              <w:spacing w:after="0" w:line="240" w:lineRule="auto"/>
              <w:ind w:left="43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sz w:val="12"/>
                <w:szCs w:val="12"/>
              </w:rPr>
              <w:t>Jiným způsobem</w:t>
            </w:r>
          </w:p>
        </w:tc>
        <w:tc>
          <w:tcPr>
            <w:tcW w:w="798" w:type="pct"/>
            <w:shd w:val="clear" w:color="auto" w:fill="auto"/>
          </w:tcPr>
          <w:p w14:paraId="155FCD01" w14:textId="77777777" w:rsidR="004736A8" w:rsidRPr="00826CDF" w:rsidRDefault="004736A8" w:rsidP="004736A8">
            <w:pPr>
              <w:pStyle w:val="ListParagraph"/>
              <w:numPr>
                <w:ilvl w:val="0"/>
                <w:numId w:val="51"/>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6507562E" w14:textId="77777777" w:rsidTr="004736A8">
        <w:trPr>
          <w:trHeight w:val="1840"/>
        </w:trPr>
        <w:tc>
          <w:tcPr>
            <w:cnfStyle w:val="001000000000" w:firstRow="0" w:lastRow="0" w:firstColumn="1" w:lastColumn="0" w:oddVBand="0" w:evenVBand="0" w:oddHBand="0" w:evenHBand="0" w:firstRowFirstColumn="0" w:firstRowLastColumn="0" w:lastRowFirstColumn="0" w:lastRowLastColumn="0"/>
            <w:tcW w:w="735" w:type="pct"/>
            <w:vMerge w:val="restart"/>
            <w:shd w:val="clear" w:color="auto" w:fill="auto"/>
          </w:tcPr>
          <w:p w14:paraId="4FA410FD" w14:textId="77777777" w:rsidR="004736A8" w:rsidRPr="00826CDF" w:rsidRDefault="004736A8" w:rsidP="004736A8">
            <w:pPr>
              <w:spacing w:after="0" w:line="240" w:lineRule="auto"/>
              <w:rPr>
                <w:rFonts w:asciiTheme="minorHAnsi" w:eastAsia="Times New Roman" w:hAnsiTheme="minorHAnsi" w:cs="Calibri"/>
                <w:b w:val="0"/>
                <w:bCs w:val="0"/>
                <w:color w:val="000000"/>
                <w:sz w:val="12"/>
                <w:szCs w:val="12"/>
              </w:rPr>
            </w:pPr>
            <w:r w:rsidRPr="00826CDF">
              <w:rPr>
                <w:rFonts w:eastAsia="Times New Roman" w:cs="Calibri"/>
                <w:color w:val="000000"/>
                <w:sz w:val="12"/>
                <w:szCs w:val="12"/>
              </w:rPr>
              <w:t>Aktuální situace podpory projektů ve vztahu k pandemii koronaviru.</w:t>
            </w:r>
          </w:p>
          <w:p w14:paraId="642C9745"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1DB41859"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24</w:t>
            </w:r>
          </w:p>
        </w:tc>
        <w:tc>
          <w:tcPr>
            <w:tcW w:w="1427" w:type="pct"/>
            <w:shd w:val="clear" w:color="auto" w:fill="auto"/>
          </w:tcPr>
          <w:p w14:paraId="2116BF7D" w14:textId="77777777" w:rsidR="004736A8" w:rsidRPr="00826CDF" w:rsidRDefault="004736A8" w:rsidP="004736A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Jakým způsobem (</w:t>
            </w:r>
            <w:r w:rsidRPr="00826CDF">
              <w:rPr>
                <w:rFonts w:eastAsia="Times New Roman" w:cs="Calibri"/>
                <w:color w:val="000000"/>
                <w:sz w:val="12"/>
                <w:szCs w:val="12"/>
              </w:rPr>
              <w:t>kromě poskytování dotací)</w:t>
            </w:r>
            <w:r w:rsidRPr="00826CDF">
              <w:rPr>
                <w:color w:val="000000"/>
                <w:sz w:val="12"/>
                <w:szCs w:val="12"/>
              </w:rPr>
              <w:t xml:space="preserve"> by podle vás bylo možné podniky </w:t>
            </w:r>
            <w:r w:rsidRPr="00826CDF">
              <w:rPr>
                <w:b/>
                <w:color w:val="000000"/>
                <w:sz w:val="12"/>
                <w:szCs w:val="12"/>
              </w:rPr>
              <w:t>finančně motivovat</w:t>
            </w:r>
            <w:r w:rsidRPr="00826CDF">
              <w:rPr>
                <w:color w:val="000000"/>
                <w:sz w:val="12"/>
                <w:szCs w:val="12"/>
              </w:rPr>
              <w:t xml:space="preserve"> k posunu k nízkouhlíkovému hospodářství </w:t>
            </w:r>
            <w:r w:rsidRPr="00826CDF">
              <w:rPr>
                <w:b/>
                <w:color w:val="000000"/>
                <w:sz w:val="12"/>
                <w:szCs w:val="12"/>
              </w:rPr>
              <w:t xml:space="preserve">po dobu překlenutí období trvání pandemie koronaviru </w:t>
            </w:r>
            <w:r w:rsidRPr="00826CDF">
              <w:rPr>
                <w:color w:val="000000"/>
                <w:sz w:val="12"/>
                <w:szCs w:val="12"/>
              </w:rPr>
              <w:t xml:space="preserve">(následující dva roky)? </w:t>
            </w:r>
          </w:p>
        </w:tc>
        <w:tc>
          <w:tcPr>
            <w:tcW w:w="1764" w:type="pct"/>
            <w:shd w:val="clear" w:color="auto" w:fill="auto"/>
          </w:tcPr>
          <w:p w14:paraId="00BCD7E2"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826CDF">
              <w:rPr>
                <w:rFonts w:eastAsia="Times New Roman" w:cs="Calibri"/>
                <w:color w:val="000000"/>
                <w:sz w:val="12"/>
                <w:szCs w:val="12"/>
              </w:rPr>
              <w:t>Dostupnost úrokově zvýhodněných úvěrů od ČMZRB nebo od komerční banky</w:t>
            </w:r>
            <w:r w:rsidRPr="00826CDF">
              <w:rPr>
                <w:sz w:val="12"/>
                <w:szCs w:val="12"/>
              </w:rPr>
              <w:t>Poskytnutí bankovních záruk od ČMZRB</w:t>
            </w:r>
          </w:p>
          <w:p w14:paraId="67B2B8CA"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Odložení splátek ČMZRB nebo komerčními bankamiBěžný bankovní investiční úvěr</w:t>
            </w:r>
          </w:p>
          <w:p w14:paraId="4E68065C"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826CDF">
              <w:rPr>
                <w:rFonts w:eastAsia="Times New Roman" w:cs="Calibri"/>
                <w:color w:val="000000"/>
                <w:sz w:val="12"/>
                <w:szCs w:val="12"/>
              </w:rPr>
              <w:t>Výhodnější podmínky d</w:t>
            </w:r>
            <w:r w:rsidRPr="00826CDF">
              <w:rPr>
                <w:sz w:val="12"/>
                <w:szCs w:val="12"/>
              </w:rPr>
              <w:t>aňové úlevy</w:t>
            </w:r>
          </w:p>
          <w:p w14:paraId="07C8C8B9"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Nebankovní podnikatelský úvěr</w:t>
            </w:r>
          </w:p>
          <w:p w14:paraId="3CC917C1"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Finanční leasing</w:t>
            </w:r>
          </w:p>
          <w:p w14:paraId="09A129F3"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Operativní leasing</w:t>
            </w:r>
          </w:p>
          <w:p w14:paraId="06D2F2CC" w14:textId="77777777" w:rsidR="004736A8" w:rsidRPr="00826CDF" w:rsidRDefault="004736A8" w:rsidP="004736A8">
            <w:pPr>
              <w:pStyle w:val="ListParagraph"/>
              <w:numPr>
                <w:ilvl w:val="0"/>
                <w:numId w:val="51"/>
              </w:numPr>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Kapitálové investice</w:t>
            </w:r>
            <w:r w:rsidRPr="00826CDF">
              <w:rPr>
                <w:rFonts w:eastAsia="Times New Roman" w:cs="Calibri"/>
                <w:color w:val="000000"/>
                <w:sz w:val="12"/>
                <w:szCs w:val="12"/>
              </w:rPr>
              <w:br/>
              <w:t>…</w:t>
            </w:r>
          </w:p>
          <w:p w14:paraId="65B93354" w14:textId="77777777" w:rsidR="004736A8" w:rsidRPr="00826CDF" w:rsidRDefault="004736A8" w:rsidP="004736A8">
            <w:pPr>
              <w:pStyle w:val="ListParagraph"/>
              <w:numPr>
                <w:ilvl w:val="0"/>
                <w:numId w:val="51"/>
              </w:numPr>
              <w:spacing w:after="0" w:line="240" w:lineRule="auto"/>
              <w:ind w:left="43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 prosím uveďte:</w:t>
            </w:r>
          </w:p>
        </w:tc>
        <w:tc>
          <w:tcPr>
            <w:tcW w:w="798" w:type="pct"/>
            <w:shd w:val="clear" w:color="auto" w:fill="auto"/>
          </w:tcPr>
          <w:p w14:paraId="0CF318B4" w14:textId="77777777" w:rsidR="004736A8" w:rsidRPr="00826CDF" w:rsidRDefault="004736A8" w:rsidP="004736A8">
            <w:pPr>
              <w:pStyle w:val="ListParagraph"/>
              <w:numPr>
                <w:ilvl w:val="0"/>
                <w:numId w:val="51"/>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1EF323A7" w14:textId="77777777" w:rsidTr="004736A8">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658203AB"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47D3929C"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25</w:t>
            </w:r>
          </w:p>
        </w:tc>
        <w:tc>
          <w:tcPr>
            <w:tcW w:w="1427" w:type="pct"/>
            <w:shd w:val="clear" w:color="auto" w:fill="auto"/>
          </w:tcPr>
          <w:p w14:paraId="1AAC3C32" w14:textId="77777777" w:rsidR="004736A8" w:rsidRPr="00826CDF" w:rsidRDefault="004736A8" w:rsidP="004736A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b/>
                <w:color w:val="000000"/>
                <w:sz w:val="12"/>
                <w:szCs w:val="12"/>
              </w:rPr>
              <w:t>Do jaké míry/výše byste využili</w:t>
            </w:r>
            <w:r w:rsidRPr="00826CDF">
              <w:rPr>
                <w:color w:val="000000"/>
                <w:sz w:val="12"/>
                <w:szCs w:val="12"/>
              </w:rPr>
              <w:t xml:space="preserve"> výhodnějších finančních podmínek pro financování a podporu projektů ze strany státu </w:t>
            </w:r>
            <w:r w:rsidRPr="00826CDF">
              <w:rPr>
                <w:b/>
                <w:color w:val="000000"/>
                <w:sz w:val="12"/>
                <w:szCs w:val="12"/>
              </w:rPr>
              <w:t>po dobu překlenutí období trvání pandemie koronaviru</w:t>
            </w:r>
            <w:r w:rsidRPr="00826CDF">
              <w:rPr>
                <w:color w:val="000000"/>
                <w:sz w:val="12"/>
                <w:szCs w:val="12"/>
              </w:rPr>
              <w:t xml:space="preserve"> (následující dva roky)?</w:t>
            </w:r>
          </w:p>
        </w:tc>
        <w:tc>
          <w:tcPr>
            <w:tcW w:w="1764" w:type="pct"/>
            <w:shd w:val="clear" w:color="auto" w:fill="auto"/>
          </w:tcPr>
          <w:p w14:paraId="5C8E159E" w14:textId="77777777" w:rsidR="004736A8" w:rsidRPr="00826CDF" w:rsidRDefault="004736A8" w:rsidP="004736A8">
            <w:pPr>
              <w:pStyle w:val="ListParagraph"/>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shd w:val="clear" w:color="auto" w:fill="auto"/>
          </w:tcPr>
          <w:p w14:paraId="51E024DD" w14:textId="77777777" w:rsidR="004736A8" w:rsidRPr="00826CDF" w:rsidRDefault="004736A8" w:rsidP="004736A8">
            <w:pPr>
              <w:pStyle w:val="ListParagraph"/>
              <w:numPr>
                <w:ilvl w:val="0"/>
                <w:numId w:val="51"/>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Otevřená otázka</w:t>
            </w:r>
          </w:p>
        </w:tc>
      </w:tr>
      <w:tr w:rsidR="004736A8" w:rsidRPr="004736A8" w14:paraId="6CE9BCFA" w14:textId="77777777" w:rsidTr="004736A8">
        <w:trPr>
          <w:trHeight w:val="1840"/>
        </w:trPr>
        <w:tc>
          <w:tcPr>
            <w:cnfStyle w:val="001000000000" w:firstRow="0" w:lastRow="0" w:firstColumn="1" w:lastColumn="0" w:oddVBand="0" w:evenVBand="0" w:oddHBand="0" w:evenHBand="0" w:firstRowFirstColumn="0" w:firstRowLastColumn="0" w:lastRowFirstColumn="0" w:lastRowLastColumn="0"/>
            <w:tcW w:w="735" w:type="pct"/>
            <w:vMerge/>
            <w:shd w:val="clear" w:color="auto" w:fill="auto"/>
          </w:tcPr>
          <w:p w14:paraId="70AB90B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p>
        </w:tc>
        <w:tc>
          <w:tcPr>
            <w:tcW w:w="276" w:type="pct"/>
            <w:shd w:val="clear" w:color="auto" w:fill="auto"/>
          </w:tcPr>
          <w:p w14:paraId="00DA93AC"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26</w:t>
            </w:r>
          </w:p>
        </w:tc>
        <w:tc>
          <w:tcPr>
            <w:tcW w:w="1427" w:type="pct"/>
            <w:shd w:val="clear" w:color="auto" w:fill="auto"/>
          </w:tcPr>
          <w:p w14:paraId="5C5FD7F8" w14:textId="77777777" w:rsidR="004736A8" w:rsidRPr="00826CDF" w:rsidRDefault="004736A8" w:rsidP="004736A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 xml:space="preserve">Které oblasti </w:t>
            </w:r>
            <w:r w:rsidRPr="00826CDF">
              <w:rPr>
                <w:b/>
                <w:color w:val="000000"/>
                <w:sz w:val="12"/>
                <w:szCs w:val="12"/>
              </w:rPr>
              <w:t>nefinanční podpory projektů</w:t>
            </w:r>
            <w:r w:rsidRPr="00826CDF">
              <w:rPr>
                <w:color w:val="000000"/>
                <w:sz w:val="12"/>
                <w:szCs w:val="12"/>
              </w:rPr>
              <w:t xml:space="preserve"> vnímáte jako pro vás prioritní ve vztahu k </w:t>
            </w:r>
            <w:r w:rsidRPr="00826CDF">
              <w:rPr>
                <w:b/>
                <w:color w:val="000000"/>
                <w:sz w:val="12"/>
                <w:szCs w:val="12"/>
              </w:rPr>
              <w:t>překlenutí období trvání pandemie koronaviru</w:t>
            </w:r>
            <w:r w:rsidRPr="00826CDF">
              <w:rPr>
                <w:color w:val="000000"/>
                <w:sz w:val="12"/>
                <w:szCs w:val="12"/>
              </w:rPr>
              <w:t xml:space="preserve"> (následující dva roky)?</w:t>
            </w:r>
          </w:p>
          <w:p w14:paraId="63ED1E8F"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bCs/>
                <w:color w:val="000000"/>
                <w:sz w:val="12"/>
                <w:szCs w:val="12"/>
              </w:rPr>
            </w:pPr>
          </w:p>
        </w:tc>
        <w:tc>
          <w:tcPr>
            <w:tcW w:w="1764" w:type="pct"/>
            <w:shd w:val="clear" w:color="auto" w:fill="auto"/>
          </w:tcPr>
          <w:p w14:paraId="1ABA349C" w14:textId="77777777" w:rsidR="004736A8" w:rsidRPr="00826CDF" w:rsidRDefault="004736A8" w:rsidP="004736A8">
            <w:pPr>
              <w:pStyle w:val="ListParagraph"/>
              <w:numPr>
                <w:ilvl w:val="0"/>
                <w:numId w:val="5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826CDF">
              <w:rPr>
                <w:rFonts w:eastAsia="Times New Roman" w:cs="Calibri"/>
                <w:color w:val="000000"/>
                <w:sz w:val="12"/>
                <w:szCs w:val="12"/>
              </w:rPr>
              <w:t>Legislativní nařízení</w:t>
            </w:r>
          </w:p>
          <w:p w14:paraId="74810448" w14:textId="77777777" w:rsidR="004736A8" w:rsidRPr="00826CDF" w:rsidRDefault="004736A8" w:rsidP="004736A8">
            <w:pPr>
              <w:pStyle w:val="ListParagraph"/>
              <w:numPr>
                <w:ilvl w:val="0"/>
                <w:numId w:val="5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Úprava podmínek podpory směrem k menší administrativní náročnosti pro její získání </w:t>
            </w:r>
          </w:p>
          <w:p w14:paraId="148E4687" w14:textId="77777777" w:rsidR="004736A8" w:rsidRPr="00826CDF" w:rsidRDefault="004736A8" w:rsidP="004736A8">
            <w:pPr>
              <w:pStyle w:val="ListParagraph"/>
              <w:numPr>
                <w:ilvl w:val="0"/>
                <w:numId w:val="5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Pomocí při přípravě projektů (zejména environmentální poradenství)</w:t>
            </w:r>
          </w:p>
          <w:p w14:paraId="31347300" w14:textId="77777777" w:rsidR="004736A8" w:rsidRPr="00826CDF" w:rsidRDefault="004736A8" w:rsidP="004736A8">
            <w:pPr>
              <w:pStyle w:val="ListParagraph"/>
              <w:numPr>
                <w:ilvl w:val="0"/>
                <w:numId w:val="5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 xml:space="preserve">Osvětou, dostatečnou propagací zdrojů financování (zejména mimo dotací) </w:t>
            </w:r>
          </w:p>
          <w:p w14:paraId="442C8531" w14:textId="77777777" w:rsidR="004736A8" w:rsidRPr="00826CDF" w:rsidRDefault="004736A8" w:rsidP="004736A8">
            <w:pPr>
              <w:pStyle w:val="ListParagraph"/>
              <w:numPr>
                <w:ilvl w:val="0"/>
                <w:numId w:val="51"/>
              </w:numPr>
              <w:spacing w:after="0" w:line="240" w:lineRule="auto"/>
              <w:ind w:left="3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Jiným způsobem:….</w:t>
            </w:r>
          </w:p>
          <w:p w14:paraId="7AFE797F" w14:textId="77777777" w:rsidR="004736A8" w:rsidRPr="00826CDF" w:rsidRDefault="004736A8" w:rsidP="004736A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p>
        </w:tc>
        <w:tc>
          <w:tcPr>
            <w:tcW w:w="798" w:type="pct"/>
            <w:shd w:val="clear" w:color="auto" w:fill="auto"/>
          </w:tcPr>
          <w:p w14:paraId="0F87EF08" w14:textId="77777777" w:rsidR="004736A8" w:rsidRPr="00826CDF" w:rsidRDefault="004736A8" w:rsidP="004736A8">
            <w:pPr>
              <w:pStyle w:val="ListParagraph"/>
              <w:numPr>
                <w:ilvl w:val="0"/>
                <w:numId w:val="51"/>
              </w:numPr>
              <w:spacing w:after="0" w:line="240" w:lineRule="auto"/>
              <w:ind w:left="39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r w:rsidR="004736A8" w:rsidRPr="004736A8" w14:paraId="0E05B5DF" w14:textId="77777777" w:rsidTr="004736A8">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735" w:type="pct"/>
            <w:shd w:val="clear" w:color="auto" w:fill="auto"/>
          </w:tcPr>
          <w:p w14:paraId="5E03B010" w14:textId="77777777" w:rsidR="004736A8" w:rsidRPr="00826CDF" w:rsidRDefault="004736A8" w:rsidP="004736A8">
            <w:pPr>
              <w:spacing w:after="0" w:line="240" w:lineRule="auto"/>
              <w:rPr>
                <w:rFonts w:asciiTheme="minorHAnsi" w:eastAsia="Times New Roman" w:hAnsiTheme="minorHAnsi" w:cs="Calibri"/>
                <w:color w:val="000000"/>
                <w:sz w:val="12"/>
                <w:szCs w:val="12"/>
              </w:rPr>
            </w:pPr>
            <w:r w:rsidRPr="00826CDF">
              <w:rPr>
                <w:rFonts w:eastAsia="Times New Roman" w:cs="Calibri"/>
                <w:color w:val="000000"/>
                <w:sz w:val="12"/>
                <w:szCs w:val="12"/>
              </w:rPr>
              <w:t>Dlouhodobý horizont</w:t>
            </w:r>
          </w:p>
        </w:tc>
        <w:tc>
          <w:tcPr>
            <w:tcW w:w="276" w:type="pct"/>
            <w:shd w:val="clear" w:color="auto" w:fill="auto"/>
          </w:tcPr>
          <w:p w14:paraId="4E864FB8" w14:textId="77777777" w:rsidR="004736A8" w:rsidRPr="00826CDF" w:rsidRDefault="004736A8" w:rsidP="004736A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lang w:val="en-US"/>
              </w:rPr>
            </w:pPr>
            <w:r w:rsidRPr="00826CDF">
              <w:rPr>
                <w:rFonts w:eastAsia="Times New Roman" w:cs="Calibri"/>
                <w:color w:val="000000"/>
                <w:sz w:val="12"/>
                <w:szCs w:val="12"/>
              </w:rPr>
              <w:t>27</w:t>
            </w:r>
          </w:p>
        </w:tc>
        <w:tc>
          <w:tcPr>
            <w:tcW w:w="1427" w:type="pct"/>
            <w:shd w:val="clear" w:color="auto" w:fill="auto"/>
          </w:tcPr>
          <w:p w14:paraId="11AD33FE" w14:textId="77777777" w:rsidR="004736A8" w:rsidRPr="00826CDF" w:rsidRDefault="004736A8" w:rsidP="004736A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826CDF">
              <w:rPr>
                <w:color w:val="000000"/>
                <w:sz w:val="12"/>
                <w:szCs w:val="12"/>
              </w:rPr>
              <w:t xml:space="preserve">Jak vnímáte cíle EU v oblasti přechodu na bezemisní ekonomiku? </w:t>
            </w:r>
          </w:p>
        </w:tc>
        <w:tc>
          <w:tcPr>
            <w:tcW w:w="1764" w:type="pct"/>
            <w:shd w:val="clear" w:color="auto" w:fill="auto"/>
          </w:tcPr>
          <w:p w14:paraId="3CB04B33" w14:textId="77777777" w:rsidR="004736A8" w:rsidRPr="00826CDF" w:rsidRDefault="004736A8" w:rsidP="004736A8">
            <w:pPr>
              <w:pStyle w:val="ListParagraph"/>
              <w:numPr>
                <w:ilvl w:val="0"/>
                <w:numId w:val="51"/>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Cíle jsou dosažitelné při stávající úrovni podpory</w:t>
            </w:r>
          </w:p>
          <w:p w14:paraId="5241B8A5" w14:textId="77777777" w:rsidR="004736A8" w:rsidRPr="00826CDF" w:rsidRDefault="004736A8" w:rsidP="004736A8">
            <w:pPr>
              <w:pStyle w:val="ListParagraph"/>
              <w:numPr>
                <w:ilvl w:val="0"/>
                <w:numId w:val="51"/>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Pro dosažení cílů je nutný větší objem podpory</w:t>
            </w:r>
          </w:p>
          <w:p w14:paraId="3E5578F8" w14:textId="77777777" w:rsidR="004736A8" w:rsidRPr="00826CDF" w:rsidRDefault="004736A8" w:rsidP="004736A8">
            <w:pPr>
              <w:pStyle w:val="ListParagraph"/>
              <w:numPr>
                <w:ilvl w:val="0"/>
                <w:numId w:val="51"/>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Pro dosažení cílů  je nutná změna formy podpory (např. širší využívání finančních nástrojů)</w:t>
            </w:r>
          </w:p>
          <w:p w14:paraId="700E9290" w14:textId="77777777" w:rsidR="004736A8" w:rsidRPr="00826CDF" w:rsidRDefault="004736A8" w:rsidP="004736A8">
            <w:pPr>
              <w:pStyle w:val="ListParagraph"/>
              <w:numPr>
                <w:ilvl w:val="0"/>
                <w:numId w:val="51"/>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Cíle nejsou dosažitelné</w:t>
            </w:r>
          </w:p>
          <w:p w14:paraId="7A19A1A9" w14:textId="77777777" w:rsidR="004736A8" w:rsidRPr="00826CDF" w:rsidRDefault="004736A8" w:rsidP="004736A8">
            <w:pPr>
              <w:pStyle w:val="ListParagraph"/>
              <w:numPr>
                <w:ilvl w:val="0"/>
                <w:numId w:val="51"/>
              </w:numPr>
              <w:spacing w:after="0" w:line="240" w:lineRule="auto"/>
              <w:ind w:left="37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Jiné, prosím uveďte:</w:t>
            </w:r>
          </w:p>
        </w:tc>
        <w:tc>
          <w:tcPr>
            <w:tcW w:w="798" w:type="pct"/>
            <w:shd w:val="clear" w:color="auto" w:fill="auto"/>
          </w:tcPr>
          <w:p w14:paraId="445BBA45" w14:textId="77777777" w:rsidR="004736A8" w:rsidRPr="00826CDF" w:rsidRDefault="004736A8" w:rsidP="004736A8">
            <w:pPr>
              <w:pStyle w:val="ListParagraph"/>
              <w:numPr>
                <w:ilvl w:val="0"/>
                <w:numId w:val="51"/>
              </w:numPr>
              <w:spacing w:after="0" w:line="240" w:lineRule="auto"/>
              <w:ind w:left="39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2"/>
                <w:szCs w:val="12"/>
              </w:rPr>
            </w:pPr>
            <w:r w:rsidRPr="00826CDF">
              <w:rPr>
                <w:rFonts w:eastAsia="Times New Roman" w:cs="Calibri"/>
                <w:color w:val="000000"/>
                <w:sz w:val="12"/>
                <w:szCs w:val="12"/>
              </w:rPr>
              <w:t>Výběr více možností</w:t>
            </w:r>
          </w:p>
        </w:tc>
      </w:tr>
    </w:tbl>
    <w:p w14:paraId="0BA2218F" w14:textId="77777777" w:rsidR="004736A8" w:rsidRPr="00826CDF" w:rsidRDefault="004736A8" w:rsidP="00826CDF"/>
    <w:p w14:paraId="5E7CEE34" w14:textId="77777777" w:rsidR="00B35D2A" w:rsidRDefault="00B35D2A" w:rsidP="00F46FDA">
      <w:pPr>
        <w:spacing w:after="120" w:line="240" w:lineRule="auto"/>
        <w:jc w:val="both"/>
      </w:pPr>
    </w:p>
    <w:p w14:paraId="79CB2DD5" w14:textId="77777777" w:rsidR="00E935D2" w:rsidRDefault="00E935D2">
      <w:pPr>
        <w:spacing w:after="200" w:line="276" w:lineRule="auto"/>
      </w:pPr>
      <w:r>
        <w:br w:type="page"/>
      </w:r>
    </w:p>
    <w:p w14:paraId="02AA48A2" w14:textId="77777777" w:rsidR="00F46FDA" w:rsidRDefault="00F46FDA" w:rsidP="00F46FDA">
      <w:pPr>
        <w:spacing w:before="360" w:line="240" w:lineRule="auto"/>
        <w:rPr>
          <w:b/>
          <w:color w:val="86BC25" w:themeColor="accent1"/>
        </w:rPr>
      </w:pPr>
      <w:r>
        <w:rPr>
          <w:b/>
          <w:color w:val="86BC25" w:themeColor="accent1"/>
        </w:rPr>
        <w:lastRenderedPageBreak/>
        <w:t>Fokusní skupina</w:t>
      </w:r>
    </w:p>
    <w:p w14:paraId="59B112E4" w14:textId="77777777" w:rsidR="00F46FDA" w:rsidRDefault="00F46FDA" w:rsidP="00F46FDA">
      <w:pPr>
        <w:spacing w:line="240" w:lineRule="auto"/>
        <w:rPr>
          <w:b/>
          <w:color w:val="86BC25" w:themeColor="accent1"/>
        </w:rPr>
      </w:pPr>
      <w:r w:rsidRPr="0057390A">
        <w:rPr>
          <w:b/>
          <w:noProof/>
          <w:szCs w:val="18"/>
          <w:lang w:eastAsia="cs-CZ"/>
        </w:rPr>
        <mc:AlternateContent>
          <mc:Choice Requires="wps">
            <w:drawing>
              <wp:inline distT="0" distB="0" distL="0" distR="0" wp14:anchorId="253FE3A6" wp14:editId="1F0D2CCD">
                <wp:extent cx="5759450" cy="4071668"/>
                <wp:effectExtent l="19050" t="19050" r="12700"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071668"/>
                        </a:xfrm>
                        <a:prstGeom prst="rect">
                          <a:avLst/>
                        </a:prstGeom>
                        <a:solidFill>
                          <a:schemeClr val="accent3">
                            <a:lumMod val="20000"/>
                            <a:lumOff val="80000"/>
                          </a:schemeClr>
                        </a:solidFill>
                        <a:ln w="28575">
                          <a:solidFill>
                            <a:schemeClr val="accent3"/>
                          </a:solidFill>
                          <a:miter lim="800000"/>
                          <a:headEnd/>
                          <a:tailEnd/>
                        </a:ln>
                      </wps:spPr>
                      <wps:txbx>
                        <w:txbxContent>
                          <w:p w14:paraId="2875B611" w14:textId="77777777" w:rsidR="005B5874" w:rsidRPr="0096600A" w:rsidRDefault="005B5874" w:rsidP="00F46FDA">
                            <w:pPr>
                              <w:pStyle w:val="Contactus"/>
                              <w:spacing w:after="120" w:line="240" w:lineRule="auto"/>
                              <w:rPr>
                                <w:b/>
                                <w:i/>
                                <w:sz w:val="18"/>
                                <w:szCs w:val="18"/>
                              </w:rPr>
                            </w:pPr>
                            <w:r>
                              <w:rPr>
                                <w:b/>
                                <w:i/>
                                <w:sz w:val="18"/>
                                <w:szCs w:val="18"/>
                              </w:rPr>
                              <w:t>Průběh fokusní skupiny</w:t>
                            </w:r>
                          </w:p>
                          <w:p w14:paraId="46D67794" w14:textId="77777777" w:rsidR="005B5874" w:rsidRDefault="005B5874" w:rsidP="00F46FDA">
                            <w:pPr>
                              <w:pStyle w:val="Contactus"/>
                              <w:spacing w:after="120" w:line="240" w:lineRule="auto"/>
                              <w:rPr>
                                <w:i/>
                                <w:sz w:val="18"/>
                                <w:szCs w:val="18"/>
                              </w:rPr>
                            </w:pPr>
                            <w:r w:rsidRPr="00D26416">
                              <w:rPr>
                                <w:i/>
                                <w:sz w:val="18"/>
                                <w:szCs w:val="18"/>
                              </w:rPr>
                              <w:t>Fokusní skupin</w:t>
                            </w:r>
                            <w:r>
                              <w:rPr>
                                <w:i/>
                                <w:sz w:val="18"/>
                                <w:szCs w:val="18"/>
                              </w:rPr>
                              <w:t>a</w:t>
                            </w:r>
                            <w:r w:rsidRPr="00D26416">
                              <w:rPr>
                                <w:i/>
                                <w:sz w:val="18"/>
                                <w:szCs w:val="18"/>
                              </w:rPr>
                              <w:t xml:space="preserve"> </w:t>
                            </w:r>
                            <w:r w:rsidRPr="00E13A3D">
                              <w:rPr>
                                <w:i/>
                                <w:sz w:val="18"/>
                                <w:szCs w:val="18"/>
                              </w:rPr>
                              <w:t>/ fokusn</w:t>
                            </w:r>
                            <w:r>
                              <w:rPr>
                                <w:i/>
                                <w:sz w:val="18"/>
                                <w:szCs w:val="18"/>
                              </w:rPr>
                              <w:t>í skupiny</w:t>
                            </w:r>
                            <w:r w:rsidRPr="00D26416">
                              <w:rPr>
                                <w:i/>
                                <w:sz w:val="18"/>
                                <w:szCs w:val="18"/>
                              </w:rPr>
                              <w:t xml:space="preserve"> </w:t>
                            </w:r>
                            <w:r w:rsidRPr="00E13A3D">
                              <w:rPr>
                                <w:i/>
                                <w:sz w:val="18"/>
                                <w:szCs w:val="18"/>
                              </w:rPr>
                              <w:t>se zástupci podnikatelských subjektů</w:t>
                            </w:r>
                            <w:r>
                              <w:rPr>
                                <w:i/>
                                <w:sz w:val="18"/>
                                <w:szCs w:val="18"/>
                              </w:rPr>
                              <w:t xml:space="preserve"> se uskuteční </w:t>
                            </w:r>
                            <w:r w:rsidRPr="00D26416">
                              <w:rPr>
                                <w:i/>
                                <w:sz w:val="18"/>
                                <w:szCs w:val="18"/>
                              </w:rPr>
                              <w:t>v</w:t>
                            </w:r>
                            <w:r>
                              <w:rPr>
                                <w:i/>
                                <w:sz w:val="18"/>
                                <w:szCs w:val="18"/>
                              </w:rPr>
                              <w:t> </w:t>
                            </w:r>
                            <w:r w:rsidRPr="00D26416">
                              <w:rPr>
                                <w:i/>
                                <w:sz w:val="18"/>
                                <w:szCs w:val="18"/>
                              </w:rPr>
                              <w:t>Praze</w:t>
                            </w:r>
                            <w:r>
                              <w:rPr>
                                <w:i/>
                                <w:sz w:val="18"/>
                                <w:szCs w:val="18"/>
                              </w:rPr>
                              <w:t xml:space="preserve"> </w:t>
                            </w:r>
                            <w:r w:rsidRPr="00D26416">
                              <w:rPr>
                                <w:i/>
                                <w:sz w:val="18"/>
                                <w:szCs w:val="18"/>
                              </w:rPr>
                              <w:t>v</w:t>
                            </w:r>
                            <w:r>
                              <w:rPr>
                                <w:i/>
                                <w:sz w:val="18"/>
                                <w:szCs w:val="18"/>
                              </w:rPr>
                              <w:t> </w:t>
                            </w:r>
                            <w:r w:rsidRPr="00D26416">
                              <w:rPr>
                                <w:i/>
                                <w:sz w:val="18"/>
                                <w:szCs w:val="18"/>
                              </w:rPr>
                              <w:t xml:space="preserve">sídle </w:t>
                            </w:r>
                            <w:r>
                              <w:rPr>
                                <w:i/>
                                <w:sz w:val="18"/>
                                <w:szCs w:val="18"/>
                              </w:rPr>
                              <w:t xml:space="preserve">Dodavatele. </w:t>
                            </w:r>
                            <w:r w:rsidRPr="00D26416">
                              <w:rPr>
                                <w:i/>
                                <w:sz w:val="18"/>
                                <w:szCs w:val="18"/>
                              </w:rPr>
                              <w:t xml:space="preserve">Fokusní skupina bude trvat </w:t>
                            </w:r>
                            <w:r>
                              <w:rPr>
                                <w:i/>
                                <w:sz w:val="18"/>
                                <w:szCs w:val="18"/>
                              </w:rPr>
                              <w:t>1,5</w:t>
                            </w:r>
                            <w:r w:rsidRPr="00D26416">
                              <w:rPr>
                                <w:i/>
                                <w:sz w:val="18"/>
                                <w:szCs w:val="18"/>
                              </w:rPr>
                              <w:t xml:space="preserve"> až </w:t>
                            </w:r>
                            <w:r>
                              <w:rPr>
                                <w:i/>
                                <w:sz w:val="18"/>
                                <w:szCs w:val="18"/>
                              </w:rPr>
                              <w:t>2</w:t>
                            </w:r>
                            <w:r w:rsidRPr="00D26416">
                              <w:rPr>
                                <w:i/>
                                <w:sz w:val="18"/>
                                <w:szCs w:val="18"/>
                              </w:rPr>
                              <w:t xml:space="preserve"> hodiny, doporučený počet účastníků </w:t>
                            </w:r>
                            <w:r w:rsidRPr="00E13A3D">
                              <w:rPr>
                                <w:i/>
                                <w:sz w:val="18"/>
                                <w:szCs w:val="18"/>
                              </w:rPr>
                              <w:t xml:space="preserve">je </w:t>
                            </w:r>
                            <w:r>
                              <w:rPr>
                                <w:i/>
                                <w:sz w:val="18"/>
                                <w:szCs w:val="18"/>
                              </w:rPr>
                              <w:t>5 až 8</w:t>
                            </w:r>
                            <w:r w:rsidRPr="00D26416">
                              <w:rPr>
                                <w:i/>
                                <w:sz w:val="18"/>
                                <w:szCs w:val="18"/>
                              </w:rPr>
                              <w:t>. Fokusní skupinu povedou dva zkušení facilitátoři, kteří budou průběžně zaznamenávat a pracovat s</w:t>
                            </w:r>
                            <w:r>
                              <w:rPr>
                                <w:i/>
                                <w:sz w:val="18"/>
                                <w:szCs w:val="18"/>
                              </w:rPr>
                              <w:t> </w:t>
                            </w:r>
                            <w:r w:rsidRPr="00D26416">
                              <w:rPr>
                                <w:i/>
                                <w:sz w:val="18"/>
                                <w:szCs w:val="18"/>
                              </w:rPr>
                              <w:t xml:space="preserve">informacemi, zajišťovat konstruktivní debatu. </w:t>
                            </w:r>
                            <w:r>
                              <w:rPr>
                                <w:i/>
                                <w:sz w:val="18"/>
                                <w:szCs w:val="18"/>
                              </w:rPr>
                              <w:t>V</w:t>
                            </w:r>
                            <w:r w:rsidRPr="006535EC">
                              <w:rPr>
                                <w:i/>
                                <w:sz w:val="18"/>
                                <w:szCs w:val="18"/>
                              </w:rPr>
                              <w:t xml:space="preserve"> případě potřeby lze</w:t>
                            </w:r>
                            <w:r>
                              <w:rPr>
                                <w:i/>
                                <w:sz w:val="18"/>
                                <w:szCs w:val="18"/>
                              </w:rPr>
                              <w:t xml:space="preserve"> FS</w:t>
                            </w:r>
                            <w:r w:rsidRPr="006535EC">
                              <w:rPr>
                                <w:i/>
                                <w:sz w:val="18"/>
                                <w:szCs w:val="18"/>
                              </w:rPr>
                              <w:t xml:space="preserve"> realizovat formou telekonference</w:t>
                            </w:r>
                            <w:r>
                              <w:rPr>
                                <w:i/>
                                <w:sz w:val="18"/>
                                <w:szCs w:val="18"/>
                              </w:rPr>
                              <w:t>.</w:t>
                            </w:r>
                          </w:p>
                          <w:p w14:paraId="2CB63498" w14:textId="77777777" w:rsidR="005B5874" w:rsidRPr="0096600A" w:rsidRDefault="005B5874" w:rsidP="00F46FDA">
                            <w:pPr>
                              <w:pStyle w:val="Contactus"/>
                              <w:spacing w:after="120" w:line="240" w:lineRule="auto"/>
                              <w:rPr>
                                <w:i/>
                                <w:sz w:val="18"/>
                                <w:szCs w:val="18"/>
                              </w:rPr>
                            </w:pPr>
                            <w:r>
                              <w:rPr>
                                <w:i/>
                                <w:sz w:val="18"/>
                                <w:szCs w:val="18"/>
                              </w:rPr>
                              <w:t>Fokusní skupina bude vedena</w:t>
                            </w:r>
                            <w:r w:rsidRPr="0096600A">
                              <w:rPr>
                                <w:i/>
                                <w:sz w:val="18"/>
                                <w:szCs w:val="18"/>
                              </w:rPr>
                              <w:t xml:space="preserve"> v následující rámcové struktuře:</w:t>
                            </w:r>
                          </w:p>
                          <w:p w14:paraId="650C7E2A" w14:textId="77777777" w:rsidR="005B5874" w:rsidRDefault="005B5874" w:rsidP="00F46FDA">
                            <w:pPr>
                              <w:pStyle w:val="Contactus"/>
                              <w:numPr>
                                <w:ilvl w:val="0"/>
                                <w:numId w:val="31"/>
                              </w:numPr>
                              <w:spacing w:after="120" w:line="240" w:lineRule="auto"/>
                              <w:ind w:left="426"/>
                              <w:rPr>
                                <w:i/>
                                <w:sz w:val="18"/>
                                <w:szCs w:val="18"/>
                              </w:rPr>
                            </w:pPr>
                            <w:r w:rsidRPr="00D26416">
                              <w:rPr>
                                <w:i/>
                                <w:sz w:val="18"/>
                                <w:szCs w:val="18"/>
                              </w:rPr>
                              <w:t xml:space="preserve">Představení </w:t>
                            </w:r>
                            <w:r>
                              <w:rPr>
                                <w:i/>
                                <w:sz w:val="18"/>
                                <w:szCs w:val="18"/>
                              </w:rPr>
                              <w:t>projektu,</w:t>
                            </w:r>
                            <w:r w:rsidRPr="00D26416">
                              <w:rPr>
                                <w:i/>
                                <w:sz w:val="18"/>
                                <w:szCs w:val="18"/>
                              </w:rPr>
                              <w:t xml:space="preserve"> </w:t>
                            </w:r>
                            <w:r>
                              <w:rPr>
                                <w:i/>
                                <w:sz w:val="18"/>
                                <w:szCs w:val="18"/>
                              </w:rPr>
                              <w:t xml:space="preserve">Dodavatele, </w:t>
                            </w:r>
                            <w:r w:rsidRPr="00D26416">
                              <w:rPr>
                                <w:i/>
                                <w:sz w:val="18"/>
                                <w:szCs w:val="18"/>
                              </w:rPr>
                              <w:t>průběh</w:t>
                            </w:r>
                            <w:r>
                              <w:rPr>
                                <w:i/>
                                <w:sz w:val="18"/>
                                <w:szCs w:val="18"/>
                              </w:rPr>
                              <w:t>u</w:t>
                            </w:r>
                            <w:r w:rsidRPr="00D26416">
                              <w:rPr>
                                <w:i/>
                                <w:sz w:val="18"/>
                                <w:szCs w:val="18"/>
                              </w:rPr>
                              <w:t xml:space="preserve"> </w:t>
                            </w:r>
                            <w:r>
                              <w:rPr>
                                <w:i/>
                                <w:sz w:val="18"/>
                                <w:szCs w:val="18"/>
                              </w:rPr>
                              <w:t xml:space="preserve">a cílů </w:t>
                            </w:r>
                            <w:r w:rsidRPr="00D26416">
                              <w:rPr>
                                <w:i/>
                                <w:sz w:val="18"/>
                                <w:szCs w:val="18"/>
                              </w:rPr>
                              <w:t>fokusní skupiny, zpracování a výstup</w:t>
                            </w:r>
                            <w:r>
                              <w:rPr>
                                <w:i/>
                                <w:sz w:val="18"/>
                                <w:szCs w:val="18"/>
                              </w:rPr>
                              <w:t xml:space="preserve">ů </w:t>
                            </w:r>
                            <w:r w:rsidRPr="00AB44C3">
                              <w:rPr>
                                <w:i/>
                                <w:sz w:val="18"/>
                                <w:szCs w:val="18"/>
                              </w:rPr>
                              <w:t>výzkum</w:t>
                            </w:r>
                            <w:r>
                              <w:rPr>
                                <w:i/>
                                <w:sz w:val="18"/>
                                <w:szCs w:val="18"/>
                              </w:rPr>
                              <w:t>u</w:t>
                            </w:r>
                          </w:p>
                          <w:p w14:paraId="2B50EE05" w14:textId="77777777" w:rsidR="005B5874" w:rsidRPr="00D26416" w:rsidRDefault="005B5874" w:rsidP="00F46FDA">
                            <w:pPr>
                              <w:pStyle w:val="Contactus"/>
                              <w:numPr>
                                <w:ilvl w:val="0"/>
                                <w:numId w:val="31"/>
                              </w:numPr>
                              <w:spacing w:after="120" w:line="240" w:lineRule="auto"/>
                              <w:ind w:left="426"/>
                              <w:rPr>
                                <w:i/>
                                <w:sz w:val="18"/>
                                <w:szCs w:val="18"/>
                              </w:rPr>
                            </w:pPr>
                            <w:r w:rsidRPr="00D26416">
                              <w:rPr>
                                <w:i/>
                                <w:sz w:val="18"/>
                                <w:szCs w:val="18"/>
                              </w:rPr>
                              <w:t xml:space="preserve">Představení </w:t>
                            </w:r>
                            <w:r>
                              <w:rPr>
                                <w:i/>
                                <w:sz w:val="18"/>
                                <w:szCs w:val="18"/>
                              </w:rPr>
                              <w:t>respondentů</w:t>
                            </w:r>
                            <w:r w:rsidRPr="00D26416">
                              <w:rPr>
                                <w:i/>
                                <w:sz w:val="18"/>
                                <w:szCs w:val="18"/>
                              </w:rPr>
                              <w:t>, na</w:t>
                            </w:r>
                            <w:r>
                              <w:rPr>
                                <w:i/>
                                <w:sz w:val="18"/>
                                <w:szCs w:val="18"/>
                              </w:rPr>
                              <w:t>vázání prostředí důvěry</w:t>
                            </w:r>
                          </w:p>
                          <w:p w14:paraId="5AC80AB5" w14:textId="77777777" w:rsidR="005B5874" w:rsidRPr="0030061E" w:rsidRDefault="005B5874" w:rsidP="00F46FDA">
                            <w:pPr>
                              <w:pStyle w:val="Contactus"/>
                              <w:numPr>
                                <w:ilvl w:val="0"/>
                                <w:numId w:val="31"/>
                              </w:numPr>
                              <w:spacing w:after="120" w:line="240" w:lineRule="auto"/>
                              <w:ind w:left="426"/>
                              <w:rPr>
                                <w:i/>
                                <w:sz w:val="18"/>
                                <w:szCs w:val="18"/>
                              </w:rPr>
                            </w:pPr>
                            <w:r w:rsidRPr="0096600A">
                              <w:rPr>
                                <w:i/>
                                <w:sz w:val="18"/>
                                <w:szCs w:val="18"/>
                              </w:rPr>
                              <w:t xml:space="preserve">Realizace </w:t>
                            </w:r>
                            <w:r>
                              <w:rPr>
                                <w:i/>
                                <w:sz w:val="18"/>
                                <w:szCs w:val="18"/>
                              </w:rPr>
                              <w:t>diskuze</w:t>
                            </w:r>
                            <w:r w:rsidRPr="0096600A">
                              <w:rPr>
                                <w:i/>
                                <w:sz w:val="18"/>
                                <w:szCs w:val="18"/>
                              </w:rPr>
                              <w:t xml:space="preserve"> se sadou volných</w:t>
                            </w:r>
                            <w:r>
                              <w:rPr>
                                <w:i/>
                                <w:sz w:val="18"/>
                                <w:szCs w:val="18"/>
                              </w:rPr>
                              <w:t xml:space="preserve"> otázek v preferovaném pořadí s </w:t>
                            </w:r>
                            <w:r w:rsidRPr="0096600A">
                              <w:rPr>
                                <w:i/>
                                <w:sz w:val="18"/>
                                <w:szCs w:val="18"/>
                              </w:rPr>
                              <w:t>možnými alternacemi.</w:t>
                            </w:r>
                            <w:r>
                              <w:rPr>
                                <w:i/>
                                <w:sz w:val="18"/>
                                <w:szCs w:val="18"/>
                              </w:rPr>
                              <w:t xml:space="preserve"> Diskuze bude rozčleněna </w:t>
                            </w:r>
                            <w:r w:rsidRPr="0030061E">
                              <w:rPr>
                                <w:i/>
                                <w:sz w:val="18"/>
                                <w:szCs w:val="18"/>
                              </w:rPr>
                              <w:t>do tří fází:</w:t>
                            </w:r>
                          </w:p>
                          <w:p w14:paraId="474FBA3D" w14:textId="77777777" w:rsidR="005B5874" w:rsidRPr="002277F8" w:rsidRDefault="005B5874" w:rsidP="002277F8">
                            <w:pPr>
                              <w:pStyle w:val="ListParagraph"/>
                              <w:numPr>
                                <w:ilvl w:val="0"/>
                                <w:numId w:val="28"/>
                              </w:numPr>
                              <w:rPr>
                                <w:i/>
                                <w:szCs w:val="18"/>
                              </w:rPr>
                            </w:pPr>
                            <w:r w:rsidRPr="002277F8">
                              <w:rPr>
                                <w:i/>
                                <w:szCs w:val="18"/>
                              </w:rPr>
                              <w:t>Úvodní otázky navazující kontakt s respondenty, snadné a zajímavé otázky pro navázání důvěry, rámcové představení situace v oblasti posunu k nízkouhlíkovému hospodářství</w:t>
                            </w:r>
                          </w:p>
                          <w:p w14:paraId="58A892FF" w14:textId="77777777" w:rsidR="005B5874" w:rsidRPr="00BC464B" w:rsidRDefault="005B5874" w:rsidP="009E2663">
                            <w:pPr>
                              <w:pStyle w:val="Contactus"/>
                              <w:numPr>
                                <w:ilvl w:val="0"/>
                                <w:numId w:val="28"/>
                              </w:numPr>
                              <w:spacing w:after="120" w:line="240" w:lineRule="auto"/>
                              <w:rPr>
                                <w:i/>
                                <w:sz w:val="18"/>
                                <w:szCs w:val="18"/>
                              </w:rPr>
                            </w:pPr>
                            <w:r w:rsidRPr="00BC464B">
                              <w:rPr>
                                <w:i/>
                                <w:sz w:val="18"/>
                                <w:szCs w:val="18"/>
                              </w:rPr>
                              <w:t>Základní a dodatečné otázky (</w:t>
                            </w:r>
                            <w:r w:rsidRPr="001B11C7">
                              <w:rPr>
                                <w:i/>
                                <w:sz w:val="18"/>
                                <w:szCs w:val="18"/>
                              </w:rPr>
                              <w:t>viz Okruhy otázek níže</w:t>
                            </w:r>
                            <w:r w:rsidRPr="00BC464B">
                              <w:rPr>
                                <w:i/>
                                <w:sz w:val="18"/>
                                <w:szCs w:val="18"/>
                              </w:rPr>
                              <w:t>)</w:t>
                            </w:r>
                          </w:p>
                          <w:p w14:paraId="561C1C7F" w14:textId="77777777" w:rsidR="005B5874" w:rsidRPr="0096600A" w:rsidRDefault="005B5874" w:rsidP="00F46FDA">
                            <w:pPr>
                              <w:pStyle w:val="Contactus"/>
                              <w:numPr>
                                <w:ilvl w:val="0"/>
                                <w:numId w:val="28"/>
                              </w:numPr>
                              <w:spacing w:after="120" w:line="240" w:lineRule="auto"/>
                              <w:rPr>
                                <w:i/>
                                <w:sz w:val="18"/>
                                <w:szCs w:val="18"/>
                              </w:rPr>
                            </w:pPr>
                            <w:r w:rsidRPr="0096600A">
                              <w:rPr>
                                <w:i/>
                                <w:sz w:val="18"/>
                                <w:szCs w:val="18"/>
                              </w:rPr>
                              <w:t>Závěrečné odlehčující otázky</w:t>
                            </w:r>
                          </w:p>
                          <w:p w14:paraId="0F7E2881" w14:textId="77777777" w:rsidR="005B5874" w:rsidRDefault="005B5874" w:rsidP="00F46FDA">
                            <w:pPr>
                              <w:pStyle w:val="Contactus"/>
                              <w:numPr>
                                <w:ilvl w:val="0"/>
                                <w:numId w:val="31"/>
                              </w:numPr>
                              <w:spacing w:after="120" w:line="240" w:lineRule="auto"/>
                              <w:ind w:left="360"/>
                              <w:rPr>
                                <w:i/>
                                <w:sz w:val="18"/>
                                <w:szCs w:val="18"/>
                              </w:rPr>
                            </w:pPr>
                            <w:r w:rsidRPr="00D26416">
                              <w:rPr>
                                <w:i/>
                                <w:sz w:val="18"/>
                                <w:szCs w:val="18"/>
                              </w:rPr>
                              <w:t>Závěrečná společná re</w:t>
                            </w:r>
                            <w:r>
                              <w:rPr>
                                <w:i/>
                                <w:sz w:val="18"/>
                                <w:szCs w:val="18"/>
                              </w:rPr>
                              <w:t>flexe otázek a odpovědí</w:t>
                            </w:r>
                          </w:p>
                          <w:p w14:paraId="75E493B5" w14:textId="77777777" w:rsidR="005B5874" w:rsidRPr="00852E3B" w:rsidRDefault="005B5874" w:rsidP="00852E3B">
                            <w:pPr>
                              <w:pStyle w:val="Contactus"/>
                              <w:numPr>
                                <w:ilvl w:val="0"/>
                                <w:numId w:val="31"/>
                              </w:numPr>
                              <w:spacing w:after="120" w:line="240" w:lineRule="auto"/>
                              <w:ind w:left="360"/>
                              <w:rPr>
                                <w:i/>
                                <w:sz w:val="18"/>
                                <w:szCs w:val="18"/>
                              </w:rPr>
                            </w:pPr>
                            <w:r w:rsidRPr="00852E3B">
                              <w:rPr>
                                <w:i/>
                                <w:sz w:val="18"/>
                                <w:szCs w:val="18"/>
                              </w:rPr>
                              <w:t>Ukončení fokusní skupiny</w:t>
                            </w:r>
                          </w:p>
                          <w:p w14:paraId="5D038575" w14:textId="77777777" w:rsidR="005B5874" w:rsidRPr="00852E3B" w:rsidRDefault="005B5874" w:rsidP="00852E3B">
                            <w:pPr>
                              <w:pStyle w:val="Contacttext"/>
                            </w:pPr>
                          </w:p>
                          <w:p w14:paraId="6B23B956" w14:textId="77777777" w:rsidR="005B5874" w:rsidRPr="00852E3B" w:rsidRDefault="005B5874" w:rsidP="00852E3B">
                            <w:pPr>
                              <w:pStyle w:val="Contacttext"/>
                            </w:pPr>
                          </w:p>
                        </w:txbxContent>
                      </wps:txbx>
                      <wps:bodyPr rot="0" vert="horz" wrap="square" lIns="91440" tIns="45720" rIns="91440" bIns="45720" anchor="t" anchorCtr="0">
                        <a:noAutofit/>
                      </wps:bodyPr>
                    </wps:wsp>
                  </a:graphicData>
                </a:graphic>
              </wp:inline>
            </w:drawing>
          </mc:Choice>
          <mc:Fallback>
            <w:pict>
              <v:shape w14:anchorId="253FE3A6" id="Text Box 2" o:spid="_x0000_s1027" type="#_x0000_t202" style="width:453.5pt;height:3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" fillcolor="#dff0f9 [662]" strokecolor="#62b5e5 [3206]" strokeweight="2.25pt">
                <v:textbox>
                  <w:txbxContent>
                    <w:p w14:paraId="2875B611" w14:textId="77777777" w:rsidR="005B5874" w:rsidRPr="0096600A" w:rsidRDefault="005B5874" w:rsidP="00F46FDA">
                      <w:pPr>
                        <w:pStyle w:val="Contactus"/>
                        <w:spacing w:after="120" w:line="240" w:lineRule="auto"/>
                        <w:rPr>
                          <w:b/>
                          <w:i/>
                          <w:sz w:val="18"/>
                          <w:szCs w:val="18"/>
                        </w:rPr>
                      </w:pPr>
                      <w:r>
                        <w:rPr>
                          <w:b/>
                          <w:i/>
                          <w:sz w:val="18"/>
                          <w:szCs w:val="18"/>
                        </w:rPr>
                        <w:t>Průběh fokusní skupiny</w:t>
                      </w:r>
                    </w:p>
                    <w:p w14:paraId="46D67794" w14:textId="77777777" w:rsidR="005B5874" w:rsidRDefault="005B5874" w:rsidP="00F46FDA">
                      <w:pPr>
                        <w:pStyle w:val="Contactus"/>
                        <w:spacing w:after="120" w:line="240" w:lineRule="auto"/>
                        <w:rPr>
                          <w:i/>
                          <w:sz w:val="18"/>
                          <w:szCs w:val="18"/>
                        </w:rPr>
                      </w:pPr>
                      <w:r w:rsidRPr="00D26416">
                        <w:rPr>
                          <w:i/>
                          <w:sz w:val="18"/>
                          <w:szCs w:val="18"/>
                        </w:rPr>
                        <w:t>Fokusní skupin</w:t>
                      </w:r>
                      <w:r>
                        <w:rPr>
                          <w:i/>
                          <w:sz w:val="18"/>
                          <w:szCs w:val="18"/>
                        </w:rPr>
                        <w:t>a</w:t>
                      </w:r>
                      <w:r w:rsidRPr="00D26416">
                        <w:rPr>
                          <w:i/>
                          <w:sz w:val="18"/>
                          <w:szCs w:val="18"/>
                        </w:rPr>
                        <w:t xml:space="preserve"> </w:t>
                      </w:r>
                      <w:r w:rsidRPr="00E13A3D">
                        <w:rPr>
                          <w:i/>
                          <w:sz w:val="18"/>
                          <w:szCs w:val="18"/>
                        </w:rPr>
                        <w:t>/ fokusn</w:t>
                      </w:r>
                      <w:r>
                        <w:rPr>
                          <w:i/>
                          <w:sz w:val="18"/>
                          <w:szCs w:val="18"/>
                        </w:rPr>
                        <w:t>í skupiny</w:t>
                      </w:r>
                      <w:r w:rsidRPr="00D26416">
                        <w:rPr>
                          <w:i/>
                          <w:sz w:val="18"/>
                          <w:szCs w:val="18"/>
                        </w:rPr>
                        <w:t xml:space="preserve"> </w:t>
                      </w:r>
                      <w:r w:rsidRPr="00E13A3D">
                        <w:rPr>
                          <w:i/>
                          <w:sz w:val="18"/>
                          <w:szCs w:val="18"/>
                        </w:rPr>
                        <w:t>se zástupci podnikatelských subjektů</w:t>
                      </w:r>
                      <w:r>
                        <w:rPr>
                          <w:i/>
                          <w:sz w:val="18"/>
                          <w:szCs w:val="18"/>
                        </w:rPr>
                        <w:t xml:space="preserve"> se uskuteční </w:t>
                      </w:r>
                      <w:r w:rsidRPr="00D26416">
                        <w:rPr>
                          <w:i/>
                          <w:sz w:val="18"/>
                          <w:szCs w:val="18"/>
                        </w:rPr>
                        <w:t>v</w:t>
                      </w:r>
                      <w:r>
                        <w:rPr>
                          <w:i/>
                          <w:sz w:val="18"/>
                          <w:szCs w:val="18"/>
                        </w:rPr>
                        <w:t> </w:t>
                      </w:r>
                      <w:r w:rsidRPr="00D26416">
                        <w:rPr>
                          <w:i/>
                          <w:sz w:val="18"/>
                          <w:szCs w:val="18"/>
                        </w:rPr>
                        <w:t>Praze</w:t>
                      </w:r>
                      <w:r>
                        <w:rPr>
                          <w:i/>
                          <w:sz w:val="18"/>
                          <w:szCs w:val="18"/>
                        </w:rPr>
                        <w:t xml:space="preserve"> </w:t>
                      </w:r>
                      <w:r w:rsidRPr="00D26416">
                        <w:rPr>
                          <w:i/>
                          <w:sz w:val="18"/>
                          <w:szCs w:val="18"/>
                        </w:rPr>
                        <w:t>v</w:t>
                      </w:r>
                      <w:r>
                        <w:rPr>
                          <w:i/>
                          <w:sz w:val="18"/>
                          <w:szCs w:val="18"/>
                        </w:rPr>
                        <w:t> </w:t>
                      </w:r>
                      <w:r w:rsidRPr="00D26416">
                        <w:rPr>
                          <w:i/>
                          <w:sz w:val="18"/>
                          <w:szCs w:val="18"/>
                        </w:rPr>
                        <w:t xml:space="preserve">sídle </w:t>
                      </w:r>
                      <w:r>
                        <w:rPr>
                          <w:i/>
                          <w:sz w:val="18"/>
                          <w:szCs w:val="18"/>
                        </w:rPr>
                        <w:t xml:space="preserve">Dodavatele. </w:t>
                      </w:r>
                      <w:r w:rsidRPr="00D26416">
                        <w:rPr>
                          <w:i/>
                          <w:sz w:val="18"/>
                          <w:szCs w:val="18"/>
                        </w:rPr>
                        <w:t xml:space="preserve">Fokusní skupina bude trvat </w:t>
                      </w:r>
                      <w:r>
                        <w:rPr>
                          <w:i/>
                          <w:sz w:val="18"/>
                          <w:szCs w:val="18"/>
                        </w:rPr>
                        <w:t>1,5</w:t>
                      </w:r>
                      <w:r w:rsidRPr="00D26416">
                        <w:rPr>
                          <w:i/>
                          <w:sz w:val="18"/>
                          <w:szCs w:val="18"/>
                        </w:rPr>
                        <w:t xml:space="preserve"> až </w:t>
                      </w:r>
                      <w:r>
                        <w:rPr>
                          <w:i/>
                          <w:sz w:val="18"/>
                          <w:szCs w:val="18"/>
                        </w:rPr>
                        <w:t>2</w:t>
                      </w:r>
                      <w:r w:rsidRPr="00D26416">
                        <w:rPr>
                          <w:i/>
                          <w:sz w:val="18"/>
                          <w:szCs w:val="18"/>
                        </w:rPr>
                        <w:t xml:space="preserve"> hodiny, doporučený počet účastníků </w:t>
                      </w:r>
                      <w:r w:rsidRPr="00E13A3D">
                        <w:rPr>
                          <w:i/>
                          <w:sz w:val="18"/>
                          <w:szCs w:val="18"/>
                        </w:rPr>
                        <w:t xml:space="preserve">je </w:t>
                      </w:r>
                      <w:r>
                        <w:rPr>
                          <w:i/>
                          <w:sz w:val="18"/>
                          <w:szCs w:val="18"/>
                        </w:rPr>
                        <w:t>5 až 8</w:t>
                      </w:r>
                      <w:r w:rsidRPr="00D26416">
                        <w:rPr>
                          <w:i/>
                          <w:sz w:val="18"/>
                          <w:szCs w:val="18"/>
                        </w:rPr>
                        <w:t>. Fokusní skupinu povedou dva zkušení facilitátoři, kteří budou průběžně zaznamenávat a pracovat s</w:t>
                      </w:r>
                      <w:r>
                        <w:rPr>
                          <w:i/>
                          <w:sz w:val="18"/>
                          <w:szCs w:val="18"/>
                        </w:rPr>
                        <w:t> </w:t>
                      </w:r>
                      <w:r w:rsidRPr="00D26416">
                        <w:rPr>
                          <w:i/>
                          <w:sz w:val="18"/>
                          <w:szCs w:val="18"/>
                        </w:rPr>
                        <w:t xml:space="preserve">informacemi, zajišťovat konstruktivní debatu. </w:t>
                      </w:r>
                      <w:r>
                        <w:rPr>
                          <w:i/>
                          <w:sz w:val="18"/>
                          <w:szCs w:val="18"/>
                        </w:rPr>
                        <w:t>V</w:t>
                      </w:r>
                      <w:r w:rsidRPr="006535EC">
                        <w:rPr>
                          <w:i/>
                          <w:sz w:val="18"/>
                          <w:szCs w:val="18"/>
                        </w:rPr>
                        <w:t xml:space="preserve"> případě potřeby lze</w:t>
                      </w:r>
                      <w:r>
                        <w:rPr>
                          <w:i/>
                          <w:sz w:val="18"/>
                          <w:szCs w:val="18"/>
                        </w:rPr>
                        <w:t xml:space="preserve"> FS</w:t>
                      </w:r>
                      <w:r w:rsidRPr="006535EC">
                        <w:rPr>
                          <w:i/>
                          <w:sz w:val="18"/>
                          <w:szCs w:val="18"/>
                        </w:rPr>
                        <w:t xml:space="preserve"> realizovat formou telekonference</w:t>
                      </w:r>
                      <w:r>
                        <w:rPr>
                          <w:i/>
                          <w:sz w:val="18"/>
                          <w:szCs w:val="18"/>
                        </w:rPr>
                        <w:t>.</w:t>
                      </w:r>
                    </w:p>
                    <w:p w14:paraId="2CB63498" w14:textId="77777777" w:rsidR="005B5874" w:rsidRPr="0096600A" w:rsidRDefault="005B5874" w:rsidP="00F46FDA">
                      <w:pPr>
                        <w:pStyle w:val="Contactus"/>
                        <w:spacing w:after="120" w:line="240" w:lineRule="auto"/>
                        <w:rPr>
                          <w:i/>
                          <w:sz w:val="18"/>
                          <w:szCs w:val="18"/>
                        </w:rPr>
                      </w:pPr>
                      <w:r>
                        <w:rPr>
                          <w:i/>
                          <w:sz w:val="18"/>
                          <w:szCs w:val="18"/>
                        </w:rPr>
                        <w:t>Fokusní skupina bude vedena</w:t>
                      </w:r>
                      <w:r w:rsidRPr="0096600A">
                        <w:rPr>
                          <w:i/>
                          <w:sz w:val="18"/>
                          <w:szCs w:val="18"/>
                        </w:rPr>
                        <w:t xml:space="preserve"> v následující rámcové struktuře:</w:t>
                      </w:r>
                    </w:p>
                    <w:p w14:paraId="650C7E2A" w14:textId="77777777" w:rsidR="005B5874" w:rsidRDefault="005B5874" w:rsidP="00F46FDA">
                      <w:pPr>
                        <w:pStyle w:val="Contactus"/>
                        <w:numPr>
                          <w:ilvl w:val="0"/>
                          <w:numId w:val="31"/>
                        </w:numPr>
                        <w:spacing w:after="120" w:line="240" w:lineRule="auto"/>
                        <w:ind w:left="426"/>
                        <w:rPr>
                          <w:i/>
                          <w:sz w:val="18"/>
                          <w:szCs w:val="18"/>
                        </w:rPr>
                      </w:pPr>
                      <w:r w:rsidRPr="00D26416">
                        <w:rPr>
                          <w:i/>
                          <w:sz w:val="18"/>
                          <w:szCs w:val="18"/>
                        </w:rPr>
                        <w:t xml:space="preserve">Představení </w:t>
                      </w:r>
                      <w:r>
                        <w:rPr>
                          <w:i/>
                          <w:sz w:val="18"/>
                          <w:szCs w:val="18"/>
                        </w:rPr>
                        <w:t>projektu,</w:t>
                      </w:r>
                      <w:r w:rsidRPr="00D26416">
                        <w:rPr>
                          <w:i/>
                          <w:sz w:val="18"/>
                          <w:szCs w:val="18"/>
                        </w:rPr>
                        <w:t xml:space="preserve"> </w:t>
                      </w:r>
                      <w:r>
                        <w:rPr>
                          <w:i/>
                          <w:sz w:val="18"/>
                          <w:szCs w:val="18"/>
                        </w:rPr>
                        <w:t xml:space="preserve">Dodavatele, </w:t>
                      </w:r>
                      <w:r w:rsidRPr="00D26416">
                        <w:rPr>
                          <w:i/>
                          <w:sz w:val="18"/>
                          <w:szCs w:val="18"/>
                        </w:rPr>
                        <w:t>průběh</w:t>
                      </w:r>
                      <w:r>
                        <w:rPr>
                          <w:i/>
                          <w:sz w:val="18"/>
                          <w:szCs w:val="18"/>
                        </w:rPr>
                        <w:t>u</w:t>
                      </w:r>
                      <w:r w:rsidRPr="00D26416">
                        <w:rPr>
                          <w:i/>
                          <w:sz w:val="18"/>
                          <w:szCs w:val="18"/>
                        </w:rPr>
                        <w:t xml:space="preserve"> </w:t>
                      </w:r>
                      <w:r>
                        <w:rPr>
                          <w:i/>
                          <w:sz w:val="18"/>
                          <w:szCs w:val="18"/>
                        </w:rPr>
                        <w:t xml:space="preserve">a cílů </w:t>
                      </w:r>
                      <w:r w:rsidRPr="00D26416">
                        <w:rPr>
                          <w:i/>
                          <w:sz w:val="18"/>
                          <w:szCs w:val="18"/>
                        </w:rPr>
                        <w:t>fokusní skupiny, zpracování a výstup</w:t>
                      </w:r>
                      <w:r>
                        <w:rPr>
                          <w:i/>
                          <w:sz w:val="18"/>
                          <w:szCs w:val="18"/>
                        </w:rPr>
                        <w:t xml:space="preserve">ů </w:t>
                      </w:r>
                      <w:r w:rsidRPr="00AB44C3">
                        <w:rPr>
                          <w:i/>
                          <w:sz w:val="18"/>
                          <w:szCs w:val="18"/>
                        </w:rPr>
                        <w:t>výzkum</w:t>
                      </w:r>
                      <w:r>
                        <w:rPr>
                          <w:i/>
                          <w:sz w:val="18"/>
                          <w:szCs w:val="18"/>
                        </w:rPr>
                        <w:t>u</w:t>
                      </w:r>
                    </w:p>
                    <w:p w14:paraId="2B50EE05" w14:textId="77777777" w:rsidR="005B5874" w:rsidRPr="00D26416" w:rsidRDefault="005B5874" w:rsidP="00F46FDA">
                      <w:pPr>
                        <w:pStyle w:val="Contactus"/>
                        <w:numPr>
                          <w:ilvl w:val="0"/>
                          <w:numId w:val="31"/>
                        </w:numPr>
                        <w:spacing w:after="120" w:line="240" w:lineRule="auto"/>
                        <w:ind w:left="426"/>
                        <w:rPr>
                          <w:i/>
                          <w:sz w:val="18"/>
                          <w:szCs w:val="18"/>
                        </w:rPr>
                      </w:pPr>
                      <w:r w:rsidRPr="00D26416">
                        <w:rPr>
                          <w:i/>
                          <w:sz w:val="18"/>
                          <w:szCs w:val="18"/>
                        </w:rPr>
                        <w:t xml:space="preserve">Představení </w:t>
                      </w:r>
                      <w:r>
                        <w:rPr>
                          <w:i/>
                          <w:sz w:val="18"/>
                          <w:szCs w:val="18"/>
                        </w:rPr>
                        <w:t>respondentů</w:t>
                      </w:r>
                      <w:r w:rsidRPr="00D26416">
                        <w:rPr>
                          <w:i/>
                          <w:sz w:val="18"/>
                          <w:szCs w:val="18"/>
                        </w:rPr>
                        <w:t>, na</w:t>
                      </w:r>
                      <w:r>
                        <w:rPr>
                          <w:i/>
                          <w:sz w:val="18"/>
                          <w:szCs w:val="18"/>
                        </w:rPr>
                        <w:t>vázání prostředí důvěry</w:t>
                      </w:r>
                    </w:p>
                    <w:p w14:paraId="5AC80AB5" w14:textId="77777777" w:rsidR="005B5874" w:rsidRPr="0030061E" w:rsidRDefault="005B5874" w:rsidP="00F46FDA">
                      <w:pPr>
                        <w:pStyle w:val="Contactus"/>
                        <w:numPr>
                          <w:ilvl w:val="0"/>
                          <w:numId w:val="31"/>
                        </w:numPr>
                        <w:spacing w:after="120" w:line="240" w:lineRule="auto"/>
                        <w:ind w:left="426"/>
                        <w:rPr>
                          <w:i/>
                          <w:sz w:val="18"/>
                          <w:szCs w:val="18"/>
                        </w:rPr>
                      </w:pPr>
                      <w:r w:rsidRPr="0096600A">
                        <w:rPr>
                          <w:i/>
                          <w:sz w:val="18"/>
                          <w:szCs w:val="18"/>
                        </w:rPr>
                        <w:t xml:space="preserve">Realizace </w:t>
                      </w:r>
                      <w:r>
                        <w:rPr>
                          <w:i/>
                          <w:sz w:val="18"/>
                          <w:szCs w:val="18"/>
                        </w:rPr>
                        <w:t>diskuze</w:t>
                      </w:r>
                      <w:r w:rsidRPr="0096600A">
                        <w:rPr>
                          <w:i/>
                          <w:sz w:val="18"/>
                          <w:szCs w:val="18"/>
                        </w:rPr>
                        <w:t xml:space="preserve"> se sadou volných</w:t>
                      </w:r>
                      <w:r>
                        <w:rPr>
                          <w:i/>
                          <w:sz w:val="18"/>
                          <w:szCs w:val="18"/>
                        </w:rPr>
                        <w:t xml:space="preserve"> otázek v preferovaném pořadí s </w:t>
                      </w:r>
                      <w:r w:rsidRPr="0096600A">
                        <w:rPr>
                          <w:i/>
                          <w:sz w:val="18"/>
                          <w:szCs w:val="18"/>
                        </w:rPr>
                        <w:t>možnými alternacemi.</w:t>
                      </w:r>
                      <w:r>
                        <w:rPr>
                          <w:i/>
                          <w:sz w:val="18"/>
                          <w:szCs w:val="18"/>
                        </w:rPr>
                        <w:t xml:space="preserve"> Diskuze bude rozčleněna </w:t>
                      </w:r>
                      <w:r w:rsidRPr="0030061E">
                        <w:rPr>
                          <w:i/>
                          <w:sz w:val="18"/>
                          <w:szCs w:val="18"/>
                        </w:rPr>
                        <w:t>do tří fází:</w:t>
                      </w:r>
                    </w:p>
                    <w:p w14:paraId="474FBA3D" w14:textId="77777777" w:rsidR="005B5874" w:rsidRPr="002277F8" w:rsidRDefault="005B5874" w:rsidP="002277F8">
                      <w:pPr>
                        <w:pStyle w:val="ListParagraph"/>
                        <w:numPr>
                          <w:ilvl w:val="0"/>
                          <w:numId w:val="28"/>
                        </w:numPr>
                        <w:rPr>
                          <w:i/>
                          <w:szCs w:val="18"/>
                        </w:rPr>
                      </w:pPr>
                      <w:r w:rsidRPr="002277F8">
                        <w:rPr>
                          <w:i/>
                          <w:szCs w:val="18"/>
                        </w:rPr>
                        <w:t>Úvodní otázky navazující kontakt s respondenty, snadné a zajímavé otázky pro navázání důvěry, rámcové představení situace v oblasti posunu k nízkouhlíkovému hospodářství</w:t>
                      </w:r>
                    </w:p>
                    <w:p w14:paraId="58A892FF" w14:textId="77777777" w:rsidR="005B5874" w:rsidRPr="00BC464B" w:rsidRDefault="005B5874" w:rsidP="009E2663">
                      <w:pPr>
                        <w:pStyle w:val="Contactus"/>
                        <w:numPr>
                          <w:ilvl w:val="0"/>
                          <w:numId w:val="28"/>
                        </w:numPr>
                        <w:spacing w:after="120" w:line="240" w:lineRule="auto"/>
                        <w:rPr>
                          <w:i/>
                          <w:sz w:val="18"/>
                          <w:szCs w:val="18"/>
                        </w:rPr>
                      </w:pPr>
                      <w:r w:rsidRPr="00BC464B">
                        <w:rPr>
                          <w:i/>
                          <w:sz w:val="18"/>
                          <w:szCs w:val="18"/>
                        </w:rPr>
                        <w:t>Základní a dodatečné otázky (</w:t>
                      </w:r>
                      <w:r w:rsidRPr="001B11C7">
                        <w:rPr>
                          <w:i/>
                          <w:sz w:val="18"/>
                          <w:szCs w:val="18"/>
                        </w:rPr>
                        <w:t>viz Okruhy otázek níže</w:t>
                      </w:r>
                      <w:r w:rsidRPr="00BC464B">
                        <w:rPr>
                          <w:i/>
                          <w:sz w:val="18"/>
                          <w:szCs w:val="18"/>
                        </w:rPr>
                        <w:t>)</w:t>
                      </w:r>
                    </w:p>
                    <w:p w14:paraId="561C1C7F" w14:textId="77777777" w:rsidR="005B5874" w:rsidRPr="0096600A" w:rsidRDefault="005B5874" w:rsidP="00F46FDA">
                      <w:pPr>
                        <w:pStyle w:val="Contactus"/>
                        <w:numPr>
                          <w:ilvl w:val="0"/>
                          <w:numId w:val="28"/>
                        </w:numPr>
                        <w:spacing w:after="120" w:line="240" w:lineRule="auto"/>
                        <w:rPr>
                          <w:i/>
                          <w:sz w:val="18"/>
                          <w:szCs w:val="18"/>
                        </w:rPr>
                      </w:pPr>
                      <w:r w:rsidRPr="0096600A">
                        <w:rPr>
                          <w:i/>
                          <w:sz w:val="18"/>
                          <w:szCs w:val="18"/>
                        </w:rPr>
                        <w:t>Závěrečné odlehčující otázky</w:t>
                      </w:r>
                    </w:p>
                    <w:p w14:paraId="0F7E2881" w14:textId="77777777" w:rsidR="005B5874" w:rsidRDefault="005B5874" w:rsidP="00F46FDA">
                      <w:pPr>
                        <w:pStyle w:val="Contactus"/>
                        <w:numPr>
                          <w:ilvl w:val="0"/>
                          <w:numId w:val="31"/>
                        </w:numPr>
                        <w:spacing w:after="120" w:line="240" w:lineRule="auto"/>
                        <w:ind w:left="360"/>
                        <w:rPr>
                          <w:i/>
                          <w:sz w:val="18"/>
                          <w:szCs w:val="18"/>
                        </w:rPr>
                      </w:pPr>
                      <w:r w:rsidRPr="00D26416">
                        <w:rPr>
                          <w:i/>
                          <w:sz w:val="18"/>
                          <w:szCs w:val="18"/>
                        </w:rPr>
                        <w:t>Závěrečná společná re</w:t>
                      </w:r>
                      <w:r>
                        <w:rPr>
                          <w:i/>
                          <w:sz w:val="18"/>
                          <w:szCs w:val="18"/>
                        </w:rPr>
                        <w:t>flexe otázek a odpovědí</w:t>
                      </w:r>
                    </w:p>
                    <w:p w14:paraId="75E493B5" w14:textId="77777777" w:rsidR="005B5874" w:rsidRPr="00852E3B" w:rsidRDefault="005B5874" w:rsidP="00852E3B">
                      <w:pPr>
                        <w:pStyle w:val="Contactus"/>
                        <w:numPr>
                          <w:ilvl w:val="0"/>
                          <w:numId w:val="31"/>
                        </w:numPr>
                        <w:spacing w:after="120" w:line="240" w:lineRule="auto"/>
                        <w:ind w:left="360"/>
                        <w:rPr>
                          <w:i/>
                          <w:sz w:val="18"/>
                          <w:szCs w:val="18"/>
                        </w:rPr>
                      </w:pPr>
                      <w:r w:rsidRPr="00852E3B">
                        <w:rPr>
                          <w:i/>
                          <w:sz w:val="18"/>
                          <w:szCs w:val="18"/>
                        </w:rPr>
                        <w:t>Ukončení fokusní skupiny</w:t>
                      </w:r>
                    </w:p>
                    <w:p w14:paraId="5D038575" w14:textId="77777777" w:rsidR="005B5874" w:rsidRPr="00852E3B" w:rsidRDefault="005B5874" w:rsidP="00852E3B">
                      <w:pPr>
                        <w:pStyle w:val="Contacttext"/>
                      </w:pPr>
                    </w:p>
                    <w:p w14:paraId="6B23B956" w14:textId="77777777" w:rsidR="005B5874" w:rsidRPr="00852E3B" w:rsidRDefault="005B5874" w:rsidP="00852E3B">
                      <w:pPr>
                        <w:pStyle w:val="Contacttext"/>
                      </w:pPr>
                    </w:p>
                  </w:txbxContent>
                </v:textbox>
                <w10:anchorlock/>
              </v:shape>
            </w:pict>
          </mc:Fallback>
        </mc:AlternateContent>
      </w:r>
    </w:p>
    <w:p w14:paraId="792E9CD4" w14:textId="77777777" w:rsidR="00C26C11" w:rsidRPr="00C26C11" w:rsidRDefault="00C26C11" w:rsidP="00C26C11">
      <w:pPr>
        <w:keepNext/>
        <w:keepLines/>
        <w:spacing w:before="240" w:after="120" w:line="240" w:lineRule="auto"/>
        <w:rPr>
          <w:b/>
          <w:color w:val="012169" w:themeColor="accent4"/>
        </w:rPr>
      </w:pPr>
      <w:r w:rsidRPr="00C26C11">
        <w:rPr>
          <w:b/>
          <w:color w:val="012169" w:themeColor="accent4"/>
        </w:rPr>
        <w:t>Návrh okruh</w:t>
      </w:r>
      <w:r>
        <w:rPr>
          <w:b/>
          <w:color w:val="012169" w:themeColor="accent4"/>
        </w:rPr>
        <w:t>ů</w:t>
      </w:r>
      <w:r w:rsidRPr="00C26C11">
        <w:rPr>
          <w:b/>
          <w:color w:val="012169" w:themeColor="accent4"/>
        </w:rPr>
        <w:t xml:space="preserve"> otázek pro </w:t>
      </w:r>
      <w:r>
        <w:rPr>
          <w:b/>
          <w:color w:val="012169" w:themeColor="accent4"/>
        </w:rPr>
        <w:t>fokusní skupinu</w:t>
      </w:r>
    </w:p>
    <w:p w14:paraId="0C43665B" w14:textId="77777777" w:rsidR="00C26C11" w:rsidRDefault="00C26C11" w:rsidP="00C26C11">
      <w:pPr>
        <w:spacing w:after="120" w:line="240" w:lineRule="auto"/>
        <w:jc w:val="both"/>
      </w:pPr>
      <w:r>
        <w:t xml:space="preserve">Dodavatel navrhuje tento indikativní seznam </w:t>
      </w:r>
      <w:r w:rsidR="00B30A0C">
        <w:t>okruhů k diskuzi v rámci FS</w:t>
      </w:r>
      <w:r>
        <w:t>:</w:t>
      </w:r>
    </w:p>
    <w:p w14:paraId="10BA75EC" w14:textId="77777777" w:rsidR="008C1B91" w:rsidRPr="00E13A3D" w:rsidRDefault="008C1B91" w:rsidP="001B11C7">
      <w:pPr>
        <w:pStyle w:val="ListParagraph"/>
        <w:numPr>
          <w:ilvl w:val="0"/>
          <w:numId w:val="32"/>
        </w:numPr>
        <w:spacing w:after="0"/>
      </w:pPr>
      <w:r w:rsidRPr="00E13A3D">
        <w:t>Vnímání vývoje a situace tržních selhání z pohledu jednotlivých subjektů</w:t>
      </w:r>
    </w:p>
    <w:p w14:paraId="5C4A8F70" w14:textId="77777777" w:rsidR="007B5951" w:rsidRPr="00E13A3D" w:rsidRDefault="007B5951" w:rsidP="001B11C7">
      <w:pPr>
        <w:pStyle w:val="ListParagraph"/>
        <w:spacing w:after="0"/>
      </w:pPr>
    </w:p>
    <w:p w14:paraId="336D9813" w14:textId="77777777" w:rsidR="008C1B91" w:rsidRPr="00E13A3D" w:rsidRDefault="008C1B91" w:rsidP="001B11C7">
      <w:pPr>
        <w:pStyle w:val="ListParagraph"/>
        <w:numPr>
          <w:ilvl w:val="0"/>
          <w:numId w:val="32"/>
        </w:numPr>
        <w:spacing w:after="0"/>
      </w:pPr>
      <w:r w:rsidRPr="00E13A3D">
        <w:t>Analýza způsobů motivace podniků k posunu k nízkouhlíkovému hospodářství</w:t>
      </w:r>
    </w:p>
    <w:p w14:paraId="0E6FE952" w14:textId="77777777" w:rsidR="007B5951" w:rsidRPr="00E13A3D" w:rsidRDefault="007B5951" w:rsidP="001B11C7">
      <w:pPr>
        <w:spacing w:after="0"/>
      </w:pPr>
    </w:p>
    <w:p w14:paraId="7656AF26" w14:textId="77777777" w:rsidR="008C1B91" w:rsidRPr="00E13A3D" w:rsidRDefault="008C1B91" w:rsidP="00DD6C9B">
      <w:pPr>
        <w:pStyle w:val="ListParagraph"/>
        <w:numPr>
          <w:ilvl w:val="0"/>
          <w:numId w:val="32"/>
        </w:numPr>
        <w:spacing w:after="0"/>
      </w:pPr>
      <w:r w:rsidRPr="00E13A3D">
        <w:t xml:space="preserve">Identifikace bariér z oblasti posunu k nízkouhlíkovému hospodářství </w:t>
      </w:r>
    </w:p>
    <w:p w14:paraId="768A4621" w14:textId="77777777" w:rsidR="007B5951" w:rsidRPr="00E13A3D" w:rsidRDefault="007B5951" w:rsidP="001B11C7">
      <w:pPr>
        <w:spacing w:after="0"/>
      </w:pPr>
    </w:p>
    <w:p w14:paraId="31B14D9C" w14:textId="77777777" w:rsidR="008C1B91" w:rsidRPr="00E13A3D" w:rsidRDefault="008C1B91" w:rsidP="00DD6C9B">
      <w:pPr>
        <w:pStyle w:val="ListParagraph"/>
        <w:numPr>
          <w:ilvl w:val="0"/>
          <w:numId w:val="32"/>
        </w:numPr>
        <w:spacing w:after="0"/>
      </w:pPr>
      <w:r w:rsidRPr="00E13A3D">
        <w:t>Realizace projektů zaměřených na oblast energetické účinnosti, oblast energie z obnovitelných zdrojů, inteligentních energetických systémů, sítí, skladování na místní úrovni, oblast posílení biologické rozmanitosti, zelené infrastruktury v městském prostředí a snížení znečištění</w:t>
      </w:r>
    </w:p>
    <w:p w14:paraId="79FB299E" w14:textId="77777777" w:rsidR="00AB0D82" w:rsidRPr="00E13A3D" w:rsidRDefault="00AB0D82" w:rsidP="00E13A3D">
      <w:pPr>
        <w:pStyle w:val="ListParagraph"/>
      </w:pPr>
    </w:p>
    <w:p w14:paraId="33788B55" w14:textId="77777777" w:rsidR="00AB0D82" w:rsidRPr="00E13A3D" w:rsidRDefault="00AB0D82" w:rsidP="00DD6C9B">
      <w:pPr>
        <w:pStyle w:val="ListParagraph"/>
        <w:numPr>
          <w:ilvl w:val="0"/>
          <w:numId w:val="32"/>
        </w:numPr>
        <w:spacing w:after="0"/>
      </w:pPr>
      <w:r w:rsidRPr="00E13A3D">
        <w:t>Projevy tržního selhání a suboptimální investiční situace v daných oblastech</w:t>
      </w:r>
    </w:p>
    <w:p w14:paraId="32861C50" w14:textId="77777777" w:rsidR="00B30A0C" w:rsidRDefault="00B30A0C" w:rsidP="001B11C7">
      <w:pPr>
        <w:spacing w:after="120" w:line="240" w:lineRule="auto"/>
        <w:jc w:val="both"/>
      </w:pPr>
    </w:p>
    <w:p w14:paraId="5DF8FA22" w14:textId="77777777" w:rsidR="00B30A0C" w:rsidRDefault="00B30A0C" w:rsidP="001B11C7">
      <w:pPr>
        <w:spacing w:after="120" w:line="240" w:lineRule="auto"/>
        <w:jc w:val="both"/>
      </w:pPr>
      <w:r>
        <w:t xml:space="preserve">Před samotnou realizací fokusní skupiny bude zpracován scénář obsahující indikativní otázky ve výše uvedených oblastech, nicméně facilitátoři budou klást důraz na ponechání volného průběhu diskuze a indikativní otázky budou využité pouze v případě potřeby pro nasměrování diskuze. </w:t>
      </w:r>
    </w:p>
    <w:p w14:paraId="33A0D8B9" w14:textId="77777777" w:rsidR="00F46FDA" w:rsidRPr="00F46FDA" w:rsidRDefault="00F46FDA" w:rsidP="00F46FDA">
      <w:pPr>
        <w:spacing w:after="120" w:line="240" w:lineRule="auto"/>
        <w:jc w:val="both"/>
      </w:pPr>
    </w:p>
    <w:p w14:paraId="3CA6FA0A" w14:textId="77777777" w:rsidR="00552666" w:rsidRDefault="00552666">
      <w:pPr>
        <w:spacing w:after="200" w:line="276" w:lineRule="auto"/>
        <w:rPr>
          <w:b/>
          <w:color w:val="86BC25" w:themeColor="accent1"/>
        </w:rPr>
      </w:pPr>
      <w:r>
        <w:rPr>
          <w:b/>
          <w:color w:val="86BC25" w:themeColor="accent1"/>
        </w:rPr>
        <w:br w:type="page"/>
      </w:r>
    </w:p>
    <w:p w14:paraId="6CD31A63" w14:textId="77777777" w:rsidR="00F46FDA" w:rsidRDefault="00F46FDA" w:rsidP="00F46FDA">
      <w:pPr>
        <w:spacing w:line="240" w:lineRule="auto"/>
        <w:rPr>
          <w:b/>
          <w:color w:val="86BC25" w:themeColor="accent1"/>
        </w:rPr>
      </w:pPr>
      <w:r w:rsidRPr="00F46FDA">
        <w:rPr>
          <w:b/>
          <w:color w:val="86BC25" w:themeColor="accent1"/>
        </w:rPr>
        <w:lastRenderedPageBreak/>
        <w:t>Individuální hloubkové rozhovory</w:t>
      </w:r>
    </w:p>
    <w:p w14:paraId="79A8301D" w14:textId="77777777" w:rsidR="00F46FDA" w:rsidRDefault="00F46FDA" w:rsidP="00F46FDA">
      <w:pPr>
        <w:spacing w:line="240" w:lineRule="auto"/>
        <w:rPr>
          <w:b/>
          <w:color w:val="86BC25" w:themeColor="accent1"/>
        </w:rPr>
      </w:pPr>
      <w:r w:rsidRPr="00F46FDA">
        <w:rPr>
          <w:b/>
          <w:noProof/>
          <w:color w:val="86BC25" w:themeColor="accent1"/>
          <w:szCs w:val="18"/>
          <w:lang w:eastAsia="cs-CZ"/>
        </w:rPr>
        <mc:AlternateContent>
          <mc:Choice Requires="wps">
            <w:drawing>
              <wp:inline distT="0" distB="0" distL="0" distR="0" wp14:anchorId="577C719D" wp14:editId="5C1F7644">
                <wp:extent cx="5856605" cy="3899139"/>
                <wp:effectExtent l="19050" t="19050" r="10795"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3899139"/>
                        </a:xfrm>
                        <a:prstGeom prst="rect">
                          <a:avLst/>
                        </a:prstGeom>
                        <a:solidFill>
                          <a:schemeClr val="accent3">
                            <a:lumMod val="20000"/>
                            <a:lumOff val="80000"/>
                          </a:schemeClr>
                        </a:solidFill>
                        <a:ln w="28575">
                          <a:solidFill>
                            <a:schemeClr val="accent3"/>
                          </a:solidFill>
                          <a:miter lim="800000"/>
                          <a:headEnd/>
                          <a:tailEnd/>
                        </a:ln>
                      </wps:spPr>
                      <wps:txbx>
                        <w:txbxContent>
                          <w:p w14:paraId="4CED6C5F" w14:textId="77777777" w:rsidR="005B5874" w:rsidRPr="0096600A" w:rsidRDefault="005B5874" w:rsidP="00F46FDA">
                            <w:pPr>
                              <w:pStyle w:val="Contactus"/>
                              <w:spacing w:after="120" w:line="240" w:lineRule="auto"/>
                              <w:rPr>
                                <w:b/>
                                <w:i/>
                                <w:sz w:val="18"/>
                                <w:szCs w:val="18"/>
                              </w:rPr>
                            </w:pPr>
                            <w:r w:rsidRPr="0096600A">
                              <w:rPr>
                                <w:b/>
                                <w:i/>
                                <w:sz w:val="18"/>
                                <w:szCs w:val="18"/>
                              </w:rPr>
                              <w:t>Průběh r</w:t>
                            </w:r>
                            <w:r>
                              <w:rPr>
                                <w:b/>
                                <w:i/>
                                <w:sz w:val="18"/>
                                <w:szCs w:val="18"/>
                              </w:rPr>
                              <w:t>ozhovorů</w:t>
                            </w:r>
                          </w:p>
                          <w:p w14:paraId="4B634C48" w14:textId="77777777" w:rsidR="005B5874" w:rsidRPr="008824E9" w:rsidRDefault="005B5874" w:rsidP="008824E9">
                            <w:pPr>
                              <w:pStyle w:val="Contactus"/>
                              <w:spacing w:after="120" w:line="240" w:lineRule="auto"/>
                              <w:rPr>
                                <w:i/>
                                <w:sz w:val="18"/>
                                <w:szCs w:val="18"/>
                              </w:rPr>
                            </w:pPr>
                            <w:r>
                              <w:rPr>
                                <w:i/>
                                <w:sz w:val="18"/>
                                <w:szCs w:val="18"/>
                              </w:rPr>
                              <w:t xml:space="preserve">Individuální hloubkové rozhovory se </w:t>
                            </w:r>
                            <w:r w:rsidRPr="008824E9">
                              <w:rPr>
                                <w:i/>
                                <w:sz w:val="18"/>
                                <w:szCs w:val="18"/>
                              </w:rPr>
                              <w:t xml:space="preserve">zástupci poskytovatelů </w:t>
                            </w:r>
                            <w:r>
                              <w:rPr>
                                <w:i/>
                                <w:sz w:val="18"/>
                                <w:szCs w:val="18"/>
                              </w:rPr>
                              <w:t>fi</w:t>
                            </w:r>
                            <w:r w:rsidRPr="008824E9">
                              <w:rPr>
                                <w:i/>
                                <w:sz w:val="18"/>
                                <w:szCs w:val="18"/>
                              </w:rPr>
                              <w:t>nancování</w:t>
                            </w:r>
                            <w:r>
                              <w:rPr>
                                <w:i/>
                                <w:sz w:val="18"/>
                                <w:szCs w:val="18"/>
                              </w:rPr>
                              <w:t xml:space="preserve"> (grantového i negrantového),</w:t>
                            </w:r>
                            <w:r w:rsidRPr="008824E9">
                              <w:rPr>
                                <w:i/>
                                <w:sz w:val="18"/>
                                <w:szCs w:val="18"/>
                              </w:rPr>
                              <w:t xml:space="preserve"> experty na oblast </w:t>
                            </w:r>
                            <w:r w:rsidRPr="00BC464B">
                              <w:rPr>
                                <w:i/>
                                <w:sz w:val="18"/>
                                <w:szCs w:val="18"/>
                              </w:rPr>
                              <w:t>posunu k nízkouhlíkovému hospodářství</w:t>
                            </w:r>
                            <w:r w:rsidRPr="008824E9">
                              <w:rPr>
                                <w:i/>
                                <w:sz w:val="18"/>
                                <w:szCs w:val="18"/>
                              </w:rPr>
                              <w:t>, zástupci zastřešujících organizací podnikatelů a firem</w:t>
                            </w:r>
                            <w:r>
                              <w:rPr>
                                <w:i/>
                                <w:sz w:val="18"/>
                                <w:szCs w:val="18"/>
                              </w:rPr>
                              <w:t>, zástupci</w:t>
                            </w:r>
                            <w:r w:rsidRPr="007C5865">
                              <w:rPr>
                                <w:i/>
                                <w:sz w:val="18"/>
                                <w:szCs w:val="18"/>
                              </w:rPr>
                              <w:t xml:space="preserve"> Svazu měst a obcí, případně</w:t>
                            </w:r>
                            <w:r>
                              <w:rPr>
                                <w:i/>
                                <w:sz w:val="18"/>
                                <w:szCs w:val="18"/>
                              </w:rPr>
                              <w:t xml:space="preserve"> se zástupci</w:t>
                            </w:r>
                            <w:r w:rsidRPr="007C5865">
                              <w:rPr>
                                <w:i/>
                                <w:sz w:val="18"/>
                                <w:szCs w:val="18"/>
                              </w:rPr>
                              <w:t xml:space="preserve"> rozvojových a investičních odborů krajských samospráv</w:t>
                            </w:r>
                            <w:r>
                              <w:rPr>
                                <w:i/>
                                <w:sz w:val="18"/>
                                <w:szCs w:val="18"/>
                              </w:rPr>
                              <w:t xml:space="preserve"> a dalšími proběhnou v Praze v sídle Dodavatele, popř. dle přání respondenta v sídle organizace respondenta</w:t>
                            </w:r>
                            <w:r w:rsidRPr="008824E9">
                              <w:rPr>
                                <w:i/>
                                <w:sz w:val="18"/>
                                <w:szCs w:val="18"/>
                              </w:rPr>
                              <w:t>.</w:t>
                            </w:r>
                            <w:r>
                              <w:rPr>
                                <w:i/>
                                <w:sz w:val="18"/>
                                <w:szCs w:val="18"/>
                              </w:rPr>
                              <w:t xml:space="preserve"> V případě mimopražských respondentů nebo z důvodu nemožnosti osobního rozhovoru bude rozhovor realizován telefonicky.</w:t>
                            </w:r>
                          </w:p>
                          <w:p w14:paraId="3B7242D8" w14:textId="77777777" w:rsidR="005B5874" w:rsidRPr="0096600A" w:rsidRDefault="005B5874" w:rsidP="00F46FDA">
                            <w:pPr>
                              <w:pStyle w:val="Contactus"/>
                              <w:spacing w:after="120" w:line="240" w:lineRule="auto"/>
                              <w:rPr>
                                <w:i/>
                                <w:sz w:val="18"/>
                                <w:szCs w:val="18"/>
                              </w:rPr>
                            </w:pPr>
                            <w:r w:rsidRPr="0096600A">
                              <w:rPr>
                                <w:i/>
                                <w:sz w:val="18"/>
                                <w:szCs w:val="18"/>
                              </w:rPr>
                              <w:t xml:space="preserve">Při realizaci rozhovoru bude </w:t>
                            </w:r>
                            <w:r>
                              <w:rPr>
                                <w:i/>
                                <w:sz w:val="18"/>
                                <w:szCs w:val="18"/>
                              </w:rPr>
                              <w:t>Dodavatel</w:t>
                            </w:r>
                            <w:r w:rsidRPr="0096600A">
                              <w:rPr>
                                <w:i/>
                                <w:sz w:val="18"/>
                                <w:szCs w:val="18"/>
                              </w:rPr>
                              <w:t xml:space="preserve"> klást důraz na dodržení podmínek bezpečného a komfortního místa pro vedení rozhovoru</w:t>
                            </w:r>
                            <w:r>
                              <w:rPr>
                                <w:i/>
                                <w:sz w:val="18"/>
                                <w:szCs w:val="18"/>
                              </w:rPr>
                              <w:t>,</w:t>
                            </w:r>
                            <w:r w:rsidRPr="0096600A">
                              <w:rPr>
                                <w:i/>
                                <w:sz w:val="18"/>
                                <w:szCs w:val="18"/>
                              </w:rPr>
                              <w:t xml:space="preserve"> dostatek času a</w:t>
                            </w:r>
                            <w:r>
                              <w:rPr>
                                <w:i/>
                                <w:sz w:val="18"/>
                                <w:szCs w:val="18"/>
                              </w:rPr>
                              <w:t>po</w:t>
                            </w:r>
                            <w:r w:rsidRPr="0096600A">
                              <w:rPr>
                                <w:i/>
                                <w:sz w:val="18"/>
                                <w:szCs w:val="18"/>
                              </w:rPr>
                              <w:t>d.</w:t>
                            </w:r>
                          </w:p>
                          <w:p w14:paraId="297B2665" w14:textId="77777777" w:rsidR="005B5874" w:rsidRPr="0096600A" w:rsidRDefault="005B5874" w:rsidP="00F46FDA">
                            <w:pPr>
                              <w:pStyle w:val="Contactus"/>
                              <w:spacing w:after="120" w:line="240" w:lineRule="auto"/>
                              <w:rPr>
                                <w:i/>
                                <w:sz w:val="18"/>
                                <w:szCs w:val="18"/>
                              </w:rPr>
                            </w:pPr>
                            <w:r w:rsidRPr="0096600A">
                              <w:rPr>
                                <w:i/>
                                <w:sz w:val="18"/>
                                <w:szCs w:val="18"/>
                              </w:rPr>
                              <w:t>Rozhovor bude veden v následující rámcové struktuře:</w:t>
                            </w:r>
                          </w:p>
                          <w:p w14:paraId="747CC6EE" w14:textId="77777777" w:rsidR="005B5874" w:rsidRPr="0096600A" w:rsidRDefault="005B5874" w:rsidP="00F46FDA">
                            <w:pPr>
                              <w:pStyle w:val="Contactus"/>
                              <w:numPr>
                                <w:ilvl w:val="0"/>
                                <w:numId w:val="27"/>
                              </w:numPr>
                              <w:spacing w:after="120" w:line="240" w:lineRule="auto"/>
                              <w:ind w:left="426"/>
                              <w:rPr>
                                <w:i/>
                                <w:sz w:val="18"/>
                                <w:szCs w:val="18"/>
                              </w:rPr>
                            </w:pPr>
                            <w:r w:rsidRPr="0096600A">
                              <w:rPr>
                                <w:i/>
                                <w:sz w:val="18"/>
                                <w:szCs w:val="18"/>
                              </w:rPr>
                              <w:t xml:space="preserve">Představení </w:t>
                            </w:r>
                            <w:r w:rsidRPr="00AB44C3">
                              <w:rPr>
                                <w:i/>
                                <w:sz w:val="18"/>
                                <w:szCs w:val="18"/>
                              </w:rPr>
                              <w:t>výzkum</w:t>
                            </w:r>
                            <w:r w:rsidRPr="0096600A">
                              <w:rPr>
                                <w:i/>
                                <w:sz w:val="18"/>
                                <w:szCs w:val="18"/>
                              </w:rPr>
                              <w:t xml:space="preserve">u, představení </w:t>
                            </w:r>
                            <w:r>
                              <w:rPr>
                                <w:i/>
                                <w:sz w:val="18"/>
                                <w:szCs w:val="18"/>
                              </w:rPr>
                              <w:t>Dodavatele</w:t>
                            </w:r>
                            <w:r w:rsidRPr="0096600A">
                              <w:rPr>
                                <w:i/>
                                <w:sz w:val="18"/>
                                <w:szCs w:val="18"/>
                              </w:rPr>
                              <w:t>, seznámení s</w:t>
                            </w:r>
                            <w:r>
                              <w:rPr>
                                <w:i/>
                                <w:sz w:val="18"/>
                                <w:szCs w:val="18"/>
                              </w:rPr>
                              <w:t xml:space="preserve"> cílem a </w:t>
                            </w:r>
                            <w:r w:rsidRPr="0096600A">
                              <w:rPr>
                                <w:i/>
                                <w:sz w:val="18"/>
                                <w:szCs w:val="18"/>
                              </w:rPr>
                              <w:t xml:space="preserve">průběhem rozhovoru, </w:t>
                            </w:r>
                            <w:r>
                              <w:rPr>
                                <w:i/>
                                <w:sz w:val="18"/>
                                <w:szCs w:val="18"/>
                              </w:rPr>
                              <w:t xml:space="preserve">zpracováním </w:t>
                            </w:r>
                            <w:r w:rsidRPr="0096600A">
                              <w:rPr>
                                <w:i/>
                                <w:sz w:val="18"/>
                                <w:szCs w:val="18"/>
                              </w:rPr>
                              <w:t xml:space="preserve">a výstupy </w:t>
                            </w:r>
                            <w:r w:rsidRPr="00AB44C3">
                              <w:rPr>
                                <w:i/>
                                <w:sz w:val="18"/>
                                <w:szCs w:val="18"/>
                              </w:rPr>
                              <w:t>výzkum</w:t>
                            </w:r>
                            <w:r w:rsidRPr="0096600A">
                              <w:rPr>
                                <w:i/>
                                <w:sz w:val="18"/>
                                <w:szCs w:val="18"/>
                              </w:rPr>
                              <w:t>u</w:t>
                            </w:r>
                          </w:p>
                          <w:p w14:paraId="71E89B48" w14:textId="77777777" w:rsidR="005B5874" w:rsidRPr="0096600A" w:rsidRDefault="005B5874" w:rsidP="00F46FDA">
                            <w:pPr>
                              <w:pStyle w:val="Contactus"/>
                              <w:numPr>
                                <w:ilvl w:val="0"/>
                                <w:numId w:val="27"/>
                              </w:numPr>
                              <w:spacing w:after="120" w:line="240" w:lineRule="auto"/>
                              <w:ind w:left="426"/>
                              <w:rPr>
                                <w:i/>
                                <w:sz w:val="18"/>
                                <w:szCs w:val="18"/>
                              </w:rPr>
                            </w:pPr>
                            <w:r w:rsidRPr="0096600A">
                              <w:rPr>
                                <w:i/>
                                <w:sz w:val="18"/>
                                <w:szCs w:val="18"/>
                              </w:rPr>
                              <w:t>Představení respondenta</w:t>
                            </w:r>
                            <w:r>
                              <w:rPr>
                                <w:i/>
                                <w:sz w:val="18"/>
                                <w:szCs w:val="18"/>
                              </w:rPr>
                              <w:t xml:space="preserve"> či respondentky vč. základní identifikace</w:t>
                            </w:r>
                            <w:r w:rsidRPr="0096600A">
                              <w:rPr>
                                <w:i/>
                                <w:sz w:val="18"/>
                                <w:szCs w:val="18"/>
                              </w:rPr>
                              <w:t>, otázky na postup nebo projekt</w:t>
                            </w:r>
                          </w:p>
                          <w:p w14:paraId="039A1F0F" w14:textId="77777777" w:rsidR="005B5874" w:rsidRPr="00852E3B" w:rsidRDefault="005B5874" w:rsidP="00852E3B">
                            <w:pPr>
                              <w:pStyle w:val="Contactus"/>
                              <w:numPr>
                                <w:ilvl w:val="0"/>
                                <w:numId w:val="27"/>
                              </w:numPr>
                              <w:spacing w:after="120" w:line="240" w:lineRule="auto"/>
                              <w:ind w:left="426"/>
                              <w:rPr>
                                <w:i/>
                                <w:sz w:val="18"/>
                                <w:szCs w:val="18"/>
                              </w:rPr>
                            </w:pPr>
                            <w:r w:rsidRPr="0096600A">
                              <w:rPr>
                                <w:i/>
                                <w:sz w:val="18"/>
                                <w:szCs w:val="18"/>
                              </w:rPr>
                              <w:t>Realizace polostrukturovaného rozhovoru se sadou volných</w:t>
                            </w:r>
                            <w:r>
                              <w:rPr>
                                <w:i/>
                                <w:sz w:val="18"/>
                                <w:szCs w:val="18"/>
                              </w:rPr>
                              <w:t xml:space="preserve"> otázek v preferovaném pořadí s možnými alternacemi. </w:t>
                            </w:r>
                            <w:r w:rsidRPr="00852E3B">
                              <w:rPr>
                                <w:i/>
                                <w:sz w:val="18"/>
                                <w:szCs w:val="18"/>
                              </w:rPr>
                              <w:t>Rozhovor bude rozčleněn do tří fází:</w:t>
                            </w:r>
                          </w:p>
                          <w:p w14:paraId="4AA62657" w14:textId="77777777" w:rsidR="005B5874" w:rsidRPr="0096600A" w:rsidRDefault="005B5874" w:rsidP="00F46FDA">
                            <w:pPr>
                              <w:pStyle w:val="Contactus"/>
                              <w:numPr>
                                <w:ilvl w:val="0"/>
                                <w:numId w:val="28"/>
                              </w:numPr>
                              <w:spacing w:after="120" w:line="240" w:lineRule="auto"/>
                              <w:rPr>
                                <w:i/>
                                <w:sz w:val="18"/>
                                <w:szCs w:val="18"/>
                              </w:rPr>
                            </w:pPr>
                            <w:r w:rsidRPr="0096600A">
                              <w:rPr>
                                <w:i/>
                                <w:sz w:val="18"/>
                                <w:szCs w:val="18"/>
                              </w:rPr>
                              <w:t>Úvodní otázky navazující kontakt s</w:t>
                            </w:r>
                            <w:r>
                              <w:rPr>
                                <w:i/>
                                <w:sz w:val="18"/>
                                <w:szCs w:val="18"/>
                              </w:rPr>
                              <w:t> </w:t>
                            </w:r>
                            <w:r w:rsidRPr="0096600A">
                              <w:rPr>
                                <w:i/>
                                <w:sz w:val="18"/>
                                <w:szCs w:val="18"/>
                              </w:rPr>
                              <w:t>respondentem</w:t>
                            </w:r>
                          </w:p>
                          <w:p w14:paraId="6319B1AB" w14:textId="77777777" w:rsidR="005B5874" w:rsidRPr="00BC464B" w:rsidRDefault="005B5874" w:rsidP="00F46FDA">
                            <w:pPr>
                              <w:pStyle w:val="Contactus"/>
                              <w:numPr>
                                <w:ilvl w:val="0"/>
                                <w:numId w:val="28"/>
                              </w:numPr>
                              <w:spacing w:after="120" w:line="240" w:lineRule="auto"/>
                              <w:rPr>
                                <w:i/>
                                <w:sz w:val="18"/>
                                <w:szCs w:val="18"/>
                              </w:rPr>
                            </w:pPr>
                            <w:r w:rsidRPr="0096600A">
                              <w:rPr>
                                <w:i/>
                                <w:sz w:val="18"/>
                                <w:szCs w:val="18"/>
                              </w:rPr>
                              <w:t xml:space="preserve">Základní a dodatečné </w:t>
                            </w:r>
                            <w:r w:rsidRPr="00BC464B">
                              <w:rPr>
                                <w:i/>
                                <w:sz w:val="18"/>
                                <w:szCs w:val="18"/>
                              </w:rPr>
                              <w:t>otázky (</w:t>
                            </w:r>
                            <w:r w:rsidRPr="001B11C7">
                              <w:rPr>
                                <w:i/>
                                <w:sz w:val="18"/>
                                <w:szCs w:val="18"/>
                              </w:rPr>
                              <w:t>viz Okruhy otázek pro jednotlivé cílové skupiny níže – max. 20 zpravidla otevřených otázek</w:t>
                            </w:r>
                            <w:r w:rsidRPr="00BC464B">
                              <w:rPr>
                                <w:i/>
                                <w:sz w:val="18"/>
                                <w:szCs w:val="18"/>
                              </w:rPr>
                              <w:t>)</w:t>
                            </w:r>
                          </w:p>
                          <w:p w14:paraId="6BC1D3B2" w14:textId="77777777" w:rsidR="005B5874" w:rsidRPr="00DD6C9B" w:rsidRDefault="005B5874" w:rsidP="00F46FDA">
                            <w:pPr>
                              <w:pStyle w:val="Contactus"/>
                              <w:numPr>
                                <w:ilvl w:val="0"/>
                                <w:numId w:val="28"/>
                              </w:numPr>
                              <w:spacing w:after="120" w:line="240" w:lineRule="auto"/>
                              <w:rPr>
                                <w:i/>
                                <w:sz w:val="18"/>
                                <w:szCs w:val="18"/>
                              </w:rPr>
                            </w:pPr>
                            <w:r w:rsidRPr="00DD6C9B">
                              <w:rPr>
                                <w:i/>
                                <w:sz w:val="18"/>
                                <w:szCs w:val="18"/>
                              </w:rPr>
                              <w:t>Závěrečné odlehčující otázky</w:t>
                            </w:r>
                          </w:p>
                          <w:p w14:paraId="05E3470F" w14:textId="77777777" w:rsidR="005B5874" w:rsidRPr="0096600A" w:rsidRDefault="005B5874" w:rsidP="00F46FDA">
                            <w:pPr>
                              <w:pStyle w:val="Contactus"/>
                              <w:numPr>
                                <w:ilvl w:val="0"/>
                                <w:numId w:val="27"/>
                              </w:numPr>
                              <w:spacing w:after="120" w:line="240" w:lineRule="auto"/>
                              <w:ind w:left="426"/>
                              <w:rPr>
                                <w:i/>
                                <w:sz w:val="18"/>
                                <w:szCs w:val="18"/>
                              </w:rPr>
                            </w:pPr>
                            <w:r w:rsidRPr="0096600A">
                              <w:rPr>
                                <w:i/>
                                <w:sz w:val="18"/>
                                <w:szCs w:val="18"/>
                              </w:rPr>
                              <w:t>Závěrečná oboustranná reflexe otázek a odpovědí</w:t>
                            </w:r>
                          </w:p>
                          <w:p w14:paraId="7B29B36F" w14:textId="77777777" w:rsidR="005B5874" w:rsidRPr="00F46FDA" w:rsidRDefault="005B5874" w:rsidP="00F46FDA">
                            <w:pPr>
                              <w:pStyle w:val="Contactus"/>
                              <w:numPr>
                                <w:ilvl w:val="0"/>
                                <w:numId w:val="27"/>
                              </w:numPr>
                              <w:spacing w:after="120" w:line="240" w:lineRule="auto"/>
                              <w:ind w:left="426"/>
                              <w:rPr>
                                <w:i/>
                                <w:sz w:val="18"/>
                                <w:szCs w:val="18"/>
                              </w:rPr>
                            </w:pPr>
                            <w:r w:rsidRPr="0096600A">
                              <w:rPr>
                                <w:i/>
                                <w:sz w:val="18"/>
                                <w:szCs w:val="18"/>
                              </w:rPr>
                              <w:t>Ukončení rozhovoru</w:t>
                            </w:r>
                          </w:p>
                        </w:txbxContent>
                      </wps:txbx>
                      <wps:bodyPr rot="0" vert="horz" wrap="square" lIns="91440" tIns="45720" rIns="91440" bIns="45720" anchor="t" anchorCtr="0">
                        <a:noAutofit/>
                      </wps:bodyPr>
                    </wps:wsp>
                  </a:graphicData>
                </a:graphic>
              </wp:inline>
            </w:drawing>
          </mc:Choice>
          <mc:Fallback>
            <w:pict>
              <v:shape w14:anchorId="577C719D" id="_x0000_s1028" type="#_x0000_t202" style="width:461.1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" fillcolor="#dff0f9 [662]" strokecolor="#62b5e5 [3206]" strokeweight="2.25pt">
                <v:textbox>
                  <w:txbxContent>
                    <w:p w14:paraId="4CED6C5F" w14:textId="77777777" w:rsidR="005B5874" w:rsidRPr="0096600A" w:rsidRDefault="005B5874" w:rsidP="00F46FDA">
                      <w:pPr>
                        <w:pStyle w:val="Contactus"/>
                        <w:spacing w:after="120" w:line="240" w:lineRule="auto"/>
                        <w:rPr>
                          <w:b/>
                          <w:i/>
                          <w:sz w:val="18"/>
                          <w:szCs w:val="18"/>
                        </w:rPr>
                      </w:pPr>
                      <w:r w:rsidRPr="0096600A">
                        <w:rPr>
                          <w:b/>
                          <w:i/>
                          <w:sz w:val="18"/>
                          <w:szCs w:val="18"/>
                        </w:rPr>
                        <w:t>Průběh r</w:t>
                      </w:r>
                      <w:r>
                        <w:rPr>
                          <w:b/>
                          <w:i/>
                          <w:sz w:val="18"/>
                          <w:szCs w:val="18"/>
                        </w:rPr>
                        <w:t>ozhovorů</w:t>
                      </w:r>
                    </w:p>
                    <w:p w14:paraId="4B634C48" w14:textId="77777777" w:rsidR="005B5874" w:rsidRPr="008824E9" w:rsidRDefault="005B5874" w:rsidP="008824E9">
                      <w:pPr>
                        <w:pStyle w:val="Contactus"/>
                        <w:spacing w:after="120" w:line="240" w:lineRule="auto"/>
                        <w:rPr>
                          <w:i/>
                          <w:sz w:val="18"/>
                          <w:szCs w:val="18"/>
                        </w:rPr>
                      </w:pPr>
                      <w:r>
                        <w:rPr>
                          <w:i/>
                          <w:sz w:val="18"/>
                          <w:szCs w:val="18"/>
                        </w:rPr>
                        <w:t xml:space="preserve">Individuální hloubkové rozhovory se </w:t>
                      </w:r>
                      <w:r w:rsidRPr="008824E9">
                        <w:rPr>
                          <w:i/>
                          <w:sz w:val="18"/>
                          <w:szCs w:val="18"/>
                        </w:rPr>
                        <w:t xml:space="preserve">zástupci poskytovatelů </w:t>
                      </w:r>
                      <w:r>
                        <w:rPr>
                          <w:i/>
                          <w:sz w:val="18"/>
                          <w:szCs w:val="18"/>
                        </w:rPr>
                        <w:t>fi</w:t>
                      </w:r>
                      <w:r w:rsidRPr="008824E9">
                        <w:rPr>
                          <w:i/>
                          <w:sz w:val="18"/>
                          <w:szCs w:val="18"/>
                        </w:rPr>
                        <w:t>nancování</w:t>
                      </w:r>
                      <w:r>
                        <w:rPr>
                          <w:i/>
                          <w:sz w:val="18"/>
                          <w:szCs w:val="18"/>
                        </w:rPr>
                        <w:t xml:space="preserve"> (grantového i negrantového),</w:t>
                      </w:r>
                      <w:r w:rsidRPr="008824E9">
                        <w:rPr>
                          <w:i/>
                          <w:sz w:val="18"/>
                          <w:szCs w:val="18"/>
                        </w:rPr>
                        <w:t xml:space="preserve"> experty na oblast </w:t>
                      </w:r>
                      <w:r w:rsidRPr="00BC464B">
                        <w:rPr>
                          <w:i/>
                          <w:sz w:val="18"/>
                          <w:szCs w:val="18"/>
                        </w:rPr>
                        <w:t>posunu k nízkouhlíkovému hospodářství</w:t>
                      </w:r>
                      <w:r w:rsidRPr="008824E9">
                        <w:rPr>
                          <w:i/>
                          <w:sz w:val="18"/>
                          <w:szCs w:val="18"/>
                        </w:rPr>
                        <w:t>, zástupci zastřešujících organizací podnikatelů a firem</w:t>
                      </w:r>
                      <w:r>
                        <w:rPr>
                          <w:i/>
                          <w:sz w:val="18"/>
                          <w:szCs w:val="18"/>
                        </w:rPr>
                        <w:t>, zástupci</w:t>
                      </w:r>
                      <w:r w:rsidRPr="007C5865">
                        <w:rPr>
                          <w:i/>
                          <w:sz w:val="18"/>
                          <w:szCs w:val="18"/>
                        </w:rPr>
                        <w:t xml:space="preserve"> Svazu měst a obcí, případně</w:t>
                      </w:r>
                      <w:r>
                        <w:rPr>
                          <w:i/>
                          <w:sz w:val="18"/>
                          <w:szCs w:val="18"/>
                        </w:rPr>
                        <w:t xml:space="preserve"> se zástupci</w:t>
                      </w:r>
                      <w:r w:rsidRPr="007C5865">
                        <w:rPr>
                          <w:i/>
                          <w:sz w:val="18"/>
                          <w:szCs w:val="18"/>
                        </w:rPr>
                        <w:t xml:space="preserve"> rozvojových a investičních odborů krajských samospráv</w:t>
                      </w:r>
                      <w:r>
                        <w:rPr>
                          <w:i/>
                          <w:sz w:val="18"/>
                          <w:szCs w:val="18"/>
                        </w:rPr>
                        <w:t xml:space="preserve"> a dalšími proběhnou v Praze v sídle Dodavatele, popř. dle přání respondenta v sídle organizace respondenta</w:t>
                      </w:r>
                      <w:r w:rsidRPr="008824E9">
                        <w:rPr>
                          <w:i/>
                          <w:sz w:val="18"/>
                          <w:szCs w:val="18"/>
                        </w:rPr>
                        <w:t>.</w:t>
                      </w:r>
                      <w:r>
                        <w:rPr>
                          <w:i/>
                          <w:sz w:val="18"/>
                          <w:szCs w:val="18"/>
                        </w:rPr>
                        <w:t xml:space="preserve"> V případě mimopražských respondentů nebo z důvodu nemožnosti osobního rozhovoru bude rozhovor realizován telefonicky.</w:t>
                      </w:r>
                    </w:p>
                    <w:p w14:paraId="3B7242D8" w14:textId="77777777" w:rsidR="005B5874" w:rsidRPr="0096600A" w:rsidRDefault="005B5874" w:rsidP="00F46FDA">
                      <w:pPr>
                        <w:pStyle w:val="Contactus"/>
                        <w:spacing w:after="120" w:line="240" w:lineRule="auto"/>
                        <w:rPr>
                          <w:i/>
                          <w:sz w:val="18"/>
                          <w:szCs w:val="18"/>
                        </w:rPr>
                      </w:pPr>
                      <w:r w:rsidRPr="0096600A">
                        <w:rPr>
                          <w:i/>
                          <w:sz w:val="18"/>
                          <w:szCs w:val="18"/>
                        </w:rPr>
                        <w:t xml:space="preserve">Při realizaci rozhovoru bude </w:t>
                      </w:r>
                      <w:r>
                        <w:rPr>
                          <w:i/>
                          <w:sz w:val="18"/>
                          <w:szCs w:val="18"/>
                        </w:rPr>
                        <w:t>Dodavatel</w:t>
                      </w:r>
                      <w:r w:rsidRPr="0096600A">
                        <w:rPr>
                          <w:i/>
                          <w:sz w:val="18"/>
                          <w:szCs w:val="18"/>
                        </w:rPr>
                        <w:t xml:space="preserve"> klást důraz na dodržení podmínek bezpečného a komfortního místa pro vedení rozhovoru</w:t>
                      </w:r>
                      <w:r>
                        <w:rPr>
                          <w:i/>
                          <w:sz w:val="18"/>
                          <w:szCs w:val="18"/>
                        </w:rPr>
                        <w:t>,</w:t>
                      </w:r>
                      <w:r w:rsidRPr="0096600A">
                        <w:rPr>
                          <w:i/>
                          <w:sz w:val="18"/>
                          <w:szCs w:val="18"/>
                        </w:rPr>
                        <w:t xml:space="preserve"> dostatek času a</w:t>
                      </w:r>
                      <w:r>
                        <w:rPr>
                          <w:i/>
                          <w:sz w:val="18"/>
                          <w:szCs w:val="18"/>
                        </w:rPr>
                        <w:t>po</w:t>
                      </w:r>
                      <w:r w:rsidRPr="0096600A">
                        <w:rPr>
                          <w:i/>
                          <w:sz w:val="18"/>
                          <w:szCs w:val="18"/>
                        </w:rPr>
                        <w:t>d.</w:t>
                      </w:r>
                    </w:p>
                    <w:p w14:paraId="297B2665" w14:textId="77777777" w:rsidR="005B5874" w:rsidRPr="0096600A" w:rsidRDefault="005B5874" w:rsidP="00F46FDA">
                      <w:pPr>
                        <w:pStyle w:val="Contactus"/>
                        <w:spacing w:after="120" w:line="240" w:lineRule="auto"/>
                        <w:rPr>
                          <w:i/>
                          <w:sz w:val="18"/>
                          <w:szCs w:val="18"/>
                        </w:rPr>
                      </w:pPr>
                      <w:r w:rsidRPr="0096600A">
                        <w:rPr>
                          <w:i/>
                          <w:sz w:val="18"/>
                          <w:szCs w:val="18"/>
                        </w:rPr>
                        <w:t>Rozhovor bude veden v následující rámcové struktuře:</w:t>
                      </w:r>
                    </w:p>
                    <w:p w14:paraId="747CC6EE" w14:textId="77777777" w:rsidR="005B5874" w:rsidRPr="0096600A" w:rsidRDefault="005B5874" w:rsidP="00F46FDA">
                      <w:pPr>
                        <w:pStyle w:val="Contactus"/>
                        <w:numPr>
                          <w:ilvl w:val="0"/>
                          <w:numId w:val="27"/>
                        </w:numPr>
                        <w:spacing w:after="120" w:line="240" w:lineRule="auto"/>
                        <w:ind w:left="426"/>
                        <w:rPr>
                          <w:i/>
                          <w:sz w:val="18"/>
                          <w:szCs w:val="18"/>
                        </w:rPr>
                      </w:pPr>
                      <w:r w:rsidRPr="0096600A">
                        <w:rPr>
                          <w:i/>
                          <w:sz w:val="18"/>
                          <w:szCs w:val="18"/>
                        </w:rPr>
                        <w:t xml:space="preserve">Představení </w:t>
                      </w:r>
                      <w:r w:rsidRPr="00AB44C3">
                        <w:rPr>
                          <w:i/>
                          <w:sz w:val="18"/>
                          <w:szCs w:val="18"/>
                        </w:rPr>
                        <w:t>výzkum</w:t>
                      </w:r>
                      <w:r w:rsidRPr="0096600A">
                        <w:rPr>
                          <w:i/>
                          <w:sz w:val="18"/>
                          <w:szCs w:val="18"/>
                        </w:rPr>
                        <w:t xml:space="preserve">u, představení </w:t>
                      </w:r>
                      <w:r>
                        <w:rPr>
                          <w:i/>
                          <w:sz w:val="18"/>
                          <w:szCs w:val="18"/>
                        </w:rPr>
                        <w:t>Dodavatele</w:t>
                      </w:r>
                      <w:r w:rsidRPr="0096600A">
                        <w:rPr>
                          <w:i/>
                          <w:sz w:val="18"/>
                          <w:szCs w:val="18"/>
                        </w:rPr>
                        <w:t>, seznámení s</w:t>
                      </w:r>
                      <w:r>
                        <w:rPr>
                          <w:i/>
                          <w:sz w:val="18"/>
                          <w:szCs w:val="18"/>
                        </w:rPr>
                        <w:t xml:space="preserve"> cílem a </w:t>
                      </w:r>
                      <w:r w:rsidRPr="0096600A">
                        <w:rPr>
                          <w:i/>
                          <w:sz w:val="18"/>
                          <w:szCs w:val="18"/>
                        </w:rPr>
                        <w:t xml:space="preserve">průběhem rozhovoru, </w:t>
                      </w:r>
                      <w:r>
                        <w:rPr>
                          <w:i/>
                          <w:sz w:val="18"/>
                          <w:szCs w:val="18"/>
                        </w:rPr>
                        <w:t xml:space="preserve">zpracováním </w:t>
                      </w:r>
                      <w:r w:rsidRPr="0096600A">
                        <w:rPr>
                          <w:i/>
                          <w:sz w:val="18"/>
                          <w:szCs w:val="18"/>
                        </w:rPr>
                        <w:t xml:space="preserve">a výstupy </w:t>
                      </w:r>
                      <w:r w:rsidRPr="00AB44C3">
                        <w:rPr>
                          <w:i/>
                          <w:sz w:val="18"/>
                          <w:szCs w:val="18"/>
                        </w:rPr>
                        <w:t>výzkum</w:t>
                      </w:r>
                      <w:r w:rsidRPr="0096600A">
                        <w:rPr>
                          <w:i/>
                          <w:sz w:val="18"/>
                          <w:szCs w:val="18"/>
                        </w:rPr>
                        <w:t>u</w:t>
                      </w:r>
                    </w:p>
                    <w:p w14:paraId="71E89B48" w14:textId="77777777" w:rsidR="005B5874" w:rsidRPr="0096600A" w:rsidRDefault="005B5874" w:rsidP="00F46FDA">
                      <w:pPr>
                        <w:pStyle w:val="Contactus"/>
                        <w:numPr>
                          <w:ilvl w:val="0"/>
                          <w:numId w:val="27"/>
                        </w:numPr>
                        <w:spacing w:after="120" w:line="240" w:lineRule="auto"/>
                        <w:ind w:left="426"/>
                        <w:rPr>
                          <w:i/>
                          <w:sz w:val="18"/>
                          <w:szCs w:val="18"/>
                        </w:rPr>
                      </w:pPr>
                      <w:r w:rsidRPr="0096600A">
                        <w:rPr>
                          <w:i/>
                          <w:sz w:val="18"/>
                          <w:szCs w:val="18"/>
                        </w:rPr>
                        <w:t>Představení respondenta</w:t>
                      </w:r>
                      <w:r>
                        <w:rPr>
                          <w:i/>
                          <w:sz w:val="18"/>
                          <w:szCs w:val="18"/>
                        </w:rPr>
                        <w:t xml:space="preserve"> či respondentky vč. základní identifikace</w:t>
                      </w:r>
                      <w:r w:rsidRPr="0096600A">
                        <w:rPr>
                          <w:i/>
                          <w:sz w:val="18"/>
                          <w:szCs w:val="18"/>
                        </w:rPr>
                        <w:t>, otázky na postup nebo projekt</w:t>
                      </w:r>
                    </w:p>
                    <w:p w14:paraId="039A1F0F" w14:textId="77777777" w:rsidR="005B5874" w:rsidRPr="00852E3B" w:rsidRDefault="005B5874" w:rsidP="00852E3B">
                      <w:pPr>
                        <w:pStyle w:val="Contactus"/>
                        <w:numPr>
                          <w:ilvl w:val="0"/>
                          <w:numId w:val="27"/>
                        </w:numPr>
                        <w:spacing w:after="120" w:line="240" w:lineRule="auto"/>
                        <w:ind w:left="426"/>
                        <w:rPr>
                          <w:i/>
                          <w:sz w:val="18"/>
                          <w:szCs w:val="18"/>
                        </w:rPr>
                      </w:pPr>
                      <w:r w:rsidRPr="0096600A">
                        <w:rPr>
                          <w:i/>
                          <w:sz w:val="18"/>
                          <w:szCs w:val="18"/>
                        </w:rPr>
                        <w:t>Realizace polostrukturovaného rozhovoru se sadou volných</w:t>
                      </w:r>
                      <w:r>
                        <w:rPr>
                          <w:i/>
                          <w:sz w:val="18"/>
                          <w:szCs w:val="18"/>
                        </w:rPr>
                        <w:t xml:space="preserve"> otázek v preferovaném pořadí s možnými alternacemi. </w:t>
                      </w:r>
                      <w:r w:rsidRPr="00852E3B">
                        <w:rPr>
                          <w:i/>
                          <w:sz w:val="18"/>
                          <w:szCs w:val="18"/>
                        </w:rPr>
                        <w:t>Rozhovor bude rozčleněn do tří fází:</w:t>
                      </w:r>
                    </w:p>
                    <w:p w14:paraId="4AA62657" w14:textId="77777777" w:rsidR="005B5874" w:rsidRPr="0096600A" w:rsidRDefault="005B5874" w:rsidP="00F46FDA">
                      <w:pPr>
                        <w:pStyle w:val="Contactus"/>
                        <w:numPr>
                          <w:ilvl w:val="0"/>
                          <w:numId w:val="28"/>
                        </w:numPr>
                        <w:spacing w:after="120" w:line="240" w:lineRule="auto"/>
                        <w:rPr>
                          <w:i/>
                          <w:sz w:val="18"/>
                          <w:szCs w:val="18"/>
                        </w:rPr>
                      </w:pPr>
                      <w:r w:rsidRPr="0096600A">
                        <w:rPr>
                          <w:i/>
                          <w:sz w:val="18"/>
                          <w:szCs w:val="18"/>
                        </w:rPr>
                        <w:t>Úvodní otázky navazující kontakt s</w:t>
                      </w:r>
                      <w:r>
                        <w:rPr>
                          <w:i/>
                          <w:sz w:val="18"/>
                          <w:szCs w:val="18"/>
                        </w:rPr>
                        <w:t> </w:t>
                      </w:r>
                      <w:r w:rsidRPr="0096600A">
                        <w:rPr>
                          <w:i/>
                          <w:sz w:val="18"/>
                          <w:szCs w:val="18"/>
                        </w:rPr>
                        <w:t>respondentem</w:t>
                      </w:r>
                    </w:p>
                    <w:p w14:paraId="6319B1AB" w14:textId="77777777" w:rsidR="005B5874" w:rsidRPr="00BC464B" w:rsidRDefault="005B5874" w:rsidP="00F46FDA">
                      <w:pPr>
                        <w:pStyle w:val="Contactus"/>
                        <w:numPr>
                          <w:ilvl w:val="0"/>
                          <w:numId w:val="28"/>
                        </w:numPr>
                        <w:spacing w:after="120" w:line="240" w:lineRule="auto"/>
                        <w:rPr>
                          <w:i/>
                          <w:sz w:val="18"/>
                          <w:szCs w:val="18"/>
                        </w:rPr>
                      </w:pPr>
                      <w:r w:rsidRPr="0096600A">
                        <w:rPr>
                          <w:i/>
                          <w:sz w:val="18"/>
                          <w:szCs w:val="18"/>
                        </w:rPr>
                        <w:t xml:space="preserve">Základní a dodatečné </w:t>
                      </w:r>
                      <w:r w:rsidRPr="00BC464B">
                        <w:rPr>
                          <w:i/>
                          <w:sz w:val="18"/>
                          <w:szCs w:val="18"/>
                        </w:rPr>
                        <w:t>otázky (</w:t>
                      </w:r>
                      <w:r w:rsidRPr="001B11C7">
                        <w:rPr>
                          <w:i/>
                          <w:sz w:val="18"/>
                          <w:szCs w:val="18"/>
                        </w:rPr>
                        <w:t>viz Okruhy otázek pro jednotlivé cílové skupiny níže – max. 20 zpravidla otevřených otázek</w:t>
                      </w:r>
                      <w:r w:rsidRPr="00BC464B">
                        <w:rPr>
                          <w:i/>
                          <w:sz w:val="18"/>
                          <w:szCs w:val="18"/>
                        </w:rPr>
                        <w:t>)</w:t>
                      </w:r>
                    </w:p>
                    <w:p w14:paraId="6BC1D3B2" w14:textId="77777777" w:rsidR="005B5874" w:rsidRPr="00DD6C9B" w:rsidRDefault="005B5874" w:rsidP="00F46FDA">
                      <w:pPr>
                        <w:pStyle w:val="Contactus"/>
                        <w:numPr>
                          <w:ilvl w:val="0"/>
                          <w:numId w:val="28"/>
                        </w:numPr>
                        <w:spacing w:after="120" w:line="240" w:lineRule="auto"/>
                        <w:rPr>
                          <w:i/>
                          <w:sz w:val="18"/>
                          <w:szCs w:val="18"/>
                        </w:rPr>
                      </w:pPr>
                      <w:r w:rsidRPr="00DD6C9B">
                        <w:rPr>
                          <w:i/>
                          <w:sz w:val="18"/>
                          <w:szCs w:val="18"/>
                        </w:rPr>
                        <w:t>Závěrečné odlehčující otázky</w:t>
                      </w:r>
                    </w:p>
                    <w:p w14:paraId="05E3470F" w14:textId="77777777" w:rsidR="005B5874" w:rsidRPr="0096600A" w:rsidRDefault="005B5874" w:rsidP="00F46FDA">
                      <w:pPr>
                        <w:pStyle w:val="Contactus"/>
                        <w:numPr>
                          <w:ilvl w:val="0"/>
                          <w:numId w:val="27"/>
                        </w:numPr>
                        <w:spacing w:after="120" w:line="240" w:lineRule="auto"/>
                        <w:ind w:left="426"/>
                        <w:rPr>
                          <w:i/>
                          <w:sz w:val="18"/>
                          <w:szCs w:val="18"/>
                        </w:rPr>
                      </w:pPr>
                      <w:r w:rsidRPr="0096600A">
                        <w:rPr>
                          <w:i/>
                          <w:sz w:val="18"/>
                          <w:szCs w:val="18"/>
                        </w:rPr>
                        <w:t>Závěrečná oboustranná reflexe otázek a odpovědí</w:t>
                      </w:r>
                    </w:p>
                    <w:p w14:paraId="7B29B36F" w14:textId="77777777" w:rsidR="005B5874" w:rsidRPr="00F46FDA" w:rsidRDefault="005B5874" w:rsidP="00F46FDA">
                      <w:pPr>
                        <w:pStyle w:val="Contactus"/>
                        <w:numPr>
                          <w:ilvl w:val="0"/>
                          <w:numId w:val="27"/>
                        </w:numPr>
                        <w:spacing w:after="120" w:line="240" w:lineRule="auto"/>
                        <w:ind w:left="426"/>
                        <w:rPr>
                          <w:i/>
                          <w:sz w:val="18"/>
                          <w:szCs w:val="18"/>
                        </w:rPr>
                      </w:pPr>
                      <w:r w:rsidRPr="0096600A">
                        <w:rPr>
                          <w:i/>
                          <w:sz w:val="18"/>
                          <w:szCs w:val="18"/>
                        </w:rPr>
                        <w:t>Ukončení rozhovoru</w:t>
                      </w:r>
                    </w:p>
                  </w:txbxContent>
                </v:textbox>
                <w10:anchorlock/>
              </v:shape>
            </w:pict>
          </mc:Fallback>
        </mc:AlternateContent>
      </w:r>
    </w:p>
    <w:p w14:paraId="444AB4F5" w14:textId="77777777" w:rsidR="00B85A31" w:rsidRDefault="00B85A31" w:rsidP="00C26C11">
      <w:pPr>
        <w:spacing w:before="240" w:after="120" w:line="240" w:lineRule="auto"/>
        <w:rPr>
          <w:b/>
          <w:color w:val="012169" w:themeColor="accent4"/>
        </w:rPr>
      </w:pPr>
    </w:p>
    <w:p w14:paraId="010CEE8E" w14:textId="77777777" w:rsidR="00C26C11" w:rsidRPr="00C26C11" w:rsidRDefault="00C26C11" w:rsidP="00C26C11">
      <w:pPr>
        <w:spacing w:before="240" w:after="120" w:line="240" w:lineRule="auto"/>
        <w:rPr>
          <w:b/>
          <w:color w:val="012169" w:themeColor="accent4"/>
        </w:rPr>
      </w:pPr>
      <w:r w:rsidRPr="00C26C11">
        <w:rPr>
          <w:b/>
          <w:color w:val="012169" w:themeColor="accent4"/>
        </w:rPr>
        <w:t>Návrh okruh</w:t>
      </w:r>
      <w:r>
        <w:rPr>
          <w:b/>
          <w:color w:val="012169" w:themeColor="accent4"/>
        </w:rPr>
        <w:t>ů</w:t>
      </w:r>
      <w:r w:rsidRPr="00C26C11">
        <w:rPr>
          <w:b/>
          <w:color w:val="012169" w:themeColor="accent4"/>
        </w:rPr>
        <w:t xml:space="preserve"> otázek pro </w:t>
      </w:r>
      <w:r>
        <w:rPr>
          <w:b/>
          <w:color w:val="012169" w:themeColor="accent4"/>
        </w:rPr>
        <w:t>poskytovatele grantového financování</w:t>
      </w:r>
    </w:p>
    <w:p w14:paraId="68285F00" w14:textId="77777777" w:rsidR="00C26C11" w:rsidRDefault="00C26C11" w:rsidP="00C26C11">
      <w:pPr>
        <w:spacing w:after="120" w:line="240" w:lineRule="auto"/>
        <w:jc w:val="both"/>
      </w:pPr>
      <w:r>
        <w:t xml:space="preserve">Dodavatel navrhuje tento indikativní seznam </w:t>
      </w:r>
      <w:r w:rsidR="00B30A0C">
        <w:t>oblastí k diskuzi v rámci IHR</w:t>
      </w:r>
      <w:r>
        <w:t>:</w:t>
      </w:r>
    </w:p>
    <w:p w14:paraId="6FD183A7" w14:textId="46D66BC1" w:rsidR="00F132EE" w:rsidRPr="00F132EE" w:rsidRDefault="00FE10D0" w:rsidP="001B11C7">
      <w:pPr>
        <w:pStyle w:val="ListParagraph"/>
        <w:numPr>
          <w:ilvl w:val="0"/>
          <w:numId w:val="32"/>
        </w:numPr>
        <w:spacing w:after="0"/>
      </w:pPr>
      <w:r w:rsidRPr="00C911F0">
        <w:t xml:space="preserve">Identifikace bariér na straně nabídky financování investičních záměrů z oblasti </w:t>
      </w:r>
      <w:r w:rsidR="00F132EE" w:rsidRPr="00F132EE">
        <w:t>posunu k</w:t>
      </w:r>
      <w:r w:rsidR="00791090">
        <w:t> </w:t>
      </w:r>
      <w:r w:rsidR="00F132EE" w:rsidRPr="00F132EE">
        <w:t>nízkouhlíkovému hospodářství</w:t>
      </w:r>
    </w:p>
    <w:p w14:paraId="53B47E40" w14:textId="77777777" w:rsidR="00FE10D0" w:rsidRPr="00C911F0" w:rsidRDefault="00FE10D0" w:rsidP="001B11C7">
      <w:pPr>
        <w:pStyle w:val="ListParagraph"/>
        <w:numPr>
          <w:ilvl w:val="0"/>
          <w:numId w:val="32"/>
        </w:numPr>
        <w:spacing w:before="240" w:after="120" w:line="240" w:lineRule="auto"/>
        <w:contextualSpacing w:val="0"/>
        <w:jc w:val="both"/>
      </w:pPr>
      <w:r w:rsidRPr="00C911F0">
        <w:t>Hlubší analýza a popis návrhů řešení předcházení a minimalizace identifikovaných bariér na straně nabídky</w:t>
      </w:r>
    </w:p>
    <w:p w14:paraId="4E5C3C55" w14:textId="77777777" w:rsidR="00FE10D0" w:rsidRPr="00C911F0" w:rsidRDefault="00FE10D0" w:rsidP="00FE10D0">
      <w:pPr>
        <w:pStyle w:val="ListParagraph"/>
        <w:numPr>
          <w:ilvl w:val="0"/>
          <w:numId w:val="32"/>
        </w:numPr>
        <w:spacing w:after="120" w:line="240" w:lineRule="auto"/>
        <w:contextualSpacing w:val="0"/>
        <w:jc w:val="both"/>
      </w:pPr>
      <w:r w:rsidRPr="00C911F0">
        <w:t>Zmapování vlivu regionů na výskyt a důvody tržního selhání či sub-optimálních investičních situací</w:t>
      </w:r>
    </w:p>
    <w:p w14:paraId="438375F9" w14:textId="77777777" w:rsidR="00FE10D0" w:rsidRPr="001B11C7" w:rsidRDefault="00FE10D0" w:rsidP="00FE10D0">
      <w:pPr>
        <w:pStyle w:val="ListParagraph"/>
        <w:numPr>
          <w:ilvl w:val="0"/>
          <w:numId w:val="32"/>
        </w:numPr>
        <w:spacing w:after="120" w:line="240" w:lineRule="auto"/>
        <w:contextualSpacing w:val="0"/>
        <w:jc w:val="both"/>
      </w:pPr>
      <w:r w:rsidRPr="001B11C7">
        <w:t>Identifikace a analýza výhod, limitů a nevýhod jednotlivých forem podpory pro specifické cílové skupiny a typy projektů či investičních akcí</w:t>
      </w:r>
    </w:p>
    <w:p w14:paraId="2551BD48" w14:textId="77777777" w:rsidR="00FE10D0" w:rsidRPr="007C5865" w:rsidRDefault="00FE10D0" w:rsidP="00FE10D0">
      <w:pPr>
        <w:pStyle w:val="ListParagraph"/>
        <w:numPr>
          <w:ilvl w:val="0"/>
          <w:numId w:val="32"/>
        </w:numPr>
        <w:spacing w:after="120" w:line="240" w:lineRule="auto"/>
        <w:contextualSpacing w:val="0"/>
        <w:jc w:val="both"/>
        <w:rPr>
          <w:szCs w:val="18"/>
        </w:rPr>
      </w:pPr>
      <w:r w:rsidRPr="001B11C7">
        <w:t>Definice podmínek a okolností nutných pro ekonomicky smysluplné projekty, včetně návrhu potřebných souvisejících legislativních změn</w:t>
      </w:r>
    </w:p>
    <w:p w14:paraId="4BD7353E" w14:textId="77777777" w:rsidR="007C5865" w:rsidRPr="001B11C7" w:rsidRDefault="007C5865" w:rsidP="007C5865">
      <w:pPr>
        <w:pStyle w:val="ListParagraph"/>
        <w:numPr>
          <w:ilvl w:val="0"/>
          <w:numId w:val="32"/>
        </w:numPr>
        <w:spacing w:after="120" w:line="240" w:lineRule="auto"/>
        <w:contextualSpacing w:val="0"/>
        <w:jc w:val="both"/>
        <w:rPr>
          <w:szCs w:val="18"/>
        </w:rPr>
      </w:pPr>
      <w:r>
        <w:rPr>
          <w:szCs w:val="18"/>
        </w:rPr>
        <w:t>D</w:t>
      </w:r>
      <w:r w:rsidRPr="007C5865">
        <w:rPr>
          <w:szCs w:val="18"/>
        </w:rPr>
        <w:t>oporučení/návrhy pro využití dostupných forem podpory v rámci jednotlivých SC/aktivit, které by měly řešit tržní selhání či suboptimální investiční situace v podnikatelském sektoru</w:t>
      </w:r>
    </w:p>
    <w:p w14:paraId="1A226D4F" w14:textId="77777777" w:rsidR="00C26C11" w:rsidRPr="00AF0FF3" w:rsidRDefault="00C26C11" w:rsidP="00C26C11">
      <w:pPr>
        <w:spacing w:after="120" w:line="240" w:lineRule="auto"/>
        <w:jc w:val="both"/>
      </w:pPr>
    </w:p>
    <w:p w14:paraId="35C824C0" w14:textId="77777777" w:rsidR="00C26C11" w:rsidRPr="00AF0FF3" w:rsidRDefault="00C26C11" w:rsidP="00C26C11">
      <w:pPr>
        <w:spacing w:before="240" w:after="120" w:line="240" w:lineRule="auto"/>
        <w:rPr>
          <w:b/>
          <w:color w:val="012169" w:themeColor="accent4"/>
        </w:rPr>
      </w:pPr>
      <w:r w:rsidRPr="00AF0FF3">
        <w:rPr>
          <w:b/>
          <w:color w:val="012169" w:themeColor="accent4"/>
        </w:rPr>
        <w:t>Návrh okruhů otázek pro poskytovatele negrantového financování</w:t>
      </w:r>
    </w:p>
    <w:p w14:paraId="5A36A44D" w14:textId="77777777" w:rsidR="00C26C11" w:rsidRPr="00AF0FF3" w:rsidRDefault="00C26C11" w:rsidP="00C26C11">
      <w:pPr>
        <w:spacing w:after="120" w:line="240" w:lineRule="auto"/>
        <w:jc w:val="both"/>
      </w:pPr>
      <w:r w:rsidRPr="00AF0FF3">
        <w:t>Dodavatel navrhuje tento indikativní seznam otázek:</w:t>
      </w:r>
    </w:p>
    <w:p w14:paraId="7D4A13E8" w14:textId="2AF095D2" w:rsidR="00F132EE" w:rsidRPr="00AF0FF3" w:rsidRDefault="00044BA2" w:rsidP="001B11C7">
      <w:pPr>
        <w:pStyle w:val="ListParagraph"/>
        <w:numPr>
          <w:ilvl w:val="0"/>
          <w:numId w:val="32"/>
        </w:numPr>
        <w:spacing w:after="0"/>
      </w:pPr>
      <w:r w:rsidRPr="00AF0FF3">
        <w:t xml:space="preserve">Identifikace bariér na straně nabídky financování investičních záměrů z oblasti </w:t>
      </w:r>
      <w:r w:rsidR="00F132EE" w:rsidRPr="00AF0FF3">
        <w:t>posunu k</w:t>
      </w:r>
      <w:r w:rsidR="00791090">
        <w:t> </w:t>
      </w:r>
      <w:r w:rsidR="00F132EE" w:rsidRPr="00AF0FF3">
        <w:t>nízkouhlíkovému hospodářství.</w:t>
      </w:r>
    </w:p>
    <w:p w14:paraId="1DEAA7BD" w14:textId="77777777" w:rsidR="00044BA2" w:rsidRPr="00AF0FF3" w:rsidRDefault="00044BA2" w:rsidP="001B11C7">
      <w:pPr>
        <w:pStyle w:val="ListParagraph"/>
        <w:numPr>
          <w:ilvl w:val="0"/>
          <w:numId w:val="32"/>
        </w:numPr>
        <w:spacing w:before="240" w:line="240" w:lineRule="auto"/>
        <w:contextualSpacing w:val="0"/>
        <w:jc w:val="both"/>
      </w:pPr>
      <w:r w:rsidRPr="00AF0FF3">
        <w:t>Hlubší analýza a popis návrhů řešení předcházení a minimalizace identifikovaných bariér na straně nabídky</w:t>
      </w:r>
    </w:p>
    <w:p w14:paraId="4E31CC42" w14:textId="77777777" w:rsidR="00044BA2" w:rsidRPr="00AF0FF3" w:rsidRDefault="00044BA2" w:rsidP="001B11C7">
      <w:pPr>
        <w:pStyle w:val="ListParagraph"/>
        <w:numPr>
          <w:ilvl w:val="0"/>
          <w:numId w:val="23"/>
        </w:numPr>
        <w:spacing w:line="240" w:lineRule="auto"/>
        <w:ind w:left="714" w:hanging="357"/>
        <w:contextualSpacing w:val="0"/>
        <w:jc w:val="both"/>
      </w:pPr>
      <w:r w:rsidRPr="00AF0FF3">
        <w:lastRenderedPageBreak/>
        <w:t xml:space="preserve">Reflexe dosavadních zkušeností s podporou podnikatelů a přenositelnost těchto zkušeností do </w:t>
      </w:r>
      <w:r w:rsidR="00F132EE" w:rsidRPr="00AF0FF3">
        <w:t xml:space="preserve">oblasti </w:t>
      </w:r>
      <w:r w:rsidR="00F132EE" w:rsidRPr="001B11C7">
        <w:rPr>
          <w:szCs w:val="18"/>
        </w:rPr>
        <w:t>posunu k nízkouhlíkovému hospodářství</w:t>
      </w:r>
      <w:r w:rsidRPr="00AF0FF3">
        <w:t xml:space="preserve"> po roce 2021</w:t>
      </w:r>
    </w:p>
    <w:p w14:paraId="6775EE92" w14:textId="77777777" w:rsidR="00044BA2" w:rsidRPr="001B11C7" w:rsidRDefault="00044BA2" w:rsidP="00044BA2">
      <w:pPr>
        <w:pStyle w:val="ListParagraph"/>
        <w:numPr>
          <w:ilvl w:val="0"/>
          <w:numId w:val="32"/>
        </w:numPr>
        <w:spacing w:after="120" w:line="240" w:lineRule="auto"/>
        <w:contextualSpacing w:val="0"/>
        <w:jc w:val="both"/>
      </w:pPr>
      <w:r w:rsidRPr="001B11C7">
        <w:t>Zmapování vlivu regionů na výskyt a důvody tržního selhání či sub-optimálních investičních situací</w:t>
      </w:r>
    </w:p>
    <w:p w14:paraId="324E34C7" w14:textId="77777777" w:rsidR="00044BA2" w:rsidRPr="001B11C7" w:rsidRDefault="00044BA2" w:rsidP="00044BA2">
      <w:pPr>
        <w:pStyle w:val="ListParagraph"/>
        <w:numPr>
          <w:ilvl w:val="0"/>
          <w:numId w:val="32"/>
        </w:numPr>
        <w:spacing w:after="120" w:line="240" w:lineRule="auto"/>
        <w:contextualSpacing w:val="0"/>
        <w:jc w:val="both"/>
      </w:pPr>
      <w:r w:rsidRPr="001B11C7">
        <w:t>Identifikace a analýza výhod, limitů a nevýhod jednotlivých forem podpory pro specifické cílové skupiny a typy projektů či investičních akcí</w:t>
      </w:r>
    </w:p>
    <w:p w14:paraId="7D4B72AF" w14:textId="77777777" w:rsidR="00C26C11" w:rsidRPr="00AF0FF3" w:rsidRDefault="00044BA2" w:rsidP="00C26C11">
      <w:pPr>
        <w:pStyle w:val="ListParagraph"/>
        <w:numPr>
          <w:ilvl w:val="0"/>
          <w:numId w:val="32"/>
        </w:numPr>
        <w:spacing w:after="120" w:line="240" w:lineRule="auto"/>
        <w:contextualSpacing w:val="0"/>
        <w:jc w:val="both"/>
      </w:pPr>
      <w:r w:rsidRPr="001B11C7">
        <w:t>Definice podmínek a okolností nutných pro ekonomicky smysluplné projekty, včetně návrhu potřebných souvisejících legislativních změn</w:t>
      </w:r>
    </w:p>
    <w:p w14:paraId="527B8CD9" w14:textId="77777777" w:rsidR="007C5865" w:rsidRPr="005E6A07" w:rsidRDefault="007C5865">
      <w:pPr>
        <w:pStyle w:val="ListParagraph"/>
        <w:numPr>
          <w:ilvl w:val="0"/>
          <w:numId w:val="32"/>
        </w:numPr>
        <w:spacing w:after="120" w:line="240" w:lineRule="auto"/>
        <w:contextualSpacing w:val="0"/>
        <w:jc w:val="both"/>
        <w:rPr>
          <w:szCs w:val="18"/>
        </w:rPr>
      </w:pPr>
      <w:r>
        <w:rPr>
          <w:szCs w:val="18"/>
        </w:rPr>
        <w:t>D</w:t>
      </w:r>
      <w:r w:rsidRPr="007C5865">
        <w:rPr>
          <w:szCs w:val="18"/>
        </w:rPr>
        <w:t>oporučení/návrhy pro využití dostupných forem podpory v rámci jednotlivých SC/aktivit, které by měly řešit tržní selhání či suboptimální investiční situace v podnikatelském sektoru</w:t>
      </w:r>
    </w:p>
    <w:p w14:paraId="68D7429C" w14:textId="77777777" w:rsidR="00C26C11" w:rsidRPr="00C26C11" w:rsidRDefault="00C26C11" w:rsidP="00C26C11">
      <w:pPr>
        <w:spacing w:before="240" w:after="120" w:line="240" w:lineRule="auto"/>
        <w:rPr>
          <w:b/>
          <w:color w:val="012169" w:themeColor="accent4"/>
        </w:rPr>
      </w:pPr>
      <w:r w:rsidRPr="00C26C11">
        <w:rPr>
          <w:b/>
          <w:color w:val="012169" w:themeColor="accent4"/>
        </w:rPr>
        <w:t>Návrh okruh</w:t>
      </w:r>
      <w:r>
        <w:rPr>
          <w:b/>
          <w:color w:val="012169" w:themeColor="accent4"/>
        </w:rPr>
        <w:t>ů</w:t>
      </w:r>
      <w:r w:rsidRPr="00C26C11">
        <w:rPr>
          <w:b/>
          <w:color w:val="012169" w:themeColor="accent4"/>
        </w:rPr>
        <w:t xml:space="preserve"> otázek pro </w:t>
      </w:r>
      <w:r>
        <w:rPr>
          <w:b/>
          <w:color w:val="012169" w:themeColor="accent4"/>
        </w:rPr>
        <w:t xml:space="preserve">experty na oblast </w:t>
      </w:r>
      <w:r w:rsidR="00F132EE" w:rsidRPr="00F132EE">
        <w:rPr>
          <w:b/>
          <w:color w:val="012169" w:themeColor="accent4"/>
        </w:rPr>
        <w:t>posunu k nízkouhlíkovému hospodářství.</w:t>
      </w:r>
    </w:p>
    <w:p w14:paraId="25235C73" w14:textId="77777777" w:rsidR="00C26C11" w:rsidRDefault="00C26C11" w:rsidP="00C26C11">
      <w:pPr>
        <w:spacing w:after="120" w:line="240" w:lineRule="auto"/>
        <w:jc w:val="both"/>
      </w:pPr>
      <w:r>
        <w:t>Dodavatel navrhuje tento indikativní seznam otázek:</w:t>
      </w:r>
    </w:p>
    <w:p w14:paraId="589E7254" w14:textId="090AA68B" w:rsidR="00AF2C49" w:rsidRPr="00F132EE" w:rsidRDefault="00AF2C49" w:rsidP="00AF2C49">
      <w:pPr>
        <w:pStyle w:val="ListParagraph"/>
        <w:numPr>
          <w:ilvl w:val="0"/>
          <w:numId w:val="32"/>
        </w:numPr>
        <w:spacing w:after="0"/>
      </w:pPr>
      <w:r w:rsidRPr="00C911F0">
        <w:t xml:space="preserve">Identifikace bariér na straně nabídky financování investičních záměrů z oblasti </w:t>
      </w:r>
      <w:r w:rsidRPr="00F132EE">
        <w:t>posunu k</w:t>
      </w:r>
      <w:r w:rsidR="00791090">
        <w:t> </w:t>
      </w:r>
      <w:r w:rsidRPr="00F132EE">
        <w:t>nízkouhlíkovému hospodářství</w:t>
      </w:r>
    </w:p>
    <w:p w14:paraId="5194F674" w14:textId="77777777" w:rsidR="00AF2C49" w:rsidRPr="00C911F0" w:rsidRDefault="00AF2C49" w:rsidP="00AF2C49">
      <w:pPr>
        <w:pStyle w:val="ListParagraph"/>
        <w:numPr>
          <w:ilvl w:val="0"/>
          <w:numId w:val="32"/>
        </w:numPr>
        <w:spacing w:before="240" w:after="120" w:line="240" w:lineRule="auto"/>
        <w:contextualSpacing w:val="0"/>
        <w:jc w:val="both"/>
      </w:pPr>
      <w:r w:rsidRPr="00C911F0">
        <w:t>Hlubší analýza a popis návrhů řešení předcházení a minimalizace identifikovaných bariér na straně nabídky</w:t>
      </w:r>
    </w:p>
    <w:p w14:paraId="5ABF963B" w14:textId="77777777" w:rsidR="00AF2C49" w:rsidRPr="00C911F0" w:rsidRDefault="00AF2C49" w:rsidP="00AF2C49">
      <w:pPr>
        <w:pStyle w:val="ListParagraph"/>
        <w:numPr>
          <w:ilvl w:val="0"/>
          <w:numId w:val="32"/>
        </w:numPr>
        <w:spacing w:after="120" w:line="240" w:lineRule="auto"/>
        <w:contextualSpacing w:val="0"/>
        <w:jc w:val="both"/>
      </w:pPr>
      <w:r w:rsidRPr="00C911F0">
        <w:t>Zmapování vlivu regionů na výskyt a důvody tržního selhání či sub-optimálních investičních situací</w:t>
      </w:r>
    </w:p>
    <w:p w14:paraId="02F34A53" w14:textId="77777777" w:rsidR="00AF2C49" w:rsidRPr="00F81566" w:rsidRDefault="00AF2C49" w:rsidP="00AF2C49">
      <w:pPr>
        <w:pStyle w:val="ListParagraph"/>
        <w:numPr>
          <w:ilvl w:val="0"/>
          <w:numId w:val="32"/>
        </w:numPr>
        <w:spacing w:after="120" w:line="240" w:lineRule="auto"/>
        <w:contextualSpacing w:val="0"/>
        <w:jc w:val="both"/>
      </w:pPr>
      <w:r w:rsidRPr="00F81566">
        <w:t>Identifikace a analýza výhod, limitů a nevýhod jednotlivých forem podpory pro specifické cílové skupiny a typy projektů či investičních akcí</w:t>
      </w:r>
    </w:p>
    <w:p w14:paraId="4A77136A" w14:textId="77777777" w:rsidR="00C911F0" w:rsidRDefault="00AF2C49" w:rsidP="001B11C7">
      <w:pPr>
        <w:pStyle w:val="ListParagraph"/>
        <w:numPr>
          <w:ilvl w:val="0"/>
          <w:numId w:val="32"/>
        </w:numPr>
        <w:spacing w:after="120" w:line="240" w:lineRule="auto"/>
        <w:contextualSpacing w:val="0"/>
        <w:jc w:val="both"/>
      </w:pPr>
      <w:r w:rsidRPr="00F81566">
        <w:t>Definice podmínek a okolností nutných pro ekonomicky smysluplné projekty, včetně návrhu potřebných souvisejících legislativních změn</w:t>
      </w:r>
    </w:p>
    <w:p w14:paraId="5530AB5E" w14:textId="77777777" w:rsidR="007C5865" w:rsidRPr="005E6A07" w:rsidRDefault="007C5865">
      <w:pPr>
        <w:pStyle w:val="ListParagraph"/>
        <w:numPr>
          <w:ilvl w:val="0"/>
          <w:numId w:val="32"/>
        </w:numPr>
        <w:spacing w:after="120" w:line="240" w:lineRule="auto"/>
        <w:contextualSpacing w:val="0"/>
        <w:jc w:val="both"/>
        <w:rPr>
          <w:szCs w:val="18"/>
        </w:rPr>
      </w:pPr>
      <w:r>
        <w:rPr>
          <w:szCs w:val="18"/>
        </w:rPr>
        <w:t>D</w:t>
      </w:r>
      <w:r w:rsidRPr="007C5865">
        <w:rPr>
          <w:szCs w:val="18"/>
        </w:rPr>
        <w:t>oporučení/návrhy pro využití dostupných forem podpory v rámci jednotlivých SC/aktivit, které by měly řešit tržní selhání či suboptimální investiční situace v podnikatelském sektoru</w:t>
      </w:r>
    </w:p>
    <w:p w14:paraId="472B082B" w14:textId="77777777" w:rsidR="00C26C11" w:rsidRDefault="00C26C11" w:rsidP="00C26C11">
      <w:pPr>
        <w:spacing w:after="120" w:line="240" w:lineRule="auto"/>
        <w:jc w:val="both"/>
      </w:pPr>
    </w:p>
    <w:p w14:paraId="58E53D59" w14:textId="77777777" w:rsidR="00C26C11" w:rsidRDefault="00C26C11" w:rsidP="00C26C11">
      <w:pPr>
        <w:spacing w:before="240" w:after="120" w:line="240" w:lineRule="auto"/>
        <w:rPr>
          <w:b/>
          <w:color w:val="012169" w:themeColor="accent4"/>
        </w:rPr>
      </w:pPr>
      <w:r w:rsidRPr="00C26C11">
        <w:rPr>
          <w:b/>
          <w:color w:val="012169" w:themeColor="accent4"/>
        </w:rPr>
        <w:t>Návrh okruh</w:t>
      </w:r>
      <w:r>
        <w:rPr>
          <w:b/>
          <w:color w:val="012169" w:themeColor="accent4"/>
        </w:rPr>
        <w:t>ů</w:t>
      </w:r>
      <w:r w:rsidRPr="00C26C11">
        <w:rPr>
          <w:b/>
          <w:color w:val="012169" w:themeColor="accent4"/>
        </w:rPr>
        <w:t xml:space="preserve"> otázek pro </w:t>
      </w:r>
      <w:r>
        <w:rPr>
          <w:b/>
          <w:color w:val="012169" w:themeColor="accent4"/>
        </w:rPr>
        <w:t>zástupce zastřešujících organizací podnikatelů a firem</w:t>
      </w:r>
    </w:p>
    <w:p w14:paraId="6D6F7677" w14:textId="77777777" w:rsidR="00C26C11" w:rsidRDefault="00C26C11" w:rsidP="00C26C11">
      <w:pPr>
        <w:spacing w:after="120" w:line="240" w:lineRule="auto"/>
        <w:jc w:val="both"/>
      </w:pPr>
      <w:r>
        <w:t>Dodavatel navrhuje tento indikativní seznam otázek:</w:t>
      </w:r>
    </w:p>
    <w:p w14:paraId="6820AC16" w14:textId="77777777" w:rsidR="00F132EE" w:rsidRPr="00F132EE" w:rsidRDefault="00FE10D0" w:rsidP="001B11C7">
      <w:pPr>
        <w:pStyle w:val="ListParagraph"/>
        <w:numPr>
          <w:ilvl w:val="0"/>
          <w:numId w:val="32"/>
        </w:numPr>
        <w:spacing w:after="0"/>
      </w:pPr>
      <w:r w:rsidRPr="00C911F0">
        <w:t>Identifikace bariér na</w:t>
      </w:r>
      <w:r w:rsidR="00C911F0" w:rsidRPr="00C911F0">
        <w:t xml:space="preserve"> straně </w:t>
      </w:r>
      <w:r w:rsidRPr="00C911F0">
        <w:t xml:space="preserve">poptávky po financování investičních záměrů z oblasti </w:t>
      </w:r>
      <w:r w:rsidR="00F132EE" w:rsidRPr="00F132EE">
        <w:t>posunu k nízkouhlíkovému hospodářství.</w:t>
      </w:r>
    </w:p>
    <w:p w14:paraId="4876C7BF" w14:textId="77777777" w:rsidR="00FE10D0" w:rsidRPr="00C911F0" w:rsidRDefault="00FE10D0" w:rsidP="001B11C7">
      <w:pPr>
        <w:pStyle w:val="ListParagraph"/>
        <w:numPr>
          <w:ilvl w:val="0"/>
          <w:numId w:val="32"/>
        </w:numPr>
        <w:spacing w:before="240" w:after="120" w:line="240" w:lineRule="auto"/>
        <w:contextualSpacing w:val="0"/>
        <w:jc w:val="both"/>
      </w:pPr>
      <w:r w:rsidRPr="00C911F0">
        <w:t>Hlubší analýza a popis návrhů řešení předcházení a minimalizace identifikovaných bariér na straně poptávky</w:t>
      </w:r>
    </w:p>
    <w:p w14:paraId="0FD9B89D" w14:textId="77777777" w:rsidR="00FE10D0" w:rsidRPr="001B11C7" w:rsidRDefault="00FE10D0" w:rsidP="001B11C7">
      <w:pPr>
        <w:pStyle w:val="ListParagraph"/>
        <w:numPr>
          <w:ilvl w:val="0"/>
          <w:numId w:val="32"/>
        </w:numPr>
        <w:spacing w:before="240" w:after="120" w:line="240" w:lineRule="auto"/>
        <w:contextualSpacing w:val="0"/>
        <w:jc w:val="both"/>
      </w:pPr>
      <w:r w:rsidRPr="001B11C7">
        <w:t>Zmapování vlivu regionů na výskyt a důvody tržního selhání či sub-optimálních investičních situací</w:t>
      </w:r>
    </w:p>
    <w:p w14:paraId="2E8C2ACA" w14:textId="77777777" w:rsidR="00FE10D0" w:rsidRPr="00C911F0" w:rsidRDefault="00FE10D0" w:rsidP="00FE10D0">
      <w:pPr>
        <w:pStyle w:val="ListParagraph"/>
        <w:numPr>
          <w:ilvl w:val="0"/>
          <w:numId w:val="32"/>
        </w:numPr>
        <w:spacing w:after="120" w:line="240" w:lineRule="auto"/>
        <w:contextualSpacing w:val="0"/>
        <w:jc w:val="both"/>
      </w:pPr>
      <w:r w:rsidRPr="00C911F0">
        <w:t>Identifikace a analýza výhod, limitů a nevýhod jednotlivých forem podpory pro specifické cílové skupiny a typy projektů či investičních akcí</w:t>
      </w:r>
    </w:p>
    <w:p w14:paraId="5252535C" w14:textId="77777777" w:rsidR="00FE10D0" w:rsidRPr="007C5865" w:rsidRDefault="00FE10D0" w:rsidP="00FE10D0">
      <w:pPr>
        <w:pStyle w:val="ListParagraph"/>
        <w:numPr>
          <w:ilvl w:val="0"/>
          <w:numId w:val="32"/>
        </w:numPr>
        <w:spacing w:after="120" w:line="240" w:lineRule="auto"/>
        <w:contextualSpacing w:val="0"/>
        <w:jc w:val="both"/>
        <w:rPr>
          <w:szCs w:val="18"/>
        </w:rPr>
      </w:pPr>
      <w:r w:rsidRPr="001B11C7">
        <w:t>Definice podmínek a okolností nutných pro ekonomicky smysluplné projekty, včetně návrhu potřebných souvisejících legislativních změn</w:t>
      </w:r>
    </w:p>
    <w:p w14:paraId="3B54D14E" w14:textId="77777777" w:rsidR="007C5865" w:rsidRPr="005E6A07" w:rsidRDefault="007C5865">
      <w:pPr>
        <w:pStyle w:val="ListParagraph"/>
        <w:numPr>
          <w:ilvl w:val="0"/>
          <w:numId w:val="32"/>
        </w:numPr>
        <w:spacing w:after="120" w:line="240" w:lineRule="auto"/>
        <w:contextualSpacing w:val="0"/>
        <w:jc w:val="both"/>
        <w:rPr>
          <w:szCs w:val="18"/>
        </w:rPr>
      </w:pPr>
      <w:r>
        <w:rPr>
          <w:szCs w:val="18"/>
        </w:rPr>
        <w:t>D</w:t>
      </w:r>
      <w:r w:rsidRPr="007C5865">
        <w:rPr>
          <w:szCs w:val="18"/>
        </w:rPr>
        <w:t>oporučení/návrhy pro využití dostupných forem podpory v rámci jednotlivých SC/aktivit, které by měly řešit tržní selhání či suboptimální investiční situace v podnikatelském sektoru</w:t>
      </w:r>
    </w:p>
    <w:p w14:paraId="3FEE71DB" w14:textId="77777777" w:rsidR="00FE10D0" w:rsidRDefault="00FE10D0" w:rsidP="00FE10D0">
      <w:pPr>
        <w:pStyle w:val="ListParagraph"/>
        <w:spacing w:after="120" w:line="240" w:lineRule="auto"/>
        <w:jc w:val="both"/>
      </w:pPr>
    </w:p>
    <w:p w14:paraId="3992B434" w14:textId="77777777" w:rsidR="00B85A31" w:rsidRDefault="00B85A31" w:rsidP="00B85A31">
      <w:pPr>
        <w:spacing w:after="120" w:line="240" w:lineRule="auto"/>
        <w:jc w:val="both"/>
      </w:pPr>
      <w:r>
        <w:t xml:space="preserve">Před samotnou realizací individuálních hloubkových rozhovorů bude zpracován scénář obsahující indikativní otázky ve výše uvedených oblastech, nicméně facilitátoři budou klást důraz na ponechání volného průběhu diskuze a indikativní otázky budou využité pouze v případě potřeby pro nasměrování diskuze. </w:t>
      </w:r>
    </w:p>
    <w:p w14:paraId="4C17F9F8" w14:textId="77777777" w:rsidR="00C26C11" w:rsidRDefault="00C26C11" w:rsidP="00C26C11">
      <w:pPr>
        <w:spacing w:after="120" w:line="240" w:lineRule="auto"/>
        <w:jc w:val="both"/>
      </w:pPr>
    </w:p>
    <w:p w14:paraId="4EDD7915" w14:textId="77777777" w:rsidR="00552666" w:rsidRDefault="00552666">
      <w:pPr>
        <w:spacing w:after="200" w:line="276" w:lineRule="auto"/>
        <w:rPr>
          <w:b/>
          <w:color w:val="86BC25" w:themeColor="accent1"/>
        </w:rPr>
      </w:pPr>
      <w:r>
        <w:rPr>
          <w:b/>
          <w:color w:val="86BC25" w:themeColor="accent1"/>
        </w:rPr>
        <w:br w:type="page"/>
      </w:r>
    </w:p>
    <w:p w14:paraId="217AFA3D" w14:textId="77777777" w:rsidR="00552666" w:rsidRDefault="00552666" w:rsidP="00552666">
      <w:pPr>
        <w:spacing w:line="240" w:lineRule="auto"/>
        <w:rPr>
          <w:b/>
          <w:color w:val="86BC25" w:themeColor="accent1"/>
        </w:rPr>
      </w:pPr>
      <w:r>
        <w:rPr>
          <w:b/>
          <w:color w:val="86BC25" w:themeColor="accent1"/>
        </w:rPr>
        <w:lastRenderedPageBreak/>
        <w:t>Expertní panel</w:t>
      </w:r>
    </w:p>
    <w:p w14:paraId="05DEC750" w14:textId="77777777" w:rsidR="00552666" w:rsidRDefault="00552666" w:rsidP="00552666">
      <w:pPr>
        <w:spacing w:after="120" w:line="240" w:lineRule="auto"/>
        <w:jc w:val="both"/>
      </w:pPr>
      <w:r>
        <w:t>Průběh expertního panelu je obdobný jako průběh fokusní skupiny popsaný výše, liší se pouze účastníci (v případě EP se jedná o experty na financování investičních záměrů, tj. nabídku finančních prostředků) a diskutované otázky.</w:t>
      </w:r>
    </w:p>
    <w:p w14:paraId="4E90F0AC" w14:textId="77777777" w:rsidR="00552666" w:rsidRPr="00C26C11" w:rsidRDefault="00552666" w:rsidP="00552666">
      <w:pPr>
        <w:spacing w:before="240" w:after="120" w:line="240" w:lineRule="auto"/>
        <w:rPr>
          <w:b/>
          <w:color w:val="012169" w:themeColor="accent4"/>
        </w:rPr>
      </w:pPr>
      <w:r w:rsidRPr="00C26C11">
        <w:rPr>
          <w:b/>
          <w:color w:val="012169" w:themeColor="accent4"/>
        </w:rPr>
        <w:t>Návrh okruh</w:t>
      </w:r>
      <w:r>
        <w:rPr>
          <w:b/>
          <w:color w:val="012169" w:themeColor="accent4"/>
        </w:rPr>
        <w:t>ů</w:t>
      </w:r>
      <w:r w:rsidRPr="00C26C11">
        <w:rPr>
          <w:b/>
          <w:color w:val="012169" w:themeColor="accent4"/>
        </w:rPr>
        <w:t xml:space="preserve"> otázek pro expertní panel</w:t>
      </w:r>
    </w:p>
    <w:p w14:paraId="296DE18F" w14:textId="77777777" w:rsidR="00552666" w:rsidRDefault="00552666" w:rsidP="00552666">
      <w:pPr>
        <w:spacing w:after="120" w:line="240" w:lineRule="auto"/>
        <w:jc w:val="both"/>
      </w:pPr>
      <w:r>
        <w:t>Dodavatel navrhuje tento indikativní seznam okruhů k diskuzi v rámci EP:</w:t>
      </w:r>
    </w:p>
    <w:p w14:paraId="7772F414" w14:textId="77777777" w:rsidR="00552666" w:rsidRPr="001B11C7" w:rsidRDefault="00552666" w:rsidP="00552666">
      <w:pPr>
        <w:pStyle w:val="ListParagraph"/>
        <w:numPr>
          <w:ilvl w:val="0"/>
          <w:numId w:val="23"/>
        </w:numPr>
        <w:spacing w:after="120" w:line="240" w:lineRule="auto"/>
        <w:ind w:left="714" w:hanging="357"/>
        <w:contextualSpacing w:val="0"/>
        <w:jc w:val="both"/>
      </w:pPr>
      <w:r w:rsidRPr="001B11C7">
        <w:t>Aktuální stav souvisejících ukazatelů na finančním trhu</w:t>
      </w:r>
    </w:p>
    <w:p w14:paraId="100A87E6" w14:textId="77777777" w:rsidR="00552666" w:rsidRPr="001B11C7" w:rsidRDefault="00552666" w:rsidP="00552666">
      <w:pPr>
        <w:pStyle w:val="ListParagraph"/>
        <w:numPr>
          <w:ilvl w:val="0"/>
          <w:numId w:val="23"/>
        </w:numPr>
        <w:spacing w:after="120" w:line="240" w:lineRule="auto"/>
        <w:ind w:left="714" w:hanging="357"/>
        <w:contextualSpacing w:val="0"/>
        <w:jc w:val="both"/>
      </w:pPr>
      <w:r w:rsidRPr="001B11C7">
        <w:t>Možný budoucí vývoj souvisejících ukazatelů na finančním trhu</w:t>
      </w:r>
    </w:p>
    <w:p w14:paraId="7F0C33EE" w14:textId="77777777" w:rsidR="00552666" w:rsidRPr="001B11C7" w:rsidRDefault="00552666" w:rsidP="00552666">
      <w:pPr>
        <w:pStyle w:val="ListParagraph"/>
        <w:numPr>
          <w:ilvl w:val="0"/>
          <w:numId w:val="23"/>
        </w:numPr>
        <w:spacing w:after="120" w:line="240" w:lineRule="auto"/>
        <w:ind w:left="714" w:hanging="357"/>
        <w:contextualSpacing w:val="0"/>
        <w:jc w:val="both"/>
      </w:pPr>
      <w:r w:rsidRPr="001B11C7">
        <w:t>Oblasti vyznačující se obtížným přístupem k tržnímu financování</w:t>
      </w:r>
    </w:p>
    <w:p w14:paraId="12312634" w14:textId="77777777" w:rsidR="00552666" w:rsidRPr="001B11C7" w:rsidRDefault="00552666" w:rsidP="00552666">
      <w:pPr>
        <w:pStyle w:val="ListParagraph"/>
        <w:numPr>
          <w:ilvl w:val="0"/>
          <w:numId w:val="23"/>
        </w:numPr>
        <w:spacing w:after="120" w:line="240" w:lineRule="auto"/>
        <w:ind w:left="714" w:hanging="357"/>
        <w:contextualSpacing w:val="0"/>
        <w:jc w:val="both"/>
      </w:pPr>
      <w:r w:rsidRPr="001B11C7">
        <w:t>Zkušenosti s poptávkou po úvěrových a záručních produktech ze strany podnikatelských subjektů (především MSP) realizujících inovativní investiční záměry</w:t>
      </w:r>
    </w:p>
    <w:p w14:paraId="02934C5F" w14:textId="77777777" w:rsidR="00552666" w:rsidRPr="001B11C7" w:rsidRDefault="00552666" w:rsidP="00552666">
      <w:pPr>
        <w:pStyle w:val="ListParagraph"/>
        <w:numPr>
          <w:ilvl w:val="0"/>
          <w:numId w:val="23"/>
        </w:numPr>
        <w:spacing w:after="120" w:line="240" w:lineRule="auto"/>
        <w:ind w:left="714" w:hanging="357"/>
        <w:contextualSpacing w:val="0"/>
        <w:jc w:val="both"/>
      </w:pPr>
      <w:r w:rsidRPr="001B11C7">
        <w:t>V</w:t>
      </w:r>
      <w:r w:rsidRPr="001B11C7">
        <w:rPr>
          <w:szCs w:val="18"/>
        </w:rPr>
        <w:t>hodnost a nastavení různých forem podpory (dotace, finanční nástroje, kombinace nevratné dotační podpory a finančních nástrojů, popř. alternativní formy podpory jako např. daňové zvýhodnění apod.) pro aktivity, projekty a investiční záměry MSP v oblasti posunu k nízkouhlíkovému hospodářství</w:t>
      </w:r>
    </w:p>
    <w:p w14:paraId="67E583D1" w14:textId="77777777" w:rsidR="00552666" w:rsidRPr="001B11C7" w:rsidRDefault="00552666" w:rsidP="00552666">
      <w:pPr>
        <w:pStyle w:val="ListParagraph"/>
        <w:numPr>
          <w:ilvl w:val="0"/>
          <w:numId w:val="23"/>
        </w:numPr>
        <w:spacing w:after="120" w:line="240" w:lineRule="auto"/>
        <w:ind w:left="714" w:hanging="357"/>
        <w:contextualSpacing w:val="0"/>
        <w:jc w:val="both"/>
      </w:pPr>
      <w:r>
        <w:rPr>
          <w:szCs w:val="18"/>
        </w:rPr>
        <w:t>Bariéry a potenciální bariéry pro čerpání návratných forem podpory</w:t>
      </w:r>
    </w:p>
    <w:p w14:paraId="6AFEE8AE" w14:textId="77777777" w:rsidR="00552666" w:rsidRPr="001B11C7" w:rsidRDefault="00552666" w:rsidP="00552666">
      <w:pPr>
        <w:pStyle w:val="ListParagraph"/>
        <w:numPr>
          <w:ilvl w:val="0"/>
          <w:numId w:val="23"/>
        </w:numPr>
        <w:spacing w:after="120" w:line="240" w:lineRule="auto"/>
        <w:ind w:left="714" w:hanging="357"/>
        <w:contextualSpacing w:val="0"/>
        <w:jc w:val="both"/>
      </w:pPr>
      <w:r>
        <w:rPr>
          <w:szCs w:val="18"/>
        </w:rPr>
        <w:t>Možnosti zatraktivnění návratných forem podpory</w:t>
      </w:r>
    </w:p>
    <w:p w14:paraId="50314070" w14:textId="77777777" w:rsidR="00552666" w:rsidRDefault="00552666" w:rsidP="00552666">
      <w:pPr>
        <w:spacing w:after="120" w:line="240" w:lineRule="auto"/>
        <w:jc w:val="both"/>
      </w:pPr>
      <w:r>
        <w:t xml:space="preserve">Před samotnou realizací expertního panelu bude zpracován scénář obsahující indikativní otázky ve výše uvedených oblastech, nicméně facilitátoři budou klást důraz na ponechání volného průběhu diskuze a indikativní otázky budou využité pouze v případě potřeby pro nasměrování diskuze. </w:t>
      </w:r>
    </w:p>
    <w:p w14:paraId="0C81F1D1" w14:textId="77777777" w:rsidR="00552666" w:rsidRDefault="00552666" w:rsidP="00C26C11">
      <w:pPr>
        <w:spacing w:after="120" w:line="240" w:lineRule="auto"/>
        <w:jc w:val="both"/>
      </w:pPr>
    </w:p>
    <w:p w14:paraId="70268C54" w14:textId="77777777" w:rsidR="00C26C11" w:rsidRDefault="00C26C11" w:rsidP="00C26C11">
      <w:pPr>
        <w:spacing w:after="120" w:line="240" w:lineRule="auto"/>
        <w:jc w:val="both"/>
      </w:pPr>
    </w:p>
    <w:p w14:paraId="11E27591" w14:textId="77777777" w:rsidR="00F46FDA" w:rsidRPr="00F46FDA" w:rsidRDefault="00F46FDA" w:rsidP="00F46FDA">
      <w:pPr>
        <w:spacing w:line="240" w:lineRule="auto"/>
        <w:rPr>
          <w:b/>
          <w:color w:val="86BC25" w:themeColor="accent1"/>
        </w:rPr>
        <w:sectPr w:rsidR="00F46FDA" w:rsidRPr="00F46FDA" w:rsidSect="00995275">
          <w:footerReference w:type="first" r:id="rId18"/>
          <w:pgSz w:w="11906" w:h="16838" w:code="9"/>
          <w:pgMar w:top="1418" w:right="1418" w:bottom="1418" w:left="1418" w:header="680" w:footer="567" w:gutter="0"/>
          <w:cols w:space="284"/>
          <w:titlePg/>
          <w:docGrid w:linePitch="360"/>
        </w:sectPr>
      </w:pPr>
    </w:p>
    <w:p w14:paraId="37C509AD" w14:textId="77777777" w:rsidR="00FA6087" w:rsidRDefault="00FA6087" w:rsidP="00F46FDA">
      <w:pPr>
        <w:pStyle w:val="Heading1"/>
        <w:numPr>
          <w:ilvl w:val="0"/>
          <w:numId w:val="0"/>
        </w:numPr>
      </w:pPr>
      <w:bookmarkStart w:id="52" w:name="_Toc37248830"/>
      <w:r>
        <w:lastRenderedPageBreak/>
        <w:t xml:space="preserve">Příloha 3: </w:t>
      </w:r>
      <w:r w:rsidRPr="00FA6087">
        <w:t>Přehled navrhovaných ev</w:t>
      </w:r>
      <w:r>
        <w:t xml:space="preserve">aluačních </w:t>
      </w:r>
      <w:r w:rsidRPr="00FA6087">
        <w:t>metod a jejich výhod a omezení</w:t>
      </w:r>
      <w:bookmarkEnd w:id="52"/>
    </w:p>
    <w:p w14:paraId="1D110F10" w14:textId="77777777" w:rsidR="00E53A06" w:rsidRDefault="00E53A06" w:rsidP="00F46FDA">
      <w:pPr>
        <w:pStyle w:val="Caption"/>
        <w:spacing w:after="120"/>
        <w:jc w:val="center"/>
      </w:pPr>
      <w:bookmarkStart w:id="53" w:name="_Toc24384743"/>
      <w:r>
        <w:t xml:space="preserve">Tabulka </w:t>
      </w:r>
      <w:r>
        <w:fldChar w:fldCharType="begin"/>
      </w:r>
      <w:r>
        <w:instrText xml:space="preserve"> SEQ Tabulka \* ARABIC </w:instrText>
      </w:r>
      <w:r>
        <w:fldChar w:fldCharType="separate"/>
      </w:r>
      <w:r w:rsidR="00D33D5F">
        <w:rPr>
          <w:noProof/>
        </w:rPr>
        <w:t>11</w:t>
      </w:r>
      <w:r>
        <w:fldChar w:fldCharType="end"/>
      </w:r>
      <w:r>
        <w:t>: Navrhované evaluační metody a jejich výhody a omezení</w:t>
      </w:r>
      <w:bookmarkEnd w:id="53"/>
    </w:p>
    <w:tbl>
      <w:tblPr>
        <w:tblStyle w:val="ListTable3-Accent11"/>
        <w:tblW w:w="5000" w:type="pct"/>
        <w:tblBorders>
          <w:left w:val="none" w:sz="0" w:space="0" w:color="auto"/>
          <w:right w:val="none" w:sz="0" w:space="0" w:color="auto"/>
          <w:insideH w:val="single" w:sz="4" w:space="0" w:color="86BC25" w:themeColor="accent1"/>
        </w:tblBorders>
        <w:tblCellMar>
          <w:left w:w="43" w:type="dxa"/>
          <w:right w:w="43" w:type="dxa"/>
        </w:tblCellMar>
        <w:tblLook w:val="04A0" w:firstRow="1" w:lastRow="0" w:firstColumn="1" w:lastColumn="0" w:noHBand="0" w:noVBand="1"/>
      </w:tblPr>
      <w:tblGrid>
        <w:gridCol w:w="1731"/>
        <w:gridCol w:w="5357"/>
        <w:gridCol w:w="3803"/>
        <w:gridCol w:w="3111"/>
      </w:tblGrid>
      <w:tr w:rsidR="00E53A06" w:rsidRPr="00E53A06" w14:paraId="2652C9BC" w14:textId="77777777" w:rsidTr="001B11C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618" w:type="pct"/>
            <w:tcBorders>
              <w:bottom w:val="none" w:sz="0" w:space="0" w:color="auto"/>
              <w:right w:val="none" w:sz="0" w:space="0" w:color="auto"/>
            </w:tcBorders>
          </w:tcPr>
          <w:p w14:paraId="327B8ACA" w14:textId="77777777" w:rsidR="00E53A06" w:rsidRPr="00E53A06" w:rsidRDefault="00E53A06" w:rsidP="00F46FDA">
            <w:pPr>
              <w:spacing w:after="0" w:line="240" w:lineRule="auto"/>
              <w:rPr>
                <w:rFonts w:cs="Arial"/>
                <w:sz w:val="16"/>
                <w:szCs w:val="16"/>
              </w:rPr>
            </w:pPr>
            <w:r w:rsidRPr="00E53A06">
              <w:rPr>
                <w:rFonts w:eastAsia="Times New Roman" w:cs="Arial"/>
                <w:sz w:val="16"/>
                <w:szCs w:val="16"/>
              </w:rPr>
              <w:t>Název metody</w:t>
            </w:r>
          </w:p>
        </w:tc>
        <w:tc>
          <w:tcPr>
            <w:tcW w:w="1913" w:type="pct"/>
          </w:tcPr>
          <w:p w14:paraId="48884724" w14:textId="77777777" w:rsidR="00E53A06" w:rsidRPr="00E53A06" w:rsidRDefault="00E53A06"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E53A06">
              <w:rPr>
                <w:rFonts w:eastAsia="Times New Roman" w:cs="Arial"/>
                <w:sz w:val="16"/>
                <w:szCs w:val="16"/>
              </w:rPr>
              <w:t>Popis</w:t>
            </w:r>
          </w:p>
        </w:tc>
        <w:tc>
          <w:tcPr>
            <w:tcW w:w="1358" w:type="pct"/>
          </w:tcPr>
          <w:p w14:paraId="2F1E0F2A" w14:textId="77777777" w:rsidR="00E53A06" w:rsidRPr="00E53A06" w:rsidRDefault="00E53A06"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E53A06">
              <w:rPr>
                <w:rFonts w:eastAsia="Times New Roman" w:cs="Arial"/>
                <w:sz w:val="16"/>
                <w:szCs w:val="16"/>
              </w:rPr>
              <w:t>Výhody metody</w:t>
            </w:r>
          </w:p>
        </w:tc>
        <w:tc>
          <w:tcPr>
            <w:tcW w:w="1111" w:type="pct"/>
          </w:tcPr>
          <w:p w14:paraId="2F3884FE" w14:textId="77777777" w:rsidR="00E53A06" w:rsidRPr="00E53A06" w:rsidRDefault="00E53A06" w:rsidP="00F46FDA">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16"/>
                <w:szCs w:val="16"/>
              </w:rPr>
            </w:pPr>
            <w:r w:rsidRPr="00E53A06">
              <w:rPr>
                <w:rFonts w:eastAsia="Times New Roman" w:cs="Arial"/>
                <w:sz w:val="16"/>
                <w:szCs w:val="16"/>
              </w:rPr>
              <w:t>Limity a nevýhody</w:t>
            </w:r>
          </w:p>
        </w:tc>
      </w:tr>
      <w:tr w:rsidR="00E53A06" w:rsidRPr="00E53A06" w14:paraId="041F9DB4" w14:textId="77777777" w:rsidTr="001B11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Borders>
              <w:top w:val="none" w:sz="0" w:space="0" w:color="auto"/>
              <w:bottom w:val="none" w:sz="0" w:space="0" w:color="auto"/>
              <w:right w:val="none" w:sz="0" w:space="0" w:color="auto"/>
            </w:tcBorders>
            <w:shd w:val="clear" w:color="auto" w:fill="E7F5CF" w:themeFill="accent1" w:themeFillTint="33"/>
          </w:tcPr>
          <w:p w14:paraId="5111F362" w14:textId="77777777" w:rsidR="00E53A06" w:rsidRPr="00E53A06" w:rsidRDefault="00E53A06" w:rsidP="00F46FDA">
            <w:pPr>
              <w:spacing w:after="0" w:line="240" w:lineRule="auto"/>
              <w:rPr>
                <w:rFonts w:cs="Arial"/>
                <w:sz w:val="16"/>
                <w:szCs w:val="16"/>
              </w:rPr>
            </w:pPr>
            <w:r w:rsidRPr="00E53A06">
              <w:rPr>
                <w:rFonts w:eastAsia="Times New Roman" w:cs="Arial"/>
                <w:sz w:val="16"/>
                <w:szCs w:val="16"/>
              </w:rPr>
              <w:t>Analýza sekundárních informačních zdrojů</w:t>
            </w:r>
          </w:p>
        </w:tc>
        <w:tc>
          <w:tcPr>
            <w:tcW w:w="1913" w:type="pct"/>
            <w:tcBorders>
              <w:top w:val="none" w:sz="0" w:space="0" w:color="auto"/>
              <w:bottom w:val="none" w:sz="0" w:space="0" w:color="auto"/>
            </w:tcBorders>
          </w:tcPr>
          <w:p w14:paraId="38B2D862" w14:textId="48C55D06" w:rsidR="00E53A06" w:rsidRPr="00E53A06" w:rsidRDefault="00E53A06">
            <w:pPr>
              <w:spacing w:after="0" w:line="240" w:lineRule="auto"/>
              <w:cnfStyle w:val="000000100000" w:firstRow="0" w:lastRow="0" w:firstColumn="0" w:lastColumn="0" w:oddVBand="0" w:evenVBand="0" w:oddHBand="1" w:evenHBand="0" w:firstRowFirstColumn="0" w:firstRowLastColumn="0" w:lastRowFirstColumn="0" w:lastRowLastColumn="0"/>
              <w:rPr>
                <w:rFonts w:cs="Arial"/>
                <w:bCs/>
                <w:iCs/>
                <w:sz w:val="16"/>
                <w:szCs w:val="16"/>
              </w:rPr>
            </w:pPr>
            <w:r w:rsidRPr="00E53A06">
              <w:rPr>
                <w:rFonts w:eastAsia="Times New Roman" w:cs="Arial"/>
                <w:bCs/>
                <w:iCs/>
                <w:sz w:val="16"/>
                <w:szCs w:val="16"/>
              </w:rPr>
              <w:t xml:space="preserve">Sekundární informační zdroje představují již zpracované dokumenty využitelné pro předmětnou analýzu. Zejména se jedná o návrh programového dokumentu MPO pro období 2021-2027, strategické a koncepční materiály, Analýzu absorpční kapacity pro období 2021 – 2027, odbornou literaturu, další již zpracované analýzy a studie, nebo např. dotazníková šetření apod. </w:t>
            </w:r>
            <w:r w:rsidR="00373EEB">
              <w:rPr>
                <w:rFonts w:eastAsia="Times New Roman" w:cs="Arial"/>
                <w:bCs/>
                <w:iCs/>
                <w:sz w:val="16"/>
                <w:szCs w:val="16"/>
              </w:rPr>
              <w:t>Dodavatel</w:t>
            </w:r>
            <w:r w:rsidR="00373EEB" w:rsidRPr="00E53A06">
              <w:rPr>
                <w:rFonts w:eastAsia="Times New Roman" w:cs="Arial"/>
                <w:bCs/>
                <w:iCs/>
                <w:sz w:val="16"/>
                <w:szCs w:val="16"/>
              </w:rPr>
              <w:t xml:space="preserve"> </w:t>
            </w:r>
            <w:r w:rsidRPr="00E53A06">
              <w:rPr>
                <w:rFonts w:eastAsia="Times New Roman" w:cs="Arial"/>
                <w:bCs/>
                <w:iCs/>
                <w:sz w:val="16"/>
                <w:szCs w:val="16"/>
              </w:rPr>
              <w:t>na základě těchto dat vytvoří meta analýzu respektive syntézu zjištěných informací.</w:t>
            </w:r>
          </w:p>
        </w:tc>
        <w:tc>
          <w:tcPr>
            <w:tcW w:w="1358" w:type="pct"/>
            <w:tcBorders>
              <w:top w:val="none" w:sz="0" w:space="0" w:color="auto"/>
              <w:bottom w:val="none" w:sz="0" w:space="0" w:color="auto"/>
            </w:tcBorders>
          </w:tcPr>
          <w:p w14:paraId="40240304"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Využití již zpracovaných analýz a studií – snížení pracnosti</w:t>
            </w:r>
          </w:p>
          <w:p w14:paraId="40947B02"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Zvýšení kvality evaluace – využití expertních poznatků </w:t>
            </w:r>
          </w:p>
        </w:tc>
        <w:tc>
          <w:tcPr>
            <w:tcW w:w="1111" w:type="pct"/>
            <w:tcBorders>
              <w:top w:val="none" w:sz="0" w:space="0" w:color="auto"/>
              <w:bottom w:val="none" w:sz="0" w:space="0" w:color="auto"/>
            </w:tcBorders>
          </w:tcPr>
          <w:p w14:paraId="1B3FCB4E" w14:textId="2C4ECC70" w:rsidR="00E53A06" w:rsidRPr="00E53A06" w:rsidRDefault="00373EEB"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Dodavatel</w:t>
            </w:r>
            <w:r w:rsidRPr="00E53A06">
              <w:rPr>
                <w:rFonts w:eastAsia="Times New Roman" w:cs="Arial"/>
                <w:sz w:val="16"/>
                <w:szCs w:val="16"/>
              </w:rPr>
              <w:t xml:space="preserve"> </w:t>
            </w:r>
            <w:r w:rsidR="00E53A06" w:rsidRPr="00E53A06">
              <w:rPr>
                <w:rFonts w:eastAsia="Times New Roman" w:cs="Arial"/>
                <w:sz w:val="16"/>
                <w:szCs w:val="16"/>
              </w:rPr>
              <w:t>negarantuje obsah a kvalitu zpracování poskytnutých dokumentů</w:t>
            </w:r>
          </w:p>
          <w:p w14:paraId="79671F10"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Zastaralé inf. zdroje, subjektivní závěry</w:t>
            </w:r>
          </w:p>
        </w:tc>
      </w:tr>
      <w:tr w:rsidR="00E53A06" w:rsidRPr="00E53A06" w14:paraId="41749FD8" w14:textId="77777777" w:rsidTr="001B11C7">
        <w:trPr>
          <w:trHeight w:val="20"/>
        </w:trPr>
        <w:tc>
          <w:tcPr>
            <w:cnfStyle w:val="001000000000" w:firstRow="0" w:lastRow="0" w:firstColumn="1" w:lastColumn="0" w:oddVBand="0" w:evenVBand="0" w:oddHBand="0" w:evenHBand="0" w:firstRowFirstColumn="0" w:firstRowLastColumn="0" w:lastRowFirstColumn="0" w:lastRowLastColumn="0"/>
            <w:tcW w:w="618" w:type="pct"/>
            <w:tcBorders>
              <w:right w:val="none" w:sz="0" w:space="0" w:color="auto"/>
            </w:tcBorders>
            <w:shd w:val="clear" w:color="auto" w:fill="E7F5CF" w:themeFill="accent1" w:themeFillTint="33"/>
          </w:tcPr>
          <w:p w14:paraId="4BF1C3A7" w14:textId="77777777" w:rsidR="00E53A06" w:rsidRPr="00E53A06" w:rsidRDefault="00E53A06" w:rsidP="00F46FDA">
            <w:pPr>
              <w:spacing w:after="0" w:line="240" w:lineRule="auto"/>
              <w:rPr>
                <w:rFonts w:cs="Arial"/>
                <w:sz w:val="16"/>
                <w:szCs w:val="16"/>
              </w:rPr>
            </w:pPr>
            <w:r w:rsidRPr="00E53A06">
              <w:rPr>
                <w:rFonts w:eastAsia="Times New Roman" w:cs="Arial"/>
                <w:sz w:val="16"/>
                <w:szCs w:val="16"/>
              </w:rPr>
              <w:t xml:space="preserve">Analýza sekundárních dat </w:t>
            </w:r>
          </w:p>
        </w:tc>
        <w:tc>
          <w:tcPr>
            <w:tcW w:w="1913" w:type="pct"/>
          </w:tcPr>
          <w:p w14:paraId="14EBBF87" w14:textId="77777777" w:rsidR="00E53A06" w:rsidRPr="00E53A06" w:rsidRDefault="00E53A06"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E53A06">
              <w:rPr>
                <w:rFonts w:eastAsia="Times New Roman" w:cs="Arial"/>
                <w:bCs/>
                <w:iCs/>
                <w:sz w:val="16"/>
                <w:szCs w:val="16"/>
              </w:rPr>
              <w:t>Sekundární data představují data,</w:t>
            </w:r>
            <w:r w:rsidRPr="00E53A06">
              <w:rPr>
                <w:rFonts w:eastAsia="Times New Roman" w:cs="Arial"/>
                <w:sz w:val="16"/>
                <w:szCs w:val="16"/>
              </w:rPr>
              <w:t xml:space="preserve"> za jejichž sběr hodnotitel přímo neodpovídá </w:t>
            </w:r>
            <w:r w:rsidRPr="00E53A06">
              <w:rPr>
                <w:rFonts w:eastAsia="Times New Roman" w:cs="Arial"/>
                <w:sz w:val="16"/>
                <w:szCs w:val="16"/>
              </w:rPr>
              <w:br/>
              <w:t>(na rozdíl od primárních dat, která jsou generována samotným hodnotitelem). Příkladem mohou být národní a regionální statistiky, případně údaje o čerpání konkrétního programu podpory. V rámci této analýzy budou hodnoceny zejména údaje získané z monitorovacího systému 2014+.</w:t>
            </w:r>
          </w:p>
        </w:tc>
        <w:tc>
          <w:tcPr>
            <w:tcW w:w="1358" w:type="pct"/>
          </w:tcPr>
          <w:p w14:paraId="331F5A10"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Velký rozsah dostupných dat</w:t>
            </w:r>
          </w:p>
          <w:p w14:paraId="54CEDE3F" w14:textId="1DA95784"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Snížení pracnosti pro </w:t>
            </w:r>
            <w:r w:rsidR="00373EEB">
              <w:rPr>
                <w:rFonts w:eastAsia="Times New Roman" w:cs="Arial"/>
                <w:sz w:val="16"/>
                <w:szCs w:val="16"/>
              </w:rPr>
              <w:t>Dodavatele</w:t>
            </w:r>
            <w:r w:rsidR="00373EEB" w:rsidRPr="00E53A06">
              <w:rPr>
                <w:rFonts w:eastAsia="Times New Roman" w:cs="Arial"/>
                <w:sz w:val="16"/>
                <w:szCs w:val="16"/>
              </w:rPr>
              <w:t xml:space="preserve"> </w:t>
            </w:r>
            <w:r w:rsidRPr="00E53A06">
              <w:rPr>
                <w:rFonts w:eastAsia="Times New Roman" w:cs="Arial"/>
                <w:sz w:val="16"/>
                <w:szCs w:val="16"/>
              </w:rPr>
              <w:t>i Zadavatele</w:t>
            </w:r>
          </w:p>
          <w:p w14:paraId="1F30E6D6"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Garance dat vzhledem k využití administrativních zdrojů dat </w:t>
            </w:r>
          </w:p>
        </w:tc>
        <w:tc>
          <w:tcPr>
            <w:tcW w:w="1111" w:type="pct"/>
          </w:tcPr>
          <w:p w14:paraId="32147250"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nemožnosti získávat data exportem z IS</w:t>
            </w:r>
          </w:p>
          <w:p w14:paraId="55724758"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nutnosti náročné manuální korekce</w:t>
            </w:r>
          </w:p>
          <w:p w14:paraId="1C27E478"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nedostatečné a neúplné historické řady</w:t>
            </w:r>
          </w:p>
        </w:tc>
      </w:tr>
      <w:tr w:rsidR="00E53A06" w:rsidRPr="00E53A06" w14:paraId="1DBE281E" w14:textId="77777777" w:rsidTr="001B11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Borders>
              <w:top w:val="none" w:sz="0" w:space="0" w:color="auto"/>
              <w:bottom w:val="none" w:sz="0" w:space="0" w:color="auto"/>
              <w:right w:val="none" w:sz="0" w:space="0" w:color="auto"/>
            </w:tcBorders>
            <w:shd w:val="clear" w:color="auto" w:fill="E7F5CF" w:themeFill="accent1" w:themeFillTint="33"/>
          </w:tcPr>
          <w:p w14:paraId="3224E98D" w14:textId="77777777" w:rsidR="00E53A06" w:rsidRPr="00E53A06" w:rsidRDefault="00E53A06" w:rsidP="00F46FDA">
            <w:pPr>
              <w:spacing w:after="0" w:line="240" w:lineRule="auto"/>
              <w:rPr>
                <w:rFonts w:eastAsia="Times New Roman" w:cs="Arial"/>
                <w:sz w:val="16"/>
                <w:szCs w:val="16"/>
              </w:rPr>
            </w:pPr>
            <w:r w:rsidRPr="00E53A06">
              <w:rPr>
                <w:rFonts w:eastAsia="Times New Roman" w:cs="Arial"/>
                <w:sz w:val="16"/>
                <w:szCs w:val="16"/>
              </w:rPr>
              <w:t>Individuální hloubkový rozhovor</w:t>
            </w:r>
          </w:p>
        </w:tc>
        <w:tc>
          <w:tcPr>
            <w:tcW w:w="1913" w:type="pct"/>
            <w:tcBorders>
              <w:top w:val="none" w:sz="0" w:space="0" w:color="auto"/>
              <w:bottom w:val="none" w:sz="0" w:space="0" w:color="auto"/>
            </w:tcBorders>
          </w:tcPr>
          <w:p w14:paraId="4D209605" w14:textId="77777777" w:rsidR="00E53A06" w:rsidRPr="00E53A06" w:rsidRDefault="00E53A06" w:rsidP="00F46FD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Jedná se o hloubkový rozhovor s informátorem, jehož cílem je sběr specifických informací prostřednictvím přímého dotazování. Technika se používá ke shromáždění kvalitativních informací a názorů těch, kteří jsou např. znalí určité posuzované oblasti či přímo ovlivněni programem nebo projektem, jeho kontextem, implementací, výsledky a dopadem. </w:t>
            </w:r>
          </w:p>
        </w:tc>
        <w:tc>
          <w:tcPr>
            <w:tcW w:w="1358" w:type="pct"/>
            <w:tcBorders>
              <w:top w:val="none" w:sz="0" w:space="0" w:color="auto"/>
              <w:bottom w:val="none" w:sz="0" w:space="0" w:color="auto"/>
            </w:tcBorders>
          </w:tcPr>
          <w:p w14:paraId="762828D0"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Vhodné využití v případě nedostatečné motivace k vyplnění dotazníků</w:t>
            </w:r>
          </w:p>
          <w:p w14:paraId="7DB29C16"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Vhodné využití v případě potřeby získání nezkreslené výpovědi o skutečném stavu, zamezení externích vlivů vedoucích k deformaci názoru, např. v rámci fokusní skupiny</w:t>
            </w:r>
          </w:p>
        </w:tc>
        <w:tc>
          <w:tcPr>
            <w:tcW w:w="1111" w:type="pct"/>
            <w:tcBorders>
              <w:top w:val="none" w:sz="0" w:space="0" w:color="auto"/>
              <w:bottom w:val="none" w:sz="0" w:space="0" w:color="auto"/>
            </w:tcBorders>
          </w:tcPr>
          <w:p w14:paraId="481AE0D1"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Časová náročnost</w:t>
            </w:r>
          </w:p>
          <w:p w14:paraId="4A2F9043"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Personifikace výsledků hodnocení</w:t>
            </w:r>
          </w:p>
        </w:tc>
      </w:tr>
      <w:tr w:rsidR="00E53A06" w:rsidRPr="00E53A06" w14:paraId="43714C3A" w14:textId="77777777" w:rsidTr="001B11C7">
        <w:trPr>
          <w:trHeight w:val="20"/>
        </w:trPr>
        <w:tc>
          <w:tcPr>
            <w:cnfStyle w:val="001000000000" w:firstRow="0" w:lastRow="0" w:firstColumn="1" w:lastColumn="0" w:oddVBand="0" w:evenVBand="0" w:oddHBand="0" w:evenHBand="0" w:firstRowFirstColumn="0" w:firstRowLastColumn="0" w:lastRowFirstColumn="0" w:lastRowLastColumn="0"/>
            <w:tcW w:w="618" w:type="pct"/>
            <w:tcBorders>
              <w:right w:val="none" w:sz="0" w:space="0" w:color="auto"/>
            </w:tcBorders>
            <w:shd w:val="clear" w:color="auto" w:fill="E7F5CF" w:themeFill="accent1" w:themeFillTint="33"/>
          </w:tcPr>
          <w:p w14:paraId="2315CF35" w14:textId="77777777" w:rsidR="00E53A06" w:rsidRPr="00E53A06" w:rsidRDefault="00E53A06" w:rsidP="00F46FDA">
            <w:pPr>
              <w:spacing w:after="0" w:line="240" w:lineRule="auto"/>
              <w:rPr>
                <w:rFonts w:cs="Arial"/>
                <w:sz w:val="16"/>
                <w:szCs w:val="16"/>
              </w:rPr>
            </w:pPr>
            <w:r w:rsidRPr="00E53A06">
              <w:rPr>
                <w:rFonts w:eastAsia="Times New Roman" w:cs="Arial"/>
                <w:sz w:val="16"/>
                <w:szCs w:val="16"/>
              </w:rPr>
              <w:t xml:space="preserve">Telefonické dotazování </w:t>
            </w:r>
            <w:r w:rsidRPr="00E53A06">
              <w:rPr>
                <w:rFonts w:eastAsia="Times New Roman" w:cs="Arial"/>
                <w:sz w:val="16"/>
                <w:szCs w:val="16"/>
              </w:rPr>
              <w:br/>
            </w:r>
            <w:r w:rsidRPr="00E53A06">
              <w:rPr>
                <w:rFonts w:eastAsia="Times New Roman" w:cs="Arial"/>
                <w:b w:val="0"/>
                <w:sz w:val="16"/>
                <w:szCs w:val="16"/>
              </w:rPr>
              <w:t>(jako alternativa k hloubkovým rozhovorům)</w:t>
            </w:r>
          </w:p>
        </w:tc>
        <w:tc>
          <w:tcPr>
            <w:tcW w:w="1913" w:type="pct"/>
          </w:tcPr>
          <w:p w14:paraId="16BAE299" w14:textId="77777777" w:rsidR="00E53A06" w:rsidRPr="00E53A06" w:rsidRDefault="00E53A06"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Telefonické dotazování spočívá v oslovení respondenta tazatelem přes telefon. Telefonická anketa je často velmi krátká a používá uzavřené otázky. </w:t>
            </w:r>
          </w:p>
          <w:p w14:paraId="1A93BFDB" w14:textId="77777777" w:rsidR="00E53A06" w:rsidRPr="00E53A06" w:rsidRDefault="00E53A06" w:rsidP="00F46FD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Tuto metodu lze využít na provedení rozhovorů jako alternativu pro realizaci individuálních rozhovorů v případě nemožnosti osobního jednání. </w:t>
            </w:r>
          </w:p>
        </w:tc>
        <w:tc>
          <w:tcPr>
            <w:tcW w:w="1358" w:type="pct"/>
          </w:tcPr>
          <w:p w14:paraId="3133F7D8"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Jednoduchý přístup k telefonickým kontaktům realizátorů projektů skrze monitorovací systém</w:t>
            </w:r>
          </w:p>
          <w:p w14:paraId="31B7F7A8"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Efektivně a rychle kontaktuje i geograficky rozptýlený výběr respondentů</w:t>
            </w:r>
          </w:p>
          <w:p w14:paraId="79A4A7DE"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Zamezení rizika vynechání odpovědi či nepochopení otázky jako např. v případě dotazníku</w:t>
            </w:r>
          </w:p>
          <w:p w14:paraId="3CC8E68F"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Zvýšení důvěryhodnosti dotazování</w:t>
            </w:r>
          </w:p>
          <w:p w14:paraId="0241DFFC" w14:textId="77777777" w:rsid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Neustálá kontrola tazatelů</w:t>
            </w:r>
          </w:p>
          <w:p w14:paraId="343A6678" w14:textId="77777777" w:rsidR="00E53A06" w:rsidRPr="00E53A06" w:rsidRDefault="00E53A06" w:rsidP="00F46FDA">
            <w:pPr>
              <w:pStyle w:val="ListParagraph"/>
              <w:spacing w:after="0" w:line="240" w:lineRule="auto"/>
              <w:ind w:left="29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p>
        </w:tc>
        <w:tc>
          <w:tcPr>
            <w:tcW w:w="1111" w:type="pct"/>
          </w:tcPr>
          <w:p w14:paraId="3F79CB9C"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Obtížný přístup k telefonním číslům mimo realizátory projektů</w:t>
            </w:r>
          </w:p>
          <w:p w14:paraId="3E84EB20"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negativní reakce osloveného</w:t>
            </w:r>
          </w:p>
          <w:p w14:paraId="0C3D0119"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špatného načasování, neochota věnovat čas hodnocení</w:t>
            </w:r>
          </w:p>
          <w:p w14:paraId="1B5FC0B9"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„Omezenost“ otázek – časová i obsahová</w:t>
            </w:r>
          </w:p>
        </w:tc>
      </w:tr>
      <w:tr w:rsidR="00E53A06" w:rsidRPr="00E53A06" w14:paraId="4EA7ABBF" w14:textId="77777777" w:rsidTr="001B11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Borders>
              <w:top w:val="none" w:sz="0" w:space="0" w:color="auto"/>
              <w:bottom w:val="none" w:sz="0" w:space="0" w:color="auto"/>
              <w:right w:val="none" w:sz="0" w:space="0" w:color="auto"/>
            </w:tcBorders>
            <w:shd w:val="clear" w:color="auto" w:fill="E7F5CF" w:themeFill="accent1" w:themeFillTint="33"/>
          </w:tcPr>
          <w:p w14:paraId="6C8630CC" w14:textId="77777777" w:rsidR="00E53A06" w:rsidRPr="00E53A06" w:rsidRDefault="00E53A06" w:rsidP="00F46FDA">
            <w:pPr>
              <w:spacing w:after="0" w:line="240" w:lineRule="auto"/>
              <w:rPr>
                <w:rFonts w:cs="Arial"/>
                <w:sz w:val="16"/>
                <w:szCs w:val="16"/>
              </w:rPr>
            </w:pPr>
            <w:r w:rsidRPr="00E53A06">
              <w:rPr>
                <w:rFonts w:eastAsia="Times New Roman" w:cs="Arial"/>
                <w:sz w:val="16"/>
                <w:szCs w:val="16"/>
              </w:rPr>
              <w:lastRenderedPageBreak/>
              <w:t>Fokusní skupina</w:t>
            </w:r>
          </w:p>
        </w:tc>
        <w:tc>
          <w:tcPr>
            <w:tcW w:w="1913" w:type="pct"/>
            <w:tcBorders>
              <w:top w:val="none" w:sz="0" w:space="0" w:color="auto"/>
              <w:bottom w:val="none" w:sz="0" w:space="0" w:color="auto"/>
            </w:tcBorders>
          </w:tcPr>
          <w:p w14:paraId="730AF93E" w14:textId="77777777" w:rsidR="00E53A06" w:rsidRPr="00E53A06" w:rsidRDefault="00E53A06" w:rsidP="00F46FDA">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E53A06">
              <w:rPr>
                <w:rFonts w:eastAsia="Times New Roman" w:cs="Arial"/>
                <w:bCs/>
                <w:iCs/>
                <w:sz w:val="16"/>
                <w:szCs w:val="16"/>
              </w:rPr>
              <w:t>V rámci fokusní skupiny jsou prostřednictvím řízené diskuze zjišťovány názory respondentů na realizované aktivity nebo na jednotlivé oblasti, jejich vyhodnocování a doporučení do budoucna. Technika fokusní skupiny je obzvláště hodnotná při analyzování témat a oborů, kde roste počet lišících se názorů, nebo v případě komplexní problematiky, která vyžaduje důkladný průzkum. Typické provedení fokusních skupin zahrnuje relativně homogenní skupinu šesti až osmi lidí, kteří se účastní setkání v časovém rozsahu hodiny a půl až dvou hodin. Interakce skupiny je usnadněna hodnotitelem nebo řešitelem, který předloží skupině témata nebo otázky k diskusi. Jinou variantou je seminář zahrnující rozsáhlejší skupinu, která se sejde na větší konferenci se strukturovanější agendou. Technika fokusních skupin bude využívána zejména k ověření informací získaných z jiných zdrojů (sekundární analýzy dat, rozhovory) a k doplnění a prohloubení poznatků.</w:t>
            </w:r>
          </w:p>
        </w:tc>
        <w:tc>
          <w:tcPr>
            <w:tcW w:w="1358" w:type="pct"/>
            <w:tcBorders>
              <w:top w:val="none" w:sz="0" w:space="0" w:color="auto"/>
              <w:bottom w:val="none" w:sz="0" w:space="0" w:color="auto"/>
            </w:tcBorders>
          </w:tcPr>
          <w:p w14:paraId="0708B889"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Shromáždění velkého množství kvalitních informací v krátkém čase</w:t>
            </w:r>
          </w:p>
          <w:p w14:paraId="749C20BB"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Různé pohledy účastníků vytvářené účastí v sociální interakci</w:t>
            </w:r>
          </w:p>
          <w:p w14:paraId="24A09248"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Zahrnutím podpořených osob jsou závěry důvěryhodnější a snadněji akceptovatelné</w:t>
            </w:r>
          </w:p>
          <w:p w14:paraId="3F18A0CF"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Mnohostrannost </w:t>
            </w:r>
          </w:p>
          <w:p w14:paraId="2EDDF812"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Možnost pracovat s různými typy respondentů</w:t>
            </w:r>
          </w:p>
        </w:tc>
        <w:tc>
          <w:tcPr>
            <w:tcW w:w="1111" w:type="pct"/>
            <w:tcBorders>
              <w:top w:val="none" w:sz="0" w:space="0" w:color="auto"/>
              <w:bottom w:val="none" w:sz="0" w:space="0" w:color="auto"/>
            </w:tcBorders>
          </w:tcPr>
          <w:p w14:paraId="1482A056"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Riziko špatného výběru respondentů, kteří neodráží většinový názor cílové skupiny </w:t>
            </w:r>
          </w:p>
          <w:p w14:paraId="724DB5E4"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ostychu v rámci skupiny</w:t>
            </w:r>
          </w:p>
          <w:p w14:paraId="2A47E3F1"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Zkreslování informací pod dojmem ostatních účastníků</w:t>
            </w:r>
          </w:p>
          <w:p w14:paraId="23004E9F"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nezájmu o účast ve fokusní skupině</w:t>
            </w:r>
          </w:p>
          <w:p w14:paraId="5DD4FAD5"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nedostatečného prostoru pro vyjádření všech účastníků</w:t>
            </w:r>
          </w:p>
        </w:tc>
      </w:tr>
      <w:tr w:rsidR="00E53A06" w:rsidRPr="00E53A06" w14:paraId="019CAE0B" w14:textId="77777777" w:rsidTr="001B11C7">
        <w:trPr>
          <w:trHeight w:val="20"/>
        </w:trPr>
        <w:tc>
          <w:tcPr>
            <w:cnfStyle w:val="001000000000" w:firstRow="0" w:lastRow="0" w:firstColumn="1" w:lastColumn="0" w:oddVBand="0" w:evenVBand="0" w:oddHBand="0" w:evenHBand="0" w:firstRowFirstColumn="0" w:firstRowLastColumn="0" w:lastRowFirstColumn="0" w:lastRowLastColumn="0"/>
            <w:tcW w:w="618" w:type="pct"/>
            <w:tcBorders>
              <w:right w:val="none" w:sz="0" w:space="0" w:color="auto"/>
            </w:tcBorders>
            <w:shd w:val="clear" w:color="auto" w:fill="E7F5CF" w:themeFill="accent1" w:themeFillTint="33"/>
          </w:tcPr>
          <w:p w14:paraId="1174AD95" w14:textId="77777777" w:rsidR="00E53A06" w:rsidRPr="00E53A06" w:rsidRDefault="00E53A06" w:rsidP="00F46FDA">
            <w:pPr>
              <w:spacing w:after="0" w:line="240" w:lineRule="auto"/>
              <w:rPr>
                <w:rFonts w:eastAsia="Times New Roman" w:cs="Arial"/>
                <w:sz w:val="16"/>
                <w:szCs w:val="16"/>
              </w:rPr>
            </w:pPr>
            <w:r w:rsidRPr="00E53A06">
              <w:rPr>
                <w:rFonts w:eastAsia="Times New Roman" w:cs="Arial"/>
                <w:sz w:val="16"/>
                <w:szCs w:val="16"/>
              </w:rPr>
              <w:t xml:space="preserve">Expertní panel </w:t>
            </w:r>
          </w:p>
        </w:tc>
        <w:tc>
          <w:tcPr>
            <w:tcW w:w="1913" w:type="pct"/>
          </w:tcPr>
          <w:p w14:paraId="4433F5E2" w14:textId="3FC74492" w:rsidR="00E53A06" w:rsidRPr="00E53A06" w:rsidRDefault="00E53A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Cs/>
                <w:iCs/>
                <w:sz w:val="16"/>
                <w:szCs w:val="16"/>
              </w:rPr>
            </w:pPr>
            <w:r w:rsidRPr="00E53A06">
              <w:rPr>
                <w:rFonts w:eastAsia="Times New Roman" w:cs="Arial"/>
                <w:bCs/>
                <w:iCs/>
                <w:sz w:val="16"/>
                <w:szCs w:val="16"/>
              </w:rPr>
              <w:t>Expertní panel je jednou z kvalit</w:t>
            </w:r>
            <w:r w:rsidR="00494B2E">
              <w:rPr>
                <w:rFonts w:eastAsia="Times New Roman" w:cs="Arial"/>
                <w:bCs/>
                <w:iCs/>
                <w:sz w:val="16"/>
                <w:szCs w:val="16"/>
              </w:rPr>
              <w:t>ati</w:t>
            </w:r>
            <w:r w:rsidRPr="00E53A06">
              <w:rPr>
                <w:rFonts w:eastAsia="Times New Roman" w:cs="Arial"/>
                <w:bCs/>
                <w:iCs/>
                <w:sz w:val="16"/>
                <w:szCs w:val="16"/>
              </w:rPr>
              <w:t xml:space="preserve">vních metod vhodných pro upřesnění informací získaných např. dotazníkovým šetřením či analýzou sekundárních dat. Prostřednictvím řízené diskuze budou zjišťovány názory expertů na podklady vypracované </w:t>
            </w:r>
            <w:r w:rsidR="00373EEB">
              <w:rPr>
                <w:rFonts w:eastAsia="Times New Roman" w:cs="Arial"/>
                <w:bCs/>
                <w:iCs/>
                <w:sz w:val="16"/>
                <w:szCs w:val="16"/>
              </w:rPr>
              <w:t>Dodavatelem</w:t>
            </w:r>
            <w:r w:rsidRPr="00E53A06">
              <w:rPr>
                <w:rFonts w:eastAsia="Times New Roman" w:cs="Arial"/>
                <w:bCs/>
                <w:iCs/>
                <w:sz w:val="16"/>
                <w:szCs w:val="16"/>
              </w:rPr>
              <w:t xml:space="preserve">. Technika je obzvlášť vhodná při analyzování témat, kde roste počet lišících se názorů nebo v nebo v případě komplexní problematiky, která vyžaduje důkladný průzkum. </w:t>
            </w:r>
          </w:p>
        </w:tc>
        <w:tc>
          <w:tcPr>
            <w:tcW w:w="1358" w:type="pct"/>
          </w:tcPr>
          <w:p w14:paraId="186CC741"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Shromáždění velkého množství kvalitních informací v krátkém čase</w:t>
            </w:r>
          </w:p>
          <w:p w14:paraId="2024CE86"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Různé pohledy účastníků vytvářené účastí v sociální interakci</w:t>
            </w:r>
          </w:p>
          <w:p w14:paraId="3F13B037"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Zahrnutím expertů na danou oblast jsou závěry důvěryhodnější a snadněji akceptovatelné</w:t>
            </w:r>
          </w:p>
          <w:p w14:paraId="715BF708"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Mnohostrannost </w:t>
            </w:r>
          </w:p>
          <w:p w14:paraId="7020F1ED" w14:textId="77777777" w:rsidR="00E53A06" w:rsidRPr="00E53A06" w:rsidRDefault="00E53A06" w:rsidP="00F46FDA">
            <w:pPr>
              <w:pStyle w:val="ListParagraph"/>
              <w:numPr>
                <w:ilvl w:val="0"/>
                <w:numId w:val="12"/>
              </w:numPr>
              <w:spacing w:after="0" w:line="240" w:lineRule="auto"/>
              <w:ind w:left="291" w:hanging="221"/>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Možnost pracovat s různými typy expertů (zástupci střešních organizací, řídící pracovníci, konzultanti apod.)</w:t>
            </w:r>
          </w:p>
        </w:tc>
        <w:tc>
          <w:tcPr>
            <w:tcW w:w="1111" w:type="pct"/>
          </w:tcPr>
          <w:p w14:paraId="3AEE1366"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 xml:space="preserve">Riziko špatného výběru respondentů, kteří neodráží většinový názor cílové skupiny </w:t>
            </w:r>
          </w:p>
          <w:p w14:paraId="5A6B0519"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ostychu v rámci skupiny</w:t>
            </w:r>
          </w:p>
          <w:p w14:paraId="56AF7024"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Zkreslování informací pod dojmem ostatních účastníků</w:t>
            </w:r>
          </w:p>
          <w:p w14:paraId="236DE9AD"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nezájmu o účast v expertním panelu</w:t>
            </w:r>
          </w:p>
          <w:p w14:paraId="4AAA4818" w14:textId="77777777" w:rsidR="00E53A06" w:rsidRPr="00E53A06" w:rsidRDefault="00E53A06" w:rsidP="00F46FDA">
            <w:pPr>
              <w:pStyle w:val="ListParagraph"/>
              <w:numPr>
                <w:ilvl w:val="0"/>
                <w:numId w:val="13"/>
              </w:numPr>
              <w:spacing w:after="0" w:line="240" w:lineRule="auto"/>
              <w:ind w:left="335" w:hanging="255"/>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E53A06">
              <w:rPr>
                <w:rFonts w:eastAsia="Times New Roman" w:cs="Arial"/>
                <w:sz w:val="16"/>
                <w:szCs w:val="16"/>
              </w:rPr>
              <w:t>Riziko nedostatečného prostoru pro vyjádření všech účastníků</w:t>
            </w:r>
          </w:p>
        </w:tc>
      </w:tr>
      <w:tr w:rsidR="00E53A06" w:rsidRPr="00E53A06" w14:paraId="146AC33D" w14:textId="77777777" w:rsidTr="001B11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Borders>
              <w:right w:val="none" w:sz="0" w:space="0" w:color="auto"/>
            </w:tcBorders>
            <w:shd w:val="clear" w:color="auto" w:fill="E7F5CF" w:themeFill="accent1" w:themeFillTint="33"/>
          </w:tcPr>
          <w:p w14:paraId="72CD8FFE" w14:textId="77777777" w:rsidR="00E53A06" w:rsidRPr="00E53A06" w:rsidRDefault="00E53A06" w:rsidP="00F46FDA">
            <w:pPr>
              <w:spacing w:after="0" w:line="240" w:lineRule="auto"/>
              <w:rPr>
                <w:rFonts w:eastAsia="Times New Roman" w:cs="Arial"/>
                <w:sz w:val="16"/>
                <w:szCs w:val="16"/>
              </w:rPr>
            </w:pPr>
            <w:r w:rsidRPr="00E53A06">
              <w:rPr>
                <w:rFonts w:cs="Arial"/>
                <w:sz w:val="16"/>
                <w:szCs w:val="16"/>
              </w:rPr>
              <w:t xml:space="preserve">Dotazníkové šetření </w:t>
            </w:r>
          </w:p>
        </w:tc>
        <w:tc>
          <w:tcPr>
            <w:tcW w:w="1913" w:type="pct"/>
          </w:tcPr>
          <w:p w14:paraId="531A05B9" w14:textId="77777777" w:rsidR="00E53A06" w:rsidRPr="00E53A06" w:rsidRDefault="00E53A06" w:rsidP="00F46FDA">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E53A06">
              <w:rPr>
                <w:rFonts w:cs="Arial"/>
                <w:sz w:val="16"/>
                <w:szCs w:val="16"/>
              </w:rPr>
              <w:t>Dotazníkové průzkumy jsou využívány ke sběru početných homogenních dat, která jsou posléze použita pro statistické účely. V kontextu evaluací jsou obvykle průzkumy používány v kombinaci s dalšími technikami jako prostředky odhadující výsledky, dopady a efektivitu zásahů.</w:t>
            </w:r>
          </w:p>
          <w:p w14:paraId="285A78BA" w14:textId="77777777" w:rsidR="00E53A06" w:rsidRPr="00E53A06" w:rsidRDefault="00E53A06" w:rsidP="00F46FD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Cs/>
                <w:iCs/>
                <w:sz w:val="16"/>
                <w:szCs w:val="16"/>
              </w:rPr>
            </w:pPr>
            <w:r w:rsidRPr="00E53A06">
              <w:rPr>
                <w:rFonts w:cs="Arial"/>
                <w:sz w:val="16"/>
                <w:szCs w:val="16"/>
              </w:rPr>
              <w:t xml:space="preserve">Pro realizaci dotazníkového šetření disponuje společnost Deloitte on-line nástrojem Click4Survey, který umožňuje vytvořit a strukturovat varianty dotazníku, včetně šablony dotazníku (např. umístnění logolinku MPO, OP PIK, titulků apod.). Dotazník je následně umístěn na webové adrese a je přístupný prostřednictvím linku na tuto webovou adresu. Po vyplnění dotazníku respondentem jsou údaje automaticky uloženy a vyhodnocovány. Statistika eviduje počet ukončených dotazníků. </w:t>
            </w:r>
          </w:p>
        </w:tc>
        <w:tc>
          <w:tcPr>
            <w:tcW w:w="1358" w:type="pct"/>
          </w:tcPr>
          <w:p w14:paraId="31D64E57"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Pokrytí velké skupiny respondentů</w:t>
            </w:r>
          </w:p>
          <w:p w14:paraId="0588201F"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Snadný přístup k </w:t>
            </w:r>
            <w:r w:rsidRPr="00E53A06">
              <w:rPr>
                <w:sz w:val="16"/>
                <w:szCs w:val="16"/>
              </w:rPr>
              <w:br/>
              <w:t>e-mailovým adresám skrz monitorovací systém</w:t>
            </w:r>
          </w:p>
          <w:p w14:paraId="524507CC"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Možnost zařazení velkého počtu otázek</w:t>
            </w:r>
          </w:p>
          <w:p w14:paraId="3D490257"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Jednoduchá administrace a analýza výsledků</w:t>
            </w:r>
          </w:p>
          <w:p w14:paraId="34EB864B"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 xml:space="preserve">Obecně akceptované jako zdroj hodnocení efektivity realizovaných aktivit </w:t>
            </w:r>
          </w:p>
          <w:p w14:paraId="4A8BB80C"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Možnost anon</w:t>
            </w:r>
            <w:r w:rsidR="00494B2E">
              <w:rPr>
                <w:sz w:val="16"/>
                <w:szCs w:val="16"/>
              </w:rPr>
              <w:t>y</w:t>
            </w:r>
            <w:r w:rsidRPr="00E53A06">
              <w:rPr>
                <w:sz w:val="16"/>
                <w:szCs w:val="16"/>
              </w:rPr>
              <w:t>mizace vedoucí ke zvýšení objektivity</w:t>
            </w:r>
          </w:p>
          <w:p w14:paraId="6D20852A"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Efektivně a rychle kontaktuje i geograficky rozptýlený výběr respondentů</w:t>
            </w:r>
          </w:p>
          <w:p w14:paraId="13A1902D" w14:textId="77777777" w:rsidR="00E53A06" w:rsidRPr="00E53A06" w:rsidRDefault="00E53A06" w:rsidP="00F46FDA">
            <w:pPr>
              <w:pStyle w:val="ListParagraph"/>
              <w:numPr>
                <w:ilvl w:val="0"/>
                <w:numId w:val="14"/>
              </w:numPr>
              <w:spacing w:after="0" w:line="240" w:lineRule="auto"/>
              <w:ind w:left="291" w:hanging="221"/>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Nízká finanční náročnost</w:t>
            </w:r>
          </w:p>
          <w:p w14:paraId="3824C1D3" w14:textId="77777777" w:rsidR="00E53A06" w:rsidRPr="00E53A06" w:rsidRDefault="00E53A06" w:rsidP="00F46FDA">
            <w:pPr>
              <w:pStyle w:val="ListParagraph"/>
              <w:numPr>
                <w:ilvl w:val="0"/>
                <w:numId w:val="12"/>
              </w:numPr>
              <w:spacing w:after="0" w:line="240" w:lineRule="auto"/>
              <w:ind w:left="291" w:hanging="22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sz w:val="16"/>
                <w:szCs w:val="16"/>
              </w:rPr>
              <w:t xml:space="preserve">Řešení umožnuje zajisti shodu s nařízením GDPR </w:t>
            </w:r>
          </w:p>
        </w:tc>
        <w:tc>
          <w:tcPr>
            <w:tcW w:w="1111" w:type="pct"/>
          </w:tcPr>
          <w:p w14:paraId="752C8D52" w14:textId="77777777" w:rsidR="00E53A06" w:rsidRPr="00E53A06" w:rsidRDefault="00E53A06" w:rsidP="00F46FDA">
            <w:pPr>
              <w:pStyle w:val="ListParagraph"/>
              <w:numPr>
                <w:ilvl w:val="0"/>
                <w:numId w:val="15"/>
              </w:numPr>
              <w:spacing w:after="0" w:line="240" w:lineRule="auto"/>
              <w:ind w:left="335" w:hanging="255"/>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 xml:space="preserve">Problém zabezpečení dostatečně velké databáze kontaktů k oslovení, aby byla zajištěna representativnost </w:t>
            </w:r>
          </w:p>
          <w:p w14:paraId="4936828B" w14:textId="77777777" w:rsidR="00E53A06" w:rsidRPr="00E53A06" w:rsidRDefault="00E53A06" w:rsidP="00F46FDA">
            <w:pPr>
              <w:pStyle w:val="ListParagraph"/>
              <w:numPr>
                <w:ilvl w:val="0"/>
                <w:numId w:val="15"/>
              </w:numPr>
              <w:spacing w:after="0" w:line="240" w:lineRule="auto"/>
              <w:ind w:left="335" w:hanging="255"/>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Riziko subjektivních odpovědí, omezené možnosti validovat relevantnost a pravdivost odpovědí</w:t>
            </w:r>
          </w:p>
          <w:p w14:paraId="4B3ADCCC" w14:textId="77777777" w:rsidR="00E53A06" w:rsidRPr="00E53A06" w:rsidRDefault="00E53A06" w:rsidP="00F46FDA">
            <w:pPr>
              <w:pStyle w:val="ListParagraph"/>
              <w:numPr>
                <w:ilvl w:val="0"/>
                <w:numId w:val="15"/>
              </w:numPr>
              <w:spacing w:after="0" w:line="240" w:lineRule="auto"/>
              <w:ind w:left="335" w:hanging="255"/>
              <w:contextualSpacing w:val="0"/>
              <w:cnfStyle w:val="000000100000" w:firstRow="0" w:lastRow="0" w:firstColumn="0" w:lastColumn="0" w:oddVBand="0" w:evenVBand="0" w:oddHBand="1" w:evenHBand="0" w:firstRowFirstColumn="0" w:firstRowLastColumn="0" w:lastRowFirstColumn="0" w:lastRowLastColumn="0"/>
              <w:rPr>
                <w:sz w:val="16"/>
                <w:szCs w:val="16"/>
              </w:rPr>
            </w:pPr>
            <w:r w:rsidRPr="00E53A06">
              <w:rPr>
                <w:sz w:val="16"/>
                <w:szCs w:val="16"/>
              </w:rPr>
              <w:t>Riziko špatné komunikace ze strany vedení dotazníku</w:t>
            </w:r>
          </w:p>
          <w:p w14:paraId="2C3550D5" w14:textId="77777777" w:rsidR="00E53A06" w:rsidRPr="00E53A06" w:rsidRDefault="00E53A06" w:rsidP="00F46FDA">
            <w:pPr>
              <w:pStyle w:val="ListParagraph"/>
              <w:numPr>
                <w:ilvl w:val="0"/>
                <w:numId w:val="13"/>
              </w:numPr>
              <w:spacing w:after="0" w:line="240" w:lineRule="auto"/>
              <w:ind w:left="335" w:hanging="255"/>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E53A06">
              <w:rPr>
                <w:sz w:val="16"/>
                <w:szCs w:val="16"/>
              </w:rPr>
              <w:t>Vzhledem k charakteru cílové skupiny podpořených osob riziko neochoty subjektů zapojit se</w:t>
            </w:r>
          </w:p>
        </w:tc>
      </w:tr>
    </w:tbl>
    <w:p w14:paraId="5ED0B60D" w14:textId="77777777" w:rsidR="00E53A06" w:rsidRPr="00E53A06" w:rsidRDefault="00E53A06" w:rsidP="00F46FDA">
      <w:pPr>
        <w:spacing w:line="240" w:lineRule="auto"/>
        <w:sectPr w:rsidR="00E53A06" w:rsidRPr="00E53A06" w:rsidSect="00E53A06">
          <w:pgSz w:w="16838" w:h="11906" w:orient="landscape" w:code="9"/>
          <w:pgMar w:top="1418" w:right="1418" w:bottom="1418" w:left="1418" w:header="680" w:footer="567" w:gutter="0"/>
          <w:cols w:space="284"/>
          <w:titlePg/>
          <w:docGrid w:linePitch="360"/>
        </w:sectPr>
      </w:pPr>
    </w:p>
    <w:p w14:paraId="07E50816" w14:textId="77777777" w:rsidR="00EA19CE" w:rsidRDefault="00EA19CE" w:rsidP="00F46FDA">
      <w:pPr>
        <w:spacing w:line="240" w:lineRule="auto"/>
      </w:pPr>
    </w:p>
    <w:p w14:paraId="7873F507" w14:textId="77777777" w:rsidR="00EA19CE" w:rsidRDefault="00EA19CE" w:rsidP="00F46FDA">
      <w:pPr>
        <w:spacing w:line="240" w:lineRule="auto"/>
      </w:pPr>
    </w:p>
    <w:p w14:paraId="138C00DC" w14:textId="77777777" w:rsidR="001D5628" w:rsidRDefault="001D5628" w:rsidP="00F46FDA">
      <w:pPr>
        <w:spacing w:line="240" w:lineRule="auto"/>
      </w:pPr>
    </w:p>
    <w:p w14:paraId="7D09C060" w14:textId="77777777" w:rsidR="00B85A31" w:rsidRDefault="00B85A31" w:rsidP="00F46FDA">
      <w:pPr>
        <w:spacing w:line="240" w:lineRule="auto"/>
      </w:pPr>
    </w:p>
    <w:p w14:paraId="7A261583" w14:textId="77777777" w:rsidR="00B85A31" w:rsidRDefault="00B85A31" w:rsidP="00F46FDA">
      <w:pPr>
        <w:spacing w:line="240" w:lineRule="auto"/>
      </w:pPr>
    </w:p>
    <w:p w14:paraId="22143F7F" w14:textId="77777777" w:rsidR="00B85A31" w:rsidRDefault="00B85A31" w:rsidP="00F46FDA">
      <w:pPr>
        <w:spacing w:line="240" w:lineRule="auto"/>
      </w:pPr>
    </w:p>
    <w:p w14:paraId="7DD4BD2E" w14:textId="3ED58E2D" w:rsidR="00B85A31" w:rsidRDefault="00B85A31" w:rsidP="00F46FDA">
      <w:pPr>
        <w:spacing w:line="240" w:lineRule="auto"/>
      </w:pPr>
    </w:p>
    <w:p w14:paraId="21BC38AE" w14:textId="352DD3CF" w:rsidR="00791090" w:rsidRDefault="00791090" w:rsidP="00F46FDA">
      <w:pPr>
        <w:spacing w:line="240" w:lineRule="auto"/>
      </w:pPr>
    </w:p>
    <w:p w14:paraId="3A237E2C" w14:textId="7BCE1DE3" w:rsidR="00791090" w:rsidRDefault="00791090" w:rsidP="00F46FDA">
      <w:pPr>
        <w:spacing w:line="240" w:lineRule="auto"/>
      </w:pPr>
    </w:p>
    <w:p w14:paraId="2D5D9756" w14:textId="77777777" w:rsidR="00791090" w:rsidRDefault="00791090" w:rsidP="00F46FDA">
      <w:pPr>
        <w:spacing w:line="240" w:lineRule="auto"/>
      </w:pPr>
    </w:p>
    <w:p w14:paraId="656A89F1" w14:textId="77777777" w:rsidR="007B2075" w:rsidRDefault="007B2075" w:rsidP="00F46FDA">
      <w:pPr>
        <w:spacing w:line="240" w:lineRule="auto"/>
      </w:pPr>
    </w:p>
    <w:p w14:paraId="433AC2AF" w14:textId="77777777" w:rsidR="003D48BF" w:rsidRDefault="003D48BF" w:rsidP="00F46FDA">
      <w:pPr>
        <w:pStyle w:val="Legaltext"/>
        <w:spacing w:line="240" w:lineRule="auto"/>
        <w:rPr>
          <w:color w:val="000000" w:themeColor="text1"/>
        </w:rPr>
      </w:pPr>
      <w:r>
        <w:rPr>
          <w:noProof/>
          <w:lang w:eastAsia="cs-CZ"/>
        </w:rPr>
        <w:drawing>
          <wp:inline distT="0" distB="0" distL="0" distR="0" wp14:anchorId="3E08ED90" wp14:editId="778E8580">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404B8F23" w14:textId="77777777" w:rsidR="003D48BF" w:rsidRDefault="003D48BF" w:rsidP="00F46FDA">
      <w:pPr>
        <w:pStyle w:val="Legaltext"/>
        <w:spacing w:line="240" w:lineRule="auto"/>
        <w:rPr>
          <w:color w:val="000000" w:themeColor="text1"/>
        </w:rPr>
      </w:pPr>
    </w:p>
    <w:p w14:paraId="2DBF0A35" w14:textId="77777777" w:rsidR="001D5628" w:rsidRDefault="001D5628" w:rsidP="00F46FDA">
      <w:pPr>
        <w:pStyle w:val="Legaltext"/>
        <w:spacing w:line="240" w:lineRule="auto"/>
        <w:rPr>
          <w:color w:val="000000" w:themeColor="text1"/>
        </w:rPr>
      </w:pPr>
    </w:p>
    <w:p w14:paraId="14F75A97" w14:textId="77777777" w:rsidR="001D5628" w:rsidRDefault="001D5628" w:rsidP="00F46FDA">
      <w:pPr>
        <w:pStyle w:val="Legaltext"/>
        <w:spacing w:line="240" w:lineRule="auto"/>
        <w:rPr>
          <w:color w:val="000000" w:themeColor="text1"/>
        </w:rPr>
      </w:pPr>
    </w:p>
    <w:p w14:paraId="705B0355" w14:textId="77777777" w:rsidR="007B2075" w:rsidRPr="007B2075" w:rsidRDefault="007B2075" w:rsidP="00F46FDA">
      <w:pPr>
        <w:pStyle w:val="Legaltext"/>
        <w:spacing w:line="240" w:lineRule="auto"/>
        <w:ind w:right="1275"/>
        <w:rPr>
          <w:color w:val="000000" w:themeColor="text1"/>
        </w:rPr>
      </w:pPr>
      <w:r w:rsidRPr="00A770FD">
        <w:rPr>
          <w:color w:val="000000" w:themeColor="text1"/>
        </w:rPr>
        <w:t>Společnost Deloitte je předním globálním poskytovatelem služeb v oblasti auditu a assurance, podnikového poradenství, finančního poradenství, poradenství v oblasti rizik a daní a souvisejících</w:t>
      </w:r>
      <w:r w:rsidRPr="007B2075">
        <w:rPr>
          <w:color w:val="000000" w:themeColor="text1"/>
        </w:rPr>
        <w:t xml:space="preserve"> služeb. Naše sít členských firem ve více než 150 zemích a teritoriích poskytuje služby čtyřem z pěti společností figurujících v žebříčku Fortune Global 500 ®. Chcete-li se dozvědět více o způsobu, jakým zhruba 264 000 odborníků dělá to, co má pro klienty smysl, navštivte www.deloitte.com.</w:t>
      </w:r>
    </w:p>
    <w:p w14:paraId="6E9BC1B9" w14:textId="77777777" w:rsidR="007B2075" w:rsidRPr="007B2075" w:rsidRDefault="007B2075" w:rsidP="00F46FDA">
      <w:pPr>
        <w:pStyle w:val="Legaltext"/>
        <w:spacing w:line="240" w:lineRule="auto"/>
        <w:ind w:right="1275"/>
        <w:rPr>
          <w:color w:val="000000" w:themeColor="text1"/>
        </w:rPr>
      </w:pPr>
    </w:p>
    <w:p w14:paraId="6863BB22" w14:textId="77777777" w:rsidR="007B2075" w:rsidRPr="007B2075" w:rsidRDefault="007B2075" w:rsidP="00F46FDA">
      <w:pPr>
        <w:pStyle w:val="Legaltext"/>
        <w:spacing w:line="240" w:lineRule="auto"/>
        <w:ind w:right="1275"/>
        <w:rPr>
          <w:color w:val="000000" w:themeColor="text1"/>
        </w:rPr>
      </w:pPr>
      <w:r w:rsidRPr="007B2075">
        <w:rPr>
          <w:color w:val="000000" w:themeColor="text1"/>
        </w:rPr>
        <w:t xml:space="preserve">Společnost Deloitte ve střední Evropě je regionální organizací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Dceřiné a přidružené podniky společnosti Deloitte Central Europe Holdings Limited patří ve středoevropském regionu k předním firmám poskytujícím služby prostřednictvím více </w:t>
      </w:r>
      <w:r w:rsidR="00F56097">
        <w:rPr>
          <w:color w:val="000000" w:themeColor="text1"/>
        </w:rPr>
        <w:t>než 6 000 zaměstnanců ze 44 </w:t>
      </w:r>
      <w:r w:rsidRPr="007B2075">
        <w:rPr>
          <w:color w:val="000000" w:themeColor="text1"/>
        </w:rPr>
        <w:t>pracovišť v 18 zemích.</w:t>
      </w:r>
    </w:p>
    <w:p w14:paraId="550EFAF7" w14:textId="77777777" w:rsidR="007B2075" w:rsidRPr="007B2075" w:rsidRDefault="007B2075" w:rsidP="00F46FDA">
      <w:pPr>
        <w:pStyle w:val="Legaltext"/>
        <w:spacing w:line="240" w:lineRule="auto"/>
        <w:ind w:right="1275"/>
        <w:rPr>
          <w:color w:val="000000" w:themeColor="text1"/>
        </w:rPr>
      </w:pPr>
    </w:p>
    <w:p w14:paraId="3ABEB9FC" w14:textId="77777777" w:rsidR="007B2075" w:rsidRPr="007B2075" w:rsidRDefault="007B2075" w:rsidP="00F46FDA">
      <w:pPr>
        <w:pStyle w:val="Legaltext"/>
        <w:spacing w:line="240" w:lineRule="auto"/>
        <w:ind w:right="1275"/>
        <w:rPr>
          <w:color w:val="000000" w:themeColor="text1"/>
        </w:rPr>
      </w:pPr>
      <w:r w:rsidRPr="007B2075">
        <w:rPr>
          <w:color w:val="000000" w:themeColor="text1"/>
        </w:rPr>
        <w:t>Tato publikace obsahuje pouze obecné informace a společnost Deloitte Touche Tohmatsu Limited ani žádná z jejích členských firem či jejich spřízněných podniků (souhrnně „síť společností Deloitte“) jejím prostřednictvím neposkytuje odborné rady a služby. Přijetí jakéhokoliv rozhodnutí či jednání, které může mít dopad na Vaše finance či podnik, byste měli konzultovat s kvalifikovaným odborným poradcem. Žádný subjekt v rámci sítě společností Deloitte nenese odpovědnost za ztráty vzniklé jakýmkoli osobám v důsledku použití této komunikace.</w:t>
      </w:r>
    </w:p>
    <w:p w14:paraId="41F1D3BC" w14:textId="77777777" w:rsidR="007B2075" w:rsidRPr="007B2075" w:rsidRDefault="007B2075" w:rsidP="00F46FDA">
      <w:pPr>
        <w:pStyle w:val="Legaltext"/>
        <w:spacing w:line="240" w:lineRule="auto"/>
        <w:ind w:right="1275"/>
        <w:rPr>
          <w:color w:val="000000" w:themeColor="text1"/>
        </w:rPr>
      </w:pPr>
    </w:p>
    <w:p w14:paraId="7554AF4E" w14:textId="77777777" w:rsidR="007B2075" w:rsidRPr="007B2075" w:rsidRDefault="007B2075" w:rsidP="00F46FDA">
      <w:pPr>
        <w:pStyle w:val="Legaltext"/>
        <w:spacing w:line="240" w:lineRule="auto"/>
        <w:ind w:right="1275"/>
        <w:rPr>
          <w:color w:val="000000" w:themeColor="text1"/>
        </w:rPr>
      </w:pPr>
      <w:r w:rsidRPr="007B2075">
        <w:rPr>
          <w:color w:val="000000" w:themeColor="text1"/>
        </w:rPr>
        <w:t>„Deloitte“ nebo „DTTL“ označuje jednu či více společností Deloitte Touche Tohmatsu Limited, britské privátní společnosti s ručením omezeným zárukou, jejích členských firem a jejich spojených osob. Deloitte Touche Tohmatsu Limited ani žádná z jejích členských firem nenesou odpovědnost za konání či pochybení ostatních členských firem. Každá členská firma je samostatným a nezávislým právním subjektem, který působí pod názvem „Deloitte“, „Deloitte &amp; Touche“, „Deloitte Touche Tohmatsu“ či jiným obdobným názvem. „Deloitte ve střední Evropě“, „DCE“, „firma“ nebo „my“ označuje jeden nebo více subjektů sdružených ve společnosti Deloitte Central Europe Holdings Limited, která je členskou firmou sdružení Deloitte Touche Tohmatsu Limited ve střední Evropě. Odborné služby poskytují dceřiné a přidružené podniky společnosti Deloitte Central Europe Holdings Limited, které jsou samostatnými a nezávislými právními subjekty. Společnost Deloitte Advisory s.r.o. je dceřinou společností Deloitte Central Europe Holdings Limited.</w:t>
      </w:r>
    </w:p>
    <w:p w14:paraId="4CD645A3" w14:textId="77777777" w:rsidR="007B2075" w:rsidRPr="007B2075" w:rsidRDefault="007B2075" w:rsidP="00F46FDA">
      <w:pPr>
        <w:pStyle w:val="Legaltext"/>
        <w:spacing w:line="240" w:lineRule="auto"/>
        <w:ind w:right="1275"/>
        <w:rPr>
          <w:color w:val="000000" w:themeColor="text1"/>
        </w:rPr>
      </w:pPr>
    </w:p>
    <w:p w14:paraId="533A5342" w14:textId="03E21BAA" w:rsidR="00EA19CE" w:rsidRPr="00924FCB" w:rsidRDefault="007B2075" w:rsidP="00F46FDA">
      <w:pPr>
        <w:pStyle w:val="Legaltext"/>
        <w:spacing w:line="240" w:lineRule="auto"/>
        <w:ind w:right="1275"/>
        <w:rPr>
          <w:color w:val="000000" w:themeColor="text1"/>
          <w:szCs w:val="20"/>
          <w:highlight w:val="green"/>
        </w:rPr>
      </w:pPr>
      <w:r w:rsidRPr="007B2075">
        <w:rPr>
          <w:color w:val="000000" w:themeColor="text1"/>
        </w:rPr>
        <w:t>© 20</w:t>
      </w:r>
      <w:r w:rsidR="00097BBC">
        <w:rPr>
          <w:color w:val="000000" w:themeColor="text1"/>
        </w:rPr>
        <w:t>20</w:t>
      </w:r>
      <w:r w:rsidRPr="007B2075">
        <w:rPr>
          <w:color w:val="000000" w:themeColor="text1"/>
        </w:rPr>
        <w:t xml:space="preserve"> Pro více informací kontaktujte Deloitte Česká republika.</w:t>
      </w:r>
    </w:p>
    <w:sectPr w:rsidR="00EA19CE" w:rsidRPr="00924FCB" w:rsidSect="003C4BE4">
      <w:footerReference w:type="default" r:id="rId19"/>
      <w:headerReference w:type="first" r:id="rId20"/>
      <w:footerReference w:type="first" r:id="rId21"/>
      <w:pgSz w:w="11906" w:h="16838" w:code="9"/>
      <w:pgMar w:top="1985" w:right="4281" w:bottom="1134" w:left="680" w:header="680" w:footer="567"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2C8D" w16cex:dateUtc="2020-04-02T07:19:00Z"/>
  <w16cex:commentExtensible w16cex:durableId="22303D8C" w16cex:dateUtc="2020-04-02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118D1" w16cid:durableId="22306D5E"/>
  <w16cid:commentId w16cid:paraId="72D74DDA" w16cid:durableId="22306D5F"/>
  <w16cid:commentId w16cid:paraId="3687624B" w16cid:durableId="22306D60"/>
  <w16cid:commentId w16cid:paraId="5A784721" w16cid:durableId="22306D61"/>
  <w16cid:commentId w16cid:paraId="74E10881" w16cid:durableId="22306D62"/>
  <w16cid:commentId w16cid:paraId="5A9747F2" w16cid:durableId="22302C8D"/>
  <w16cid:commentId w16cid:paraId="62B4EFF4" w16cid:durableId="22303D8C"/>
  <w16cid:commentId w16cid:paraId="6DE338CC" w16cid:durableId="22306D63"/>
  <w16cid:commentId w16cid:paraId="4D06055A" w16cid:durableId="22306D64"/>
  <w16cid:commentId w16cid:paraId="71B9CA20" w16cid:durableId="22306D65"/>
  <w16cid:commentId w16cid:paraId="762272E6" w16cid:durableId="22306D66"/>
  <w16cid:commentId w16cid:paraId="229ED46C" w16cid:durableId="22306D67"/>
  <w16cid:commentId w16cid:paraId="605A5127" w16cid:durableId="22306D68"/>
  <w16cid:commentId w16cid:paraId="4C950AC9" w16cid:durableId="223026FA"/>
  <w16cid:commentId w16cid:paraId="111EB0F5" w16cid:durableId="223026FB"/>
  <w16cid:commentId w16cid:paraId="140981C6" w16cid:durableId="22306D69"/>
  <w16cid:commentId w16cid:paraId="49126B64" w16cid:durableId="22306D6A"/>
  <w16cid:commentId w16cid:paraId="681EC89A" w16cid:durableId="22306D6B"/>
  <w16cid:commentId w16cid:paraId="6534680A" w16cid:durableId="22306D6C"/>
  <w16cid:commentId w16cid:paraId="4AE53114" w16cid:durableId="22306D6D"/>
  <w16cid:commentId w16cid:paraId="49664044" w16cid:durableId="22306D6E"/>
  <w16cid:commentId w16cid:paraId="64013455" w16cid:durableId="22306D6F"/>
  <w16cid:commentId w16cid:paraId="60E07FB5" w16cid:durableId="22306D70"/>
  <w16cid:commentId w16cid:paraId="721ECEC3" w16cid:durableId="22306D71"/>
  <w16cid:commentId w16cid:paraId="1425894B" w16cid:durableId="22306D72"/>
  <w16cid:commentId w16cid:paraId="047A156C" w16cid:durableId="22306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6302" w14:textId="77777777" w:rsidR="00092BD9" w:rsidRDefault="00092BD9" w:rsidP="00C702C7">
      <w:pPr>
        <w:spacing w:after="0" w:line="240" w:lineRule="auto"/>
      </w:pPr>
      <w:r>
        <w:separator/>
      </w:r>
    </w:p>
  </w:endnote>
  <w:endnote w:type="continuationSeparator" w:id="0">
    <w:p w14:paraId="5E9F6F6A" w14:textId="77777777" w:rsidR="00092BD9" w:rsidRDefault="00092BD9" w:rsidP="00C702C7">
      <w:pPr>
        <w:spacing w:after="0" w:line="240" w:lineRule="auto"/>
      </w:pPr>
      <w:r>
        <w:continuationSeparator/>
      </w:r>
    </w:p>
  </w:endnote>
  <w:endnote w:type="continuationNotice" w:id="1">
    <w:p w14:paraId="0C90389B" w14:textId="77777777" w:rsidR="00092BD9" w:rsidRDefault="00092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57143"/>
      <w:docPartObj>
        <w:docPartGallery w:val="Page Numbers (Bottom of Page)"/>
        <w:docPartUnique/>
      </w:docPartObj>
    </w:sdtPr>
    <w:sdtEndPr>
      <w:rPr>
        <w:noProof/>
      </w:rPr>
    </w:sdtEndPr>
    <w:sdtContent>
      <w:p w14:paraId="14C656A3" w14:textId="013C1C16" w:rsidR="005B5874" w:rsidRDefault="005B5874">
        <w:pPr>
          <w:pStyle w:val="Footer"/>
          <w:jc w:val="right"/>
        </w:pPr>
        <w:r>
          <w:fldChar w:fldCharType="begin"/>
        </w:r>
        <w:r>
          <w:instrText xml:space="preserve"> PAGE   \* MERGEFORMAT </w:instrText>
        </w:r>
        <w:r>
          <w:fldChar w:fldCharType="separate"/>
        </w:r>
        <w:r w:rsidR="00C15782">
          <w:rPr>
            <w:noProof/>
          </w:rPr>
          <w:t>1</w:t>
        </w:r>
        <w:r>
          <w:rPr>
            <w:noProof/>
          </w:rPr>
          <w:fldChar w:fldCharType="end"/>
        </w:r>
      </w:p>
    </w:sdtContent>
  </w:sdt>
  <w:p w14:paraId="17F67300" w14:textId="77777777" w:rsidR="005B5874" w:rsidRPr="00904097" w:rsidRDefault="005B5874" w:rsidP="00904097">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43182"/>
      <w:docPartObj>
        <w:docPartGallery w:val="Page Numbers (Bottom of Page)"/>
        <w:docPartUnique/>
      </w:docPartObj>
    </w:sdtPr>
    <w:sdtEndPr>
      <w:rPr>
        <w:noProof/>
      </w:rPr>
    </w:sdtEndPr>
    <w:sdtContent>
      <w:p w14:paraId="61C6AB37" w14:textId="708A2D93" w:rsidR="005B5874" w:rsidRPr="00E50E59" w:rsidRDefault="005B5874" w:rsidP="00E50E59">
        <w:pPr>
          <w:pStyle w:val="Footer"/>
          <w:jc w:val="right"/>
          <w:rPr>
            <w:noProof/>
          </w:rPr>
        </w:pPr>
        <w:r>
          <w:fldChar w:fldCharType="begin"/>
        </w:r>
        <w:r>
          <w:instrText xml:space="preserve"> PAGE   \* MERGEFORMAT </w:instrText>
        </w:r>
        <w:r>
          <w:fldChar w:fldCharType="separate"/>
        </w:r>
        <w:r w:rsidR="00C15782">
          <w:rPr>
            <w:noProof/>
          </w:rPr>
          <w:t>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D134" w14:textId="77777777" w:rsidR="005B5874" w:rsidRDefault="005B5874">
    <w:pPr>
      <w:pStyle w:val="Footer"/>
      <w:jc w:val="right"/>
    </w:pPr>
  </w:p>
  <w:p w14:paraId="6B8A6E83" w14:textId="77777777" w:rsidR="005B5874" w:rsidRPr="00904097" w:rsidRDefault="005B5874" w:rsidP="00904097">
    <w:pPr>
      <w:pStyle w:val="Footer"/>
      <w:spacing w:line="240"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1E17" w14:textId="77777777" w:rsidR="005B5874" w:rsidRPr="00606E30" w:rsidRDefault="005B5874" w:rsidP="0060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F1C0" w14:textId="77777777" w:rsidR="00092BD9" w:rsidRDefault="00092BD9" w:rsidP="00C702C7">
      <w:pPr>
        <w:spacing w:after="0" w:line="240" w:lineRule="auto"/>
      </w:pPr>
      <w:r>
        <w:separator/>
      </w:r>
    </w:p>
  </w:footnote>
  <w:footnote w:type="continuationSeparator" w:id="0">
    <w:p w14:paraId="113C2C42" w14:textId="77777777" w:rsidR="00092BD9" w:rsidRDefault="00092BD9" w:rsidP="00C702C7">
      <w:pPr>
        <w:spacing w:after="0" w:line="240" w:lineRule="auto"/>
      </w:pPr>
      <w:r>
        <w:continuationSeparator/>
      </w:r>
    </w:p>
  </w:footnote>
  <w:footnote w:type="continuationNotice" w:id="1">
    <w:p w14:paraId="18771849" w14:textId="77777777" w:rsidR="00092BD9" w:rsidRDefault="00092BD9">
      <w:pPr>
        <w:spacing w:after="0" w:line="240" w:lineRule="auto"/>
      </w:pPr>
    </w:p>
  </w:footnote>
  <w:footnote w:id="2">
    <w:p w14:paraId="55202ED7" w14:textId="744FE657" w:rsidR="005B5874" w:rsidRDefault="005B5874">
      <w:pPr>
        <w:pStyle w:val="FootnoteText"/>
      </w:pPr>
      <w:r>
        <w:rPr>
          <w:rStyle w:val="FootnoteReference"/>
        </w:rPr>
        <w:footnoteRef/>
      </w:r>
      <w:r>
        <w:t xml:space="preserve"> V souladu s 3. verzí OP TAK 2021 – 2027 předanou 13. 3. 2020 Zadavatelem.</w:t>
      </w:r>
    </w:p>
  </w:footnote>
  <w:footnote w:id="3">
    <w:p w14:paraId="7797FD4A" w14:textId="77777777" w:rsidR="005B5874" w:rsidRDefault="005B5874" w:rsidP="00960DA7">
      <w:pPr>
        <w:pStyle w:val="FootnoteText"/>
      </w:pPr>
      <w:r>
        <w:rPr>
          <w:rStyle w:val="FootnoteReference"/>
        </w:rPr>
        <w:footnoteRef/>
      </w:r>
      <w:r>
        <w:t xml:space="preserve"> Příklady projektů spolufinancovaných ze strany EIB: </w:t>
      </w:r>
      <w:hyperlink r:id="rId1" w:history="1">
        <w:r>
          <w:rPr>
            <w:rStyle w:val="Hyperlink"/>
          </w:rPr>
          <w:t>https://www.eib.org/en/projects/pipelines/all/20170133</w:t>
        </w:r>
      </w:hyperlink>
      <w:r>
        <w:t xml:space="preserve">, </w:t>
      </w:r>
      <w:hyperlink r:id="rId2" w:history="1">
        <w:r>
          <w:rPr>
            <w:rStyle w:val="Hyperlink"/>
          </w:rPr>
          <w:t>https://www.eib.org/en/projects/pipelines/all/20150174</w:t>
        </w:r>
      </w:hyperlink>
    </w:p>
  </w:footnote>
  <w:footnote w:id="4">
    <w:p w14:paraId="1CDCFCCA" w14:textId="77777777" w:rsidR="005B5874" w:rsidRDefault="005B5874" w:rsidP="00960DA7">
      <w:pPr>
        <w:pStyle w:val="FootnoteText"/>
      </w:pPr>
      <w:r>
        <w:rPr>
          <w:rStyle w:val="FootnoteReference"/>
        </w:rPr>
        <w:footnoteRef/>
      </w:r>
      <w:r>
        <w:t xml:space="preserve"> Příklady projektů spolufinancovaných ze strany EIB: </w:t>
      </w:r>
      <w:hyperlink r:id="rId3" w:history="1">
        <w:r>
          <w:rPr>
            <w:rStyle w:val="Hyperlink"/>
          </w:rPr>
          <w:t>https://www.eib.org/en/projects/pipelines/all/20160784</w:t>
        </w:r>
      </w:hyperlink>
      <w:r>
        <w:t xml:space="preserve">, </w:t>
      </w:r>
      <w:hyperlink r:id="rId4" w:history="1">
        <w:r>
          <w:rPr>
            <w:rStyle w:val="Hyperlink"/>
          </w:rPr>
          <w:t>https://www.eib.org/en/projects/pipelines/all/20150616</w:t>
        </w:r>
      </w:hyperlink>
    </w:p>
  </w:footnote>
  <w:footnote w:id="5">
    <w:p w14:paraId="64DAA36D" w14:textId="77777777" w:rsidR="005B5874" w:rsidRDefault="005B5874" w:rsidP="00960DA7">
      <w:pPr>
        <w:pStyle w:val="FootnoteText"/>
      </w:pPr>
      <w:r>
        <w:rPr>
          <w:rStyle w:val="FootnoteReference"/>
        </w:rPr>
        <w:footnoteRef/>
      </w:r>
      <w:r>
        <w:t xml:space="preserve"> Příklady projektů spolufinancovaných ze strany EIB: </w:t>
      </w:r>
      <w:hyperlink r:id="rId5" w:history="1">
        <w:r>
          <w:rPr>
            <w:rStyle w:val="Hyperlink"/>
          </w:rPr>
          <w:t>https://www.eib.org/en/projects/pipelines/all/20180819</w:t>
        </w:r>
      </w:hyperlink>
      <w:r>
        <w:t xml:space="preserve">, </w:t>
      </w:r>
      <w:hyperlink r:id="rId6" w:history="1">
        <w:r>
          <w:rPr>
            <w:rStyle w:val="Hyperlink"/>
          </w:rPr>
          <w:t>https://www.eib.org/en/projects/pipelines/all/20160964</w:t>
        </w:r>
      </w:hyperlink>
    </w:p>
  </w:footnote>
  <w:footnote w:id="6">
    <w:p w14:paraId="32BC88D4" w14:textId="77777777" w:rsidR="005B5874" w:rsidRDefault="005B5874" w:rsidP="00960DA7">
      <w:pPr>
        <w:pStyle w:val="FootnoteText"/>
      </w:pPr>
      <w:r>
        <w:rPr>
          <w:rStyle w:val="FootnoteReference"/>
        </w:rPr>
        <w:footnoteRef/>
      </w:r>
      <w:r>
        <w:t xml:space="preserve"> </w:t>
      </w:r>
      <w:r w:rsidRPr="0016410D">
        <w:rPr>
          <w:szCs w:val="18"/>
        </w:rPr>
        <w:t>odbor 20 - Řízení státního dluhu a finančního majetku</w:t>
      </w:r>
      <w:r>
        <w:rPr>
          <w:szCs w:val="18"/>
        </w:rPr>
        <w:t xml:space="preserve"> a odboru, </w:t>
      </w:r>
      <w:r w:rsidRPr="00C44BA0">
        <w:rPr>
          <w:szCs w:val="18"/>
        </w:rPr>
        <w:t>sekce 06 - Veřejné rozpočty</w:t>
      </w:r>
    </w:p>
  </w:footnote>
  <w:footnote w:id="7">
    <w:p w14:paraId="05DA0D01" w14:textId="77777777" w:rsidR="005B5874" w:rsidRDefault="005B5874" w:rsidP="00960DA7">
      <w:pPr>
        <w:pStyle w:val="FootnoteText"/>
      </w:pPr>
      <w:r>
        <w:rPr>
          <w:rStyle w:val="FootnoteReference"/>
        </w:rPr>
        <w:footnoteRef/>
      </w:r>
      <w:r>
        <w:t xml:space="preserve"> </w:t>
      </w:r>
      <w:r>
        <w:rPr>
          <w:szCs w:val="18"/>
        </w:rPr>
        <w:t xml:space="preserve">odbor </w:t>
      </w:r>
      <w:r w:rsidRPr="003B4837">
        <w:rPr>
          <w:szCs w:val="18"/>
        </w:rPr>
        <w:t>58 - Mezinárodní vztahy</w:t>
      </w:r>
      <w:r>
        <w:rPr>
          <w:szCs w:val="18"/>
        </w:rPr>
        <w:t xml:space="preserve">, </w:t>
      </w:r>
      <w:r w:rsidRPr="00C44BA0">
        <w:rPr>
          <w:szCs w:val="18"/>
        </w:rPr>
        <w:t>sekce 07- Mezinárodní vztahy a finanční trhy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9F15" w14:textId="77777777" w:rsidR="005B5874" w:rsidRPr="00606E30" w:rsidRDefault="005B5874" w:rsidP="00606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369B54FF" id="_x0000_i1034" style="width:8.25pt;height:8.25pt" coordsize="" o:spt="100" o:bullet="t" adj="0,,0" path="" stroked="f">
        <v:stroke joinstyle="miter"/>
        <v:imagedata r:id="rId1" o:title=""/>
        <v:formulas/>
        <v:path o:connecttype="segments"/>
      </v:shape>
    </w:pict>
  </w:numPicBullet>
  <w:numPicBullet w:numPicBulletId="1">
    <w:pict>
      <v:shape id="_x0000_i1035" style="width:9pt;height:8.25pt" coordsize="" o:spt="100" o:bullet="t" adj="0,,0" path="" stroked="f">
        <v:stroke joinstyle="miter"/>
        <v:imagedata r:id="rId2" o:title=""/>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4.75pt;height:294.75pt" o:bullet="t">
        <v:imagedata r:id="rId3" o:title="fajfka2"/>
      </v:shape>
    </w:pict>
  </w:numPicBullet>
  <w:numPicBullet w:numPicBulletId="3">
    <w:pict>
      <v:shape id="_x0000_i1037" type="#_x0000_t75" style="width:22.5pt;height:21pt" o:bullet="t">
        <v:imagedata r:id="rId4" o:title="kriz"/>
      </v:shape>
    </w:pict>
  </w:numPicBullet>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9150F"/>
    <w:multiLevelType w:val="multilevel"/>
    <w:tmpl w:val="075E155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192F37"/>
    <w:multiLevelType w:val="hybridMultilevel"/>
    <w:tmpl w:val="2DFC6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6209A8"/>
    <w:multiLevelType w:val="multilevel"/>
    <w:tmpl w:val="DE0A9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9B47E81"/>
    <w:multiLevelType w:val="hybridMultilevel"/>
    <w:tmpl w:val="E56A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E7136D"/>
    <w:multiLevelType w:val="hybridMultilevel"/>
    <w:tmpl w:val="014AD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06055"/>
    <w:multiLevelType w:val="hybridMultilevel"/>
    <w:tmpl w:val="C0806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3B10A1"/>
    <w:multiLevelType w:val="hybridMultilevel"/>
    <w:tmpl w:val="4F887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F94410"/>
    <w:multiLevelType w:val="hybridMultilevel"/>
    <w:tmpl w:val="9EEE7DE0"/>
    <w:lvl w:ilvl="0" w:tplc="04050001">
      <w:start w:val="1"/>
      <w:numFmt w:val="bullet"/>
      <w:lvlText w:val=""/>
      <w:lvlJc w:val="left"/>
      <w:pPr>
        <w:ind w:left="788" w:hanging="360"/>
      </w:pPr>
      <w:rPr>
        <w:rFonts w:ascii="Symbol" w:hAnsi="Symbol" w:hint="default"/>
      </w:rPr>
    </w:lvl>
    <w:lvl w:ilvl="1" w:tplc="04050003">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3" w15:restartNumberingAfterBreak="0">
    <w:nsid w:val="1D254D55"/>
    <w:multiLevelType w:val="hybridMultilevel"/>
    <w:tmpl w:val="0F14C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8C3A84"/>
    <w:multiLevelType w:val="hybridMultilevel"/>
    <w:tmpl w:val="3FBC9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AF512E"/>
    <w:multiLevelType w:val="hybridMultilevel"/>
    <w:tmpl w:val="0C428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E65F97"/>
    <w:multiLevelType w:val="multilevel"/>
    <w:tmpl w:val="F1E8EC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2915A03"/>
    <w:multiLevelType w:val="hybridMultilevel"/>
    <w:tmpl w:val="82849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0B279E"/>
    <w:multiLevelType w:val="hybridMultilevel"/>
    <w:tmpl w:val="467C6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4C2508"/>
    <w:multiLevelType w:val="multilevel"/>
    <w:tmpl w:val="C47C5D1E"/>
    <w:lvl w:ilvl="0">
      <w:start w:val="1"/>
      <w:numFmt w:val="decimal"/>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DC4521"/>
    <w:multiLevelType w:val="hybridMultilevel"/>
    <w:tmpl w:val="A76EB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3F0AE6"/>
    <w:multiLevelType w:val="hybridMultilevel"/>
    <w:tmpl w:val="A9C44C66"/>
    <w:lvl w:ilvl="0" w:tplc="D04A34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322531"/>
    <w:multiLevelType w:val="hybridMultilevel"/>
    <w:tmpl w:val="F3EA04D2"/>
    <w:lvl w:ilvl="0" w:tplc="9114353C">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D17D8C"/>
    <w:multiLevelType w:val="hybridMultilevel"/>
    <w:tmpl w:val="F76C6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70599B"/>
    <w:multiLevelType w:val="hybridMultilevel"/>
    <w:tmpl w:val="AB66D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C0727D"/>
    <w:multiLevelType w:val="multilevel"/>
    <w:tmpl w:val="D8F856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16117F8"/>
    <w:multiLevelType w:val="hybridMultilevel"/>
    <w:tmpl w:val="736A4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16408EE"/>
    <w:multiLevelType w:val="hybridMultilevel"/>
    <w:tmpl w:val="9C70F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27B4398"/>
    <w:multiLevelType w:val="hybridMultilevel"/>
    <w:tmpl w:val="D6BCA244"/>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9" w15:restartNumberingAfterBreak="0">
    <w:nsid w:val="335A4293"/>
    <w:multiLevelType w:val="multilevel"/>
    <w:tmpl w:val="A398A810"/>
    <w:lvl w:ilvl="0">
      <w:start w:val="1"/>
      <w:numFmt w:val="bullet"/>
      <w:lvlText w:val="•"/>
      <w:lvlPicBulletId w:val="0"/>
      <w:lvlJc w:val="left"/>
      <w:pPr>
        <w:ind w:left="720" w:hanging="360"/>
      </w:pPr>
      <w:rPr>
        <w:rFonts w:ascii="Symbol" w:hAnsi="Symbol" w:cs="Symbol" w:hint="default"/>
        <w:color w:val="00000A"/>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37D7053"/>
    <w:multiLevelType w:val="hybridMultilevel"/>
    <w:tmpl w:val="FEF81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2968FA"/>
    <w:multiLevelType w:val="hybridMultilevel"/>
    <w:tmpl w:val="B7A82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78F3769"/>
    <w:multiLevelType w:val="hybridMultilevel"/>
    <w:tmpl w:val="5D644CEC"/>
    <w:lvl w:ilvl="0" w:tplc="D04A34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A8F48A1"/>
    <w:multiLevelType w:val="multilevel"/>
    <w:tmpl w:val="B3C639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3C1C3611"/>
    <w:multiLevelType w:val="hybridMultilevel"/>
    <w:tmpl w:val="B0EE1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0B81E25"/>
    <w:multiLevelType w:val="hybridMultilevel"/>
    <w:tmpl w:val="8B861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10A513D"/>
    <w:multiLevelType w:val="hybridMultilevel"/>
    <w:tmpl w:val="ADF41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1B03596"/>
    <w:multiLevelType w:val="hybridMultilevel"/>
    <w:tmpl w:val="DE8C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7182FE4"/>
    <w:multiLevelType w:val="multilevel"/>
    <w:tmpl w:val="1732575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73578E4"/>
    <w:multiLevelType w:val="hybridMultilevel"/>
    <w:tmpl w:val="44CEF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B8C771F"/>
    <w:multiLevelType w:val="hybridMultilevel"/>
    <w:tmpl w:val="4DC6F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DED52D5"/>
    <w:multiLevelType w:val="hybridMultilevel"/>
    <w:tmpl w:val="08E47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F30345E"/>
    <w:multiLevelType w:val="hybridMultilevel"/>
    <w:tmpl w:val="6D0A8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3430346"/>
    <w:multiLevelType w:val="hybridMultilevel"/>
    <w:tmpl w:val="A9EEA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38722E2"/>
    <w:multiLevelType w:val="hybridMultilevel"/>
    <w:tmpl w:val="FF783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49516FA"/>
    <w:multiLevelType w:val="hybridMultilevel"/>
    <w:tmpl w:val="8DDC9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7FB05A7"/>
    <w:multiLevelType w:val="hybridMultilevel"/>
    <w:tmpl w:val="0F5CA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89F1B83"/>
    <w:multiLevelType w:val="hybridMultilevel"/>
    <w:tmpl w:val="6A827D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9E026A2"/>
    <w:multiLevelType w:val="hybridMultilevel"/>
    <w:tmpl w:val="B49425E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50" w15:restartNumberingAfterBreak="0">
    <w:nsid w:val="5B4D6275"/>
    <w:multiLevelType w:val="hybridMultilevel"/>
    <w:tmpl w:val="BE4C0E92"/>
    <w:lvl w:ilvl="0" w:tplc="4724977C">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CB60A69"/>
    <w:multiLevelType w:val="hybridMultilevel"/>
    <w:tmpl w:val="7F4612E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2" w15:restartNumberingAfterBreak="0">
    <w:nsid w:val="5CD76137"/>
    <w:multiLevelType w:val="hybridMultilevel"/>
    <w:tmpl w:val="68F26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EF76DB4"/>
    <w:multiLevelType w:val="hybridMultilevel"/>
    <w:tmpl w:val="A5149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80A1587"/>
    <w:multiLevelType w:val="hybridMultilevel"/>
    <w:tmpl w:val="DF567B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8370CBE8">
      <w:numFmt w:val="bullet"/>
      <w:lvlText w:val="-"/>
      <w:lvlJc w:val="left"/>
      <w:pPr>
        <w:ind w:left="2160" w:hanging="360"/>
      </w:pPr>
      <w:rPr>
        <w:rFonts w:ascii="Verdana" w:eastAsiaTheme="minorHAnsi" w:hAnsi="Verdana"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A69103F"/>
    <w:multiLevelType w:val="hybridMultilevel"/>
    <w:tmpl w:val="ED44E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ABE54D8"/>
    <w:multiLevelType w:val="hybridMultilevel"/>
    <w:tmpl w:val="4E02F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CBB09D5"/>
    <w:multiLevelType w:val="hybridMultilevel"/>
    <w:tmpl w:val="E5E64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EA04922"/>
    <w:multiLevelType w:val="hybridMultilevel"/>
    <w:tmpl w:val="8EB651BA"/>
    <w:lvl w:ilvl="0" w:tplc="44E442CA">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52B4928"/>
    <w:multiLevelType w:val="hybridMultilevel"/>
    <w:tmpl w:val="A8287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68473EF"/>
    <w:multiLevelType w:val="hybridMultilevel"/>
    <w:tmpl w:val="F1AC1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8E65E98"/>
    <w:multiLevelType w:val="hybridMultilevel"/>
    <w:tmpl w:val="710C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AE318DC"/>
    <w:multiLevelType w:val="multilevel"/>
    <w:tmpl w:val="D834EDD4"/>
    <w:lvl w:ilvl="0">
      <w:start w:val="1"/>
      <w:numFmt w:val="bullet"/>
      <w:lvlText w:val="•"/>
      <w:lvlPicBulletId w:val="1"/>
      <w:lvlJc w:val="left"/>
      <w:pPr>
        <w:ind w:left="720" w:hanging="360"/>
      </w:pPr>
      <w:rPr>
        <w:rFonts w:ascii="Symbol" w:hAnsi="Symbol" w:cs="Symbol" w:hint="default"/>
        <w:color w:val="00000A"/>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E28068C"/>
    <w:multiLevelType w:val="multilevel"/>
    <w:tmpl w:val="47C26A3C"/>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F17573C"/>
    <w:multiLevelType w:val="hybridMultilevel"/>
    <w:tmpl w:val="E7CC1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F471C8E"/>
    <w:multiLevelType w:val="hybridMultilevel"/>
    <w:tmpl w:val="810E7F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1"/>
  </w:num>
  <w:num w:numId="6">
    <w:abstractNumId w:val="4"/>
  </w:num>
  <w:num w:numId="7">
    <w:abstractNumId w:val="63"/>
  </w:num>
  <w:num w:numId="8">
    <w:abstractNumId w:val="34"/>
  </w:num>
  <w:num w:numId="9">
    <w:abstractNumId w:val="7"/>
  </w:num>
  <w:num w:numId="10">
    <w:abstractNumId w:val="54"/>
  </w:num>
  <w:num w:numId="11">
    <w:abstractNumId w:val="5"/>
  </w:num>
  <w:num w:numId="12">
    <w:abstractNumId w:val="29"/>
  </w:num>
  <w:num w:numId="13">
    <w:abstractNumId w:val="62"/>
  </w:num>
  <w:num w:numId="14">
    <w:abstractNumId w:val="22"/>
  </w:num>
  <w:num w:numId="15">
    <w:abstractNumId w:val="50"/>
  </w:num>
  <w:num w:numId="16">
    <w:abstractNumId w:val="39"/>
  </w:num>
  <w:num w:numId="17">
    <w:abstractNumId w:val="25"/>
  </w:num>
  <w:num w:numId="18">
    <w:abstractNumId w:val="65"/>
  </w:num>
  <w:num w:numId="19">
    <w:abstractNumId w:val="51"/>
  </w:num>
  <w:num w:numId="20">
    <w:abstractNumId w:val="19"/>
  </w:num>
  <w:num w:numId="21">
    <w:abstractNumId w:val="16"/>
  </w:num>
  <w:num w:numId="22">
    <w:abstractNumId w:val="9"/>
  </w:num>
  <w:num w:numId="23">
    <w:abstractNumId w:val="42"/>
  </w:num>
  <w:num w:numId="24">
    <w:abstractNumId w:val="40"/>
  </w:num>
  <w:num w:numId="25">
    <w:abstractNumId w:val="61"/>
  </w:num>
  <w:num w:numId="26">
    <w:abstractNumId w:val="12"/>
  </w:num>
  <w:num w:numId="27">
    <w:abstractNumId w:val="21"/>
  </w:num>
  <w:num w:numId="28">
    <w:abstractNumId w:val="57"/>
  </w:num>
  <w:num w:numId="29">
    <w:abstractNumId w:val="63"/>
  </w:num>
  <w:num w:numId="30">
    <w:abstractNumId w:val="63"/>
  </w:num>
  <w:num w:numId="31">
    <w:abstractNumId w:val="33"/>
  </w:num>
  <w:num w:numId="32">
    <w:abstractNumId w:val="52"/>
  </w:num>
  <w:num w:numId="33">
    <w:abstractNumId w:val="17"/>
  </w:num>
  <w:num w:numId="34">
    <w:abstractNumId w:val="18"/>
  </w:num>
  <w:num w:numId="35">
    <w:abstractNumId w:val="23"/>
  </w:num>
  <w:num w:numId="36">
    <w:abstractNumId w:val="58"/>
  </w:num>
  <w:num w:numId="37">
    <w:abstractNumId w:val="46"/>
  </w:num>
  <w:num w:numId="38">
    <w:abstractNumId w:val="11"/>
  </w:num>
  <w:num w:numId="39">
    <w:abstractNumId w:val="37"/>
  </w:num>
  <w:num w:numId="40">
    <w:abstractNumId w:val="47"/>
  </w:num>
  <w:num w:numId="41">
    <w:abstractNumId w:val="26"/>
  </w:num>
  <w:num w:numId="42">
    <w:abstractNumId w:val="27"/>
  </w:num>
  <w:num w:numId="43">
    <w:abstractNumId w:val="8"/>
  </w:num>
  <w:num w:numId="44">
    <w:abstractNumId w:val="24"/>
  </w:num>
  <w:num w:numId="45">
    <w:abstractNumId w:val="43"/>
  </w:num>
  <w:num w:numId="46">
    <w:abstractNumId w:val="30"/>
  </w:num>
  <w:num w:numId="47">
    <w:abstractNumId w:val="36"/>
  </w:num>
  <w:num w:numId="48">
    <w:abstractNumId w:val="44"/>
  </w:num>
  <w:num w:numId="49">
    <w:abstractNumId w:val="60"/>
  </w:num>
  <w:num w:numId="50">
    <w:abstractNumId w:val="56"/>
  </w:num>
  <w:num w:numId="51">
    <w:abstractNumId w:val="41"/>
  </w:num>
  <w:num w:numId="52">
    <w:abstractNumId w:val="38"/>
  </w:num>
  <w:num w:numId="53">
    <w:abstractNumId w:val="28"/>
  </w:num>
  <w:num w:numId="54">
    <w:abstractNumId w:val="59"/>
  </w:num>
  <w:num w:numId="55">
    <w:abstractNumId w:val="49"/>
  </w:num>
  <w:num w:numId="56">
    <w:abstractNumId w:val="15"/>
  </w:num>
  <w:num w:numId="57">
    <w:abstractNumId w:val="64"/>
  </w:num>
  <w:num w:numId="58">
    <w:abstractNumId w:val="14"/>
  </w:num>
  <w:num w:numId="59">
    <w:abstractNumId w:val="55"/>
  </w:num>
  <w:num w:numId="60">
    <w:abstractNumId w:val="53"/>
  </w:num>
  <w:num w:numId="61">
    <w:abstractNumId w:val="45"/>
  </w:num>
  <w:num w:numId="62">
    <w:abstractNumId w:val="20"/>
  </w:num>
  <w:num w:numId="63">
    <w:abstractNumId w:val="35"/>
  </w:num>
  <w:num w:numId="64">
    <w:abstractNumId w:val="13"/>
  </w:num>
  <w:num w:numId="65">
    <w:abstractNumId w:val="32"/>
  </w:num>
  <w:num w:numId="66">
    <w:abstractNumId w:val="48"/>
  </w:num>
  <w:num w:numId="67">
    <w:abstractNumId w:val="7"/>
  </w:num>
  <w:num w:numId="68">
    <w:abstractNumId w:val="10"/>
  </w:num>
  <w:num w:numId="69">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cs-CZ" w:vendorID="64" w:dllVersion="4096" w:nlCheck="1" w:checkStyle="0"/>
  <w:activeWritingStyle w:appName="MSWord" w:lang="de-DE" w:vendorID="64" w:dllVersion="131078" w:nlCheck="1" w:checkStyle="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A9"/>
    <w:rsid w:val="000005FE"/>
    <w:rsid w:val="00001786"/>
    <w:rsid w:val="00001EE3"/>
    <w:rsid w:val="00003CCB"/>
    <w:rsid w:val="0000480E"/>
    <w:rsid w:val="00006AAC"/>
    <w:rsid w:val="0001245E"/>
    <w:rsid w:val="000131A3"/>
    <w:rsid w:val="00014B89"/>
    <w:rsid w:val="000157D2"/>
    <w:rsid w:val="00015A56"/>
    <w:rsid w:val="000173B3"/>
    <w:rsid w:val="000176A1"/>
    <w:rsid w:val="00020D44"/>
    <w:rsid w:val="00021A39"/>
    <w:rsid w:val="00024361"/>
    <w:rsid w:val="00025E7D"/>
    <w:rsid w:val="00031AFA"/>
    <w:rsid w:val="00031C63"/>
    <w:rsid w:val="00035DBA"/>
    <w:rsid w:val="00037C17"/>
    <w:rsid w:val="00040DF1"/>
    <w:rsid w:val="00041044"/>
    <w:rsid w:val="00041DB4"/>
    <w:rsid w:val="00042869"/>
    <w:rsid w:val="000429AC"/>
    <w:rsid w:val="00042B6A"/>
    <w:rsid w:val="00042B99"/>
    <w:rsid w:val="00044BA2"/>
    <w:rsid w:val="000475B9"/>
    <w:rsid w:val="000516C4"/>
    <w:rsid w:val="000517C0"/>
    <w:rsid w:val="00052286"/>
    <w:rsid w:val="000523CF"/>
    <w:rsid w:val="00061444"/>
    <w:rsid w:val="000628FC"/>
    <w:rsid w:val="000637A6"/>
    <w:rsid w:val="0006420D"/>
    <w:rsid w:val="00064C78"/>
    <w:rsid w:val="000651E7"/>
    <w:rsid w:val="000653CB"/>
    <w:rsid w:val="00065B90"/>
    <w:rsid w:val="0006690C"/>
    <w:rsid w:val="00066BBA"/>
    <w:rsid w:val="00071509"/>
    <w:rsid w:val="0007349E"/>
    <w:rsid w:val="000746B6"/>
    <w:rsid w:val="00074E82"/>
    <w:rsid w:val="00075811"/>
    <w:rsid w:val="0007743D"/>
    <w:rsid w:val="0008196E"/>
    <w:rsid w:val="000822FE"/>
    <w:rsid w:val="000826B5"/>
    <w:rsid w:val="00083DD5"/>
    <w:rsid w:val="00085AB4"/>
    <w:rsid w:val="00092341"/>
    <w:rsid w:val="00092BD9"/>
    <w:rsid w:val="00095B7D"/>
    <w:rsid w:val="000978CE"/>
    <w:rsid w:val="00097BBC"/>
    <w:rsid w:val="000A10FD"/>
    <w:rsid w:val="000A1EBE"/>
    <w:rsid w:val="000A2123"/>
    <w:rsid w:val="000A4C9F"/>
    <w:rsid w:val="000A62E2"/>
    <w:rsid w:val="000A7145"/>
    <w:rsid w:val="000A7F05"/>
    <w:rsid w:val="000B1F68"/>
    <w:rsid w:val="000B1FAA"/>
    <w:rsid w:val="000B310F"/>
    <w:rsid w:val="000B4E14"/>
    <w:rsid w:val="000B4FC5"/>
    <w:rsid w:val="000B5BE8"/>
    <w:rsid w:val="000B5D6E"/>
    <w:rsid w:val="000B6C05"/>
    <w:rsid w:val="000B6C78"/>
    <w:rsid w:val="000C1210"/>
    <w:rsid w:val="000C15E9"/>
    <w:rsid w:val="000C20BD"/>
    <w:rsid w:val="000C2B24"/>
    <w:rsid w:val="000C5EA5"/>
    <w:rsid w:val="000D205F"/>
    <w:rsid w:val="000D2DE0"/>
    <w:rsid w:val="000D51B6"/>
    <w:rsid w:val="000E2C94"/>
    <w:rsid w:val="000E3116"/>
    <w:rsid w:val="000E4AA4"/>
    <w:rsid w:val="000E6DFC"/>
    <w:rsid w:val="000F3006"/>
    <w:rsid w:val="000F3367"/>
    <w:rsid w:val="000F495A"/>
    <w:rsid w:val="000F4BFD"/>
    <w:rsid w:val="000F5C22"/>
    <w:rsid w:val="000F65B2"/>
    <w:rsid w:val="000F7491"/>
    <w:rsid w:val="0010113D"/>
    <w:rsid w:val="00101574"/>
    <w:rsid w:val="0010418F"/>
    <w:rsid w:val="0010462B"/>
    <w:rsid w:val="001060A9"/>
    <w:rsid w:val="00111011"/>
    <w:rsid w:val="00112445"/>
    <w:rsid w:val="00114879"/>
    <w:rsid w:val="00121526"/>
    <w:rsid w:val="00123AD3"/>
    <w:rsid w:val="00124788"/>
    <w:rsid w:val="001265CF"/>
    <w:rsid w:val="00126D79"/>
    <w:rsid w:val="00127308"/>
    <w:rsid w:val="0012765F"/>
    <w:rsid w:val="00130191"/>
    <w:rsid w:val="00130F76"/>
    <w:rsid w:val="00131D77"/>
    <w:rsid w:val="001320EE"/>
    <w:rsid w:val="00135844"/>
    <w:rsid w:val="00135D4A"/>
    <w:rsid w:val="00136171"/>
    <w:rsid w:val="00136294"/>
    <w:rsid w:val="001379BA"/>
    <w:rsid w:val="001412EA"/>
    <w:rsid w:val="001457BC"/>
    <w:rsid w:val="00145B72"/>
    <w:rsid w:val="001479F8"/>
    <w:rsid w:val="00150644"/>
    <w:rsid w:val="00153667"/>
    <w:rsid w:val="00157BD7"/>
    <w:rsid w:val="00160115"/>
    <w:rsid w:val="00161A29"/>
    <w:rsid w:val="00162A47"/>
    <w:rsid w:val="00163881"/>
    <w:rsid w:val="0016410D"/>
    <w:rsid w:val="0016419F"/>
    <w:rsid w:val="001659E4"/>
    <w:rsid w:val="001708B9"/>
    <w:rsid w:val="00170E0E"/>
    <w:rsid w:val="0017280D"/>
    <w:rsid w:val="00174504"/>
    <w:rsid w:val="001751BF"/>
    <w:rsid w:val="001757CE"/>
    <w:rsid w:val="00177461"/>
    <w:rsid w:val="00177A80"/>
    <w:rsid w:val="00177E43"/>
    <w:rsid w:val="00180BDA"/>
    <w:rsid w:val="0018108F"/>
    <w:rsid w:val="00184DC3"/>
    <w:rsid w:val="00185240"/>
    <w:rsid w:val="00185478"/>
    <w:rsid w:val="00186DE9"/>
    <w:rsid w:val="00186FC8"/>
    <w:rsid w:val="00187C1C"/>
    <w:rsid w:val="001904FF"/>
    <w:rsid w:val="00190C53"/>
    <w:rsid w:val="0019235B"/>
    <w:rsid w:val="00192D79"/>
    <w:rsid w:val="00194061"/>
    <w:rsid w:val="001975EF"/>
    <w:rsid w:val="0019765A"/>
    <w:rsid w:val="001A0974"/>
    <w:rsid w:val="001A0BC5"/>
    <w:rsid w:val="001A32D0"/>
    <w:rsid w:val="001A39D2"/>
    <w:rsid w:val="001A45CF"/>
    <w:rsid w:val="001A4FDE"/>
    <w:rsid w:val="001A63D8"/>
    <w:rsid w:val="001A6F18"/>
    <w:rsid w:val="001A7E3D"/>
    <w:rsid w:val="001B0F94"/>
    <w:rsid w:val="001B11C7"/>
    <w:rsid w:val="001B1874"/>
    <w:rsid w:val="001B5C19"/>
    <w:rsid w:val="001C146B"/>
    <w:rsid w:val="001C3400"/>
    <w:rsid w:val="001C4EE3"/>
    <w:rsid w:val="001C5B9F"/>
    <w:rsid w:val="001C7807"/>
    <w:rsid w:val="001D03A7"/>
    <w:rsid w:val="001D0734"/>
    <w:rsid w:val="001D159B"/>
    <w:rsid w:val="001D21D6"/>
    <w:rsid w:val="001D2D5C"/>
    <w:rsid w:val="001D3277"/>
    <w:rsid w:val="001D3B50"/>
    <w:rsid w:val="001D5004"/>
    <w:rsid w:val="001D5628"/>
    <w:rsid w:val="001D6CC2"/>
    <w:rsid w:val="001D717C"/>
    <w:rsid w:val="001D77EC"/>
    <w:rsid w:val="001E016B"/>
    <w:rsid w:val="001E303E"/>
    <w:rsid w:val="001E341D"/>
    <w:rsid w:val="001E4B6D"/>
    <w:rsid w:val="001E545D"/>
    <w:rsid w:val="001E7D3E"/>
    <w:rsid w:val="001F070C"/>
    <w:rsid w:val="001F090B"/>
    <w:rsid w:val="001F0C75"/>
    <w:rsid w:val="001F1079"/>
    <w:rsid w:val="001F38BE"/>
    <w:rsid w:val="001F4F52"/>
    <w:rsid w:val="001F61B8"/>
    <w:rsid w:val="001F6839"/>
    <w:rsid w:val="001F6D14"/>
    <w:rsid w:val="001F778A"/>
    <w:rsid w:val="00204079"/>
    <w:rsid w:val="0020432F"/>
    <w:rsid w:val="00204CBA"/>
    <w:rsid w:val="00205D3C"/>
    <w:rsid w:val="00206C63"/>
    <w:rsid w:val="00207578"/>
    <w:rsid w:val="00207E2A"/>
    <w:rsid w:val="00211AB1"/>
    <w:rsid w:val="00212852"/>
    <w:rsid w:val="002144A4"/>
    <w:rsid w:val="00216CF6"/>
    <w:rsid w:val="00220CCF"/>
    <w:rsid w:val="0022176C"/>
    <w:rsid w:val="00222ADC"/>
    <w:rsid w:val="002244B6"/>
    <w:rsid w:val="00225571"/>
    <w:rsid w:val="002275A6"/>
    <w:rsid w:val="002277F8"/>
    <w:rsid w:val="00227F1F"/>
    <w:rsid w:val="00230A37"/>
    <w:rsid w:val="002319A7"/>
    <w:rsid w:val="00231B44"/>
    <w:rsid w:val="00232DF2"/>
    <w:rsid w:val="002340B6"/>
    <w:rsid w:val="00234BA2"/>
    <w:rsid w:val="00235319"/>
    <w:rsid w:val="00235582"/>
    <w:rsid w:val="002370AB"/>
    <w:rsid w:val="002377C9"/>
    <w:rsid w:val="00237872"/>
    <w:rsid w:val="002403AF"/>
    <w:rsid w:val="0024134E"/>
    <w:rsid w:val="00244010"/>
    <w:rsid w:val="0024444E"/>
    <w:rsid w:val="00251A94"/>
    <w:rsid w:val="00253D2A"/>
    <w:rsid w:val="00255D53"/>
    <w:rsid w:val="00257A5C"/>
    <w:rsid w:val="00262C22"/>
    <w:rsid w:val="00265AE2"/>
    <w:rsid w:val="0026637D"/>
    <w:rsid w:val="00276CB4"/>
    <w:rsid w:val="002776C4"/>
    <w:rsid w:val="0028186F"/>
    <w:rsid w:val="00282436"/>
    <w:rsid w:val="00282CFB"/>
    <w:rsid w:val="002856F1"/>
    <w:rsid w:val="002858B5"/>
    <w:rsid w:val="00285D7E"/>
    <w:rsid w:val="002863F0"/>
    <w:rsid w:val="00286D0B"/>
    <w:rsid w:val="00290F19"/>
    <w:rsid w:val="002930B2"/>
    <w:rsid w:val="00294BBA"/>
    <w:rsid w:val="00295B52"/>
    <w:rsid w:val="00297214"/>
    <w:rsid w:val="002A09E5"/>
    <w:rsid w:val="002A3C41"/>
    <w:rsid w:val="002A3D17"/>
    <w:rsid w:val="002A4BF5"/>
    <w:rsid w:val="002A54C0"/>
    <w:rsid w:val="002B2376"/>
    <w:rsid w:val="002B2CFD"/>
    <w:rsid w:val="002B4054"/>
    <w:rsid w:val="002B480E"/>
    <w:rsid w:val="002B4D02"/>
    <w:rsid w:val="002B564A"/>
    <w:rsid w:val="002B6D2E"/>
    <w:rsid w:val="002C0890"/>
    <w:rsid w:val="002C0D27"/>
    <w:rsid w:val="002C4336"/>
    <w:rsid w:val="002C581B"/>
    <w:rsid w:val="002C5FEA"/>
    <w:rsid w:val="002C690A"/>
    <w:rsid w:val="002C6F50"/>
    <w:rsid w:val="002D41F7"/>
    <w:rsid w:val="002D754A"/>
    <w:rsid w:val="002D77F3"/>
    <w:rsid w:val="002E1C00"/>
    <w:rsid w:val="002E223C"/>
    <w:rsid w:val="002E2F38"/>
    <w:rsid w:val="002E40B3"/>
    <w:rsid w:val="002E7099"/>
    <w:rsid w:val="002E7AA8"/>
    <w:rsid w:val="002F2771"/>
    <w:rsid w:val="002F29A8"/>
    <w:rsid w:val="002F7356"/>
    <w:rsid w:val="00301CBC"/>
    <w:rsid w:val="00306071"/>
    <w:rsid w:val="003061F0"/>
    <w:rsid w:val="003121C1"/>
    <w:rsid w:val="00315DA0"/>
    <w:rsid w:val="003169EF"/>
    <w:rsid w:val="00316C00"/>
    <w:rsid w:val="003202B8"/>
    <w:rsid w:val="003219B0"/>
    <w:rsid w:val="00321AAB"/>
    <w:rsid w:val="00321FB7"/>
    <w:rsid w:val="0032234A"/>
    <w:rsid w:val="00322F6F"/>
    <w:rsid w:val="0032373B"/>
    <w:rsid w:val="003245BB"/>
    <w:rsid w:val="00324843"/>
    <w:rsid w:val="00325487"/>
    <w:rsid w:val="003256E5"/>
    <w:rsid w:val="003262D4"/>
    <w:rsid w:val="00327380"/>
    <w:rsid w:val="00327BFA"/>
    <w:rsid w:val="00331D1F"/>
    <w:rsid w:val="00335744"/>
    <w:rsid w:val="00337680"/>
    <w:rsid w:val="00337788"/>
    <w:rsid w:val="00341645"/>
    <w:rsid w:val="0034244B"/>
    <w:rsid w:val="00344B6F"/>
    <w:rsid w:val="0034691A"/>
    <w:rsid w:val="00350EAC"/>
    <w:rsid w:val="003514A0"/>
    <w:rsid w:val="00351AC8"/>
    <w:rsid w:val="00351F31"/>
    <w:rsid w:val="00351FE4"/>
    <w:rsid w:val="00354CEB"/>
    <w:rsid w:val="00357E4F"/>
    <w:rsid w:val="00361A68"/>
    <w:rsid w:val="00362CE2"/>
    <w:rsid w:val="0036387A"/>
    <w:rsid w:val="00364E4F"/>
    <w:rsid w:val="00366579"/>
    <w:rsid w:val="00367C5E"/>
    <w:rsid w:val="00370CEA"/>
    <w:rsid w:val="00373EEB"/>
    <w:rsid w:val="00375AEC"/>
    <w:rsid w:val="00375E90"/>
    <w:rsid w:val="00375EB8"/>
    <w:rsid w:val="00377AE4"/>
    <w:rsid w:val="003822E4"/>
    <w:rsid w:val="00383B95"/>
    <w:rsid w:val="00383DD1"/>
    <w:rsid w:val="00385C1E"/>
    <w:rsid w:val="003863C7"/>
    <w:rsid w:val="00386811"/>
    <w:rsid w:val="003869C6"/>
    <w:rsid w:val="00387B30"/>
    <w:rsid w:val="00390132"/>
    <w:rsid w:val="0039181B"/>
    <w:rsid w:val="003923FD"/>
    <w:rsid w:val="00397372"/>
    <w:rsid w:val="003A1E4D"/>
    <w:rsid w:val="003A27D7"/>
    <w:rsid w:val="003A494E"/>
    <w:rsid w:val="003B3379"/>
    <w:rsid w:val="003B3C47"/>
    <w:rsid w:val="003B3F96"/>
    <w:rsid w:val="003B4837"/>
    <w:rsid w:val="003B5BFF"/>
    <w:rsid w:val="003B6C8B"/>
    <w:rsid w:val="003C12AF"/>
    <w:rsid w:val="003C231A"/>
    <w:rsid w:val="003C4BE4"/>
    <w:rsid w:val="003C4DE4"/>
    <w:rsid w:val="003C6557"/>
    <w:rsid w:val="003C73C4"/>
    <w:rsid w:val="003D10A2"/>
    <w:rsid w:val="003D1A80"/>
    <w:rsid w:val="003D3DD3"/>
    <w:rsid w:val="003D48BF"/>
    <w:rsid w:val="003D5621"/>
    <w:rsid w:val="003D5F32"/>
    <w:rsid w:val="003E0069"/>
    <w:rsid w:val="003E138D"/>
    <w:rsid w:val="003E1820"/>
    <w:rsid w:val="003E1A73"/>
    <w:rsid w:val="003E49BA"/>
    <w:rsid w:val="003F0C22"/>
    <w:rsid w:val="003F2224"/>
    <w:rsid w:val="003F3D57"/>
    <w:rsid w:val="003F7C22"/>
    <w:rsid w:val="003F7CF8"/>
    <w:rsid w:val="0040057B"/>
    <w:rsid w:val="004012BB"/>
    <w:rsid w:val="004025D2"/>
    <w:rsid w:val="00404297"/>
    <w:rsid w:val="004052BC"/>
    <w:rsid w:val="004065B5"/>
    <w:rsid w:val="004066C3"/>
    <w:rsid w:val="0041159D"/>
    <w:rsid w:val="00411964"/>
    <w:rsid w:val="00412EA0"/>
    <w:rsid w:val="00416EC6"/>
    <w:rsid w:val="00416F0F"/>
    <w:rsid w:val="00421016"/>
    <w:rsid w:val="00421788"/>
    <w:rsid w:val="00423145"/>
    <w:rsid w:val="00423B65"/>
    <w:rsid w:val="00425406"/>
    <w:rsid w:val="004314E1"/>
    <w:rsid w:val="00432002"/>
    <w:rsid w:val="00436550"/>
    <w:rsid w:val="0043714A"/>
    <w:rsid w:val="0044117C"/>
    <w:rsid w:val="00443739"/>
    <w:rsid w:val="0044558B"/>
    <w:rsid w:val="004456A6"/>
    <w:rsid w:val="00446980"/>
    <w:rsid w:val="00446FDF"/>
    <w:rsid w:val="00447219"/>
    <w:rsid w:val="004509E3"/>
    <w:rsid w:val="00451AD9"/>
    <w:rsid w:val="00453916"/>
    <w:rsid w:val="00456927"/>
    <w:rsid w:val="00456F87"/>
    <w:rsid w:val="004620F7"/>
    <w:rsid w:val="00463ADA"/>
    <w:rsid w:val="00463FCE"/>
    <w:rsid w:val="00464745"/>
    <w:rsid w:val="0046558B"/>
    <w:rsid w:val="004710A9"/>
    <w:rsid w:val="00473614"/>
    <w:rsid w:val="004736A8"/>
    <w:rsid w:val="00473E49"/>
    <w:rsid w:val="0047764F"/>
    <w:rsid w:val="00477C74"/>
    <w:rsid w:val="004839FC"/>
    <w:rsid w:val="004860A3"/>
    <w:rsid w:val="00486736"/>
    <w:rsid w:val="00492676"/>
    <w:rsid w:val="00494B2E"/>
    <w:rsid w:val="004A0DCC"/>
    <w:rsid w:val="004A0DF8"/>
    <w:rsid w:val="004A0E2E"/>
    <w:rsid w:val="004A348D"/>
    <w:rsid w:val="004A68AC"/>
    <w:rsid w:val="004A6C6D"/>
    <w:rsid w:val="004A6D51"/>
    <w:rsid w:val="004B1B49"/>
    <w:rsid w:val="004B5647"/>
    <w:rsid w:val="004B5970"/>
    <w:rsid w:val="004C0F52"/>
    <w:rsid w:val="004C2616"/>
    <w:rsid w:val="004C3597"/>
    <w:rsid w:val="004C478E"/>
    <w:rsid w:val="004C4DA4"/>
    <w:rsid w:val="004D0595"/>
    <w:rsid w:val="004D159E"/>
    <w:rsid w:val="004D1F57"/>
    <w:rsid w:val="004D36C5"/>
    <w:rsid w:val="004D49FC"/>
    <w:rsid w:val="004D7047"/>
    <w:rsid w:val="004E4587"/>
    <w:rsid w:val="004E4FB3"/>
    <w:rsid w:val="004F3F2F"/>
    <w:rsid w:val="004F47B4"/>
    <w:rsid w:val="004F4A4B"/>
    <w:rsid w:val="004F7118"/>
    <w:rsid w:val="00501EC5"/>
    <w:rsid w:val="00501EFF"/>
    <w:rsid w:val="005042A3"/>
    <w:rsid w:val="00511362"/>
    <w:rsid w:val="00512636"/>
    <w:rsid w:val="00513B89"/>
    <w:rsid w:val="00515CD1"/>
    <w:rsid w:val="0051621E"/>
    <w:rsid w:val="00520AE1"/>
    <w:rsid w:val="00525E5A"/>
    <w:rsid w:val="00526863"/>
    <w:rsid w:val="005270F9"/>
    <w:rsid w:val="00527D9D"/>
    <w:rsid w:val="00531867"/>
    <w:rsid w:val="005352F2"/>
    <w:rsid w:val="00536637"/>
    <w:rsid w:val="00537E4F"/>
    <w:rsid w:val="00542505"/>
    <w:rsid w:val="00543B3B"/>
    <w:rsid w:val="00543BA8"/>
    <w:rsid w:val="005444AD"/>
    <w:rsid w:val="00544D24"/>
    <w:rsid w:val="00547A23"/>
    <w:rsid w:val="00552666"/>
    <w:rsid w:val="005527C9"/>
    <w:rsid w:val="00556277"/>
    <w:rsid w:val="00556E76"/>
    <w:rsid w:val="00557EC6"/>
    <w:rsid w:val="00561C20"/>
    <w:rsid w:val="00562D5D"/>
    <w:rsid w:val="00563C6F"/>
    <w:rsid w:val="00564E57"/>
    <w:rsid w:val="00564F21"/>
    <w:rsid w:val="005656CA"/>
    <w:rsid w:val="0056733A"/>
    <w:rsid w:val="005704BD"/>
    <w:rsid w:val="00571463"/>
    <w:rsid w:val="00573556"/>
    <w:rsid w:val="00573D2F"/>
    <w:rsid w:val="00575C81"/>
    <w:rsid w:val="00576DCB"/>
    <w:rsid w:val="00577922"/>
    <w:rsid w:val="00580B0D"/>
    <w:rsid w:val="005812A0"/>
    <w:rsid w:val="00583C61"/>
    <w:rsid w:val="005843DE"/>
    <w:rsid w:val="00585B4E"/>
    <w:rsid w:val="00593BF7"/>
    <w:rsid w:val="00593F13"/>
    <w:rsid w:val="005948E1"/>
    <w:rsid w:val="005967D7"/>
    <w:rsid w:val="0059682F"/>
    <w:rsid w:val="005969FB"/>
    <w:rsid w:val="005A17E0"/>
    <w:rsid w:val="005A1AB1"/>
    <w:rsid w:val="005A4FF0"/>
    <w:rsid w:val="005A5E51"/>
    <w:rsid w:val="005A6F78"/>
    <w:rsid w:val="005B1112"/>
    <w:rsid w:val="005B31E6"/>
    <w:rsid w:val="005B3762"/>
    <w:rsid w:val="005B5874"/>
    <w:rsid w:val="005B6B53"/>
    <w:rsid w:val="005B7481"/>
    <w:rsid w:val="005C26F5"/>
    <w:rsid w:val="005C5612"/>
    <w:rsid w:val="005D1096"/>
    <w:rsid w:val="005D499D"/>
    <w:rsid w:val="005D5512"/>
    <w:rsid w:val="005E211C"/>
    <w:rsid w:val="005E3501"/>
    <w:rsid w:val="005E3BC0"/>
    <w:rsid w:val="005E3D30"/>
    <w:rsid w:val="005E6A07"/>
    <w:rsid w:val="005E770D"/>
    <w:rsid w:val="005F3D7B"/>
    <w:rsid w:val="005F525A"/>
    <w:rsid w:val="005F5266"/>
    <w:rsid w:val="005F54F5"/>
    <w:rsid w:val="005F5BE3"/>
    <w:rsid w:val="005F6774"/>
    <w:rsid w:val="005F68FD"/>
    <w:rsid w:val="005F74C0"/>
    <w:rsid w:val="005F76F7"/>
    <w:rsid w:val="006011C4"/>
    <w:rsid w:val="00605199"/>
    <w:rsid w:val="00606E30"/>
    <w:rsid w:val="00606F76"/>
    <w:rsid w:val="00607585"/>
    <w:rsid w:val="0061133B"/>
    <w:rsid w:val="00615DB6"/>
    <w:rsid w:val="00621187"/>
    <w:rsid w:val="00623EB8"/>
    <w:rsid w:val="00624C5E"/>
    <w:rsid w:val="00624C78"/>
    <w:rsid w:val="006257B5"/>
    <w:rsid w:val="00626FD8"/>
    <w:rsid w:val="00631B08"/>
    <w:rsid w:val="00640CAD"/>
    <w:rsid w:val="006464CD"/>
    <w:rsid w:val="0064778F"/>
    <w:rsid w:val="0065080F"/>
    <w:rsid w:val="00650D85"/>
    <w:rsid w:val="006528C9"/>
    <w:rsid w:val="006535EC"/>
    <w:rsid w:val="006537C5"/>
    <w:rsid w:val="00653B76"/>
    <w:rsid w:val="00654B61"/>
    <w:rsid w:val="00656745"/>
    <w:rsid w:val="0066283C"/>
    <w:rsid w:val="00663117"/>
    <w:rsid w:val="0066613B"/>
    <w:rsid w:val="00667228"/>
    <w:rsid w:val="006673E8"/>
    <w:rsid w:val="00671B98"/>
    <w:rsid w:val="00671EC0"/>
    <w:rsid w:val="00674F3B"/>
    <w:rsid w:val="00676F48"/>
    <w:rsid w:val="0067770B"/>
    <w:rsid w:val="00677B6A"/>
    <w:rsid w:val="00684C47"/>
    <w:rsid w:val="00686056"/>
    <w:rsid w:val="006873FD"/>
    <w:rsid w:val="006878F2"/>
    <w:rsid w:val="00691C32"/>
    <w:rsid w:val="0069224F"/>
    <w:rsid w:val="006949A5"/>
    <w:rsid w:val="00696F4B"/>
    <w:rsid w:val="006A3AA3"/>
    <w:rsid w:val="006A473D"/>
    <w:rsid w:val="006A4AA7"/>
    <w:rsid w:val="006A4AAF"/>
    <w:rsid w:val="006B0513"/>
    <w:rsid w:val="006B16E0"/>
    <w:rsid w:val="006B24BB"/>
    <w:rsid w:val="006B2A80"/>
    <w:rsid w:val="006B30D1"/>
    <w:rsid w:val="006B4816"/>
    <w:rsid w:val="006B697A"/>
    <w:rsid w:val="006C1066"/>
    <w:rsid w:val="006C1A65"/>
    <w:rsid w:val="006C2BCA"/>
    <w:rsid w:val="006C2DFE"/>
    <w:rsid w:val="006C2EA4"/>
    <w:rsid w:val="006C3015"/>
    <w:rsid w:val="006C34A6"/>
    <w:rsid w:val="006C5AD3"/>
    <w:rsid w:val="006C617F"/>
    <w:rsid w:val="006C7A6B"/>
    <w:rsid w:val="006D4B07"/>
    <w:rsid w:val="006D57F9"/>
    <w:rsid w:val="006D6A17"/>
    <w:rsid w:val="006F07CA"/>
    <w:rsid w:val="006F4AE8"/>
    <w:rsid w:val="00704199"/>
    <w:rsid w:val="00704C47"/>
    <w:rsid w:val="00705766"/>
    <w:rsid w:val="00706AD7"/>
    <w:rsid w:val="00711508"/>
    <w:rsid w:val="007117BF"/>
    <w:rsid w:val="00712200"/>
    <w:rsid w:val="00712E1D"/>
    <w:rsid w:val="00713A78"/>
    <w:rsid w:val="007172D9"/>
    <w:rsid w:val="00720888"/>
    <w:rsid w:val="0072138D"/>
    <w:rsid w:val="00721903"/>
    <w:rsid w:val="007231C3"/>
    <w:rsid w:val="007233ED"/>
    <w:rsid w:val="00725415"/>
    <w:rsid w:val="00726223"/>
    <w:rsid w:val="00726969"/>
    <w:rsid w:val="00726BB0"/>
    <w:rsid w:val="00726C0B"/>
    <w:rsid w:val="0072746D"/>
    <w:rsid w:val="007312AA"/>
    <w:rsid w:val="007318E9"/>
    <w:rsid w:val="007330A4"/>
    <w:rsid w:val="00733C43"/>
    <w:rsid w:val="007342AA"/>
    <w:rsid w:val="00734895"/>
    <w:rsid w:val="00734C1B"/>
    <w:rsid w:val="007401D1"/>
    <w:rsid w:val="007440CA"/>
    <w:rsid w:val="007460A4"/>
    <w:rsid w:val="00750D3B"/>
    <w:rsid w:val="00750F84"/>
    <w:rsid w:val="007516F0"/>
    <w:rsid w:val="00752C34"/>
    <w:rsid w:val="007532F8"/>
    <w:rsid w:val="007533D4"/>
    <w:rsid w:val="00753A99"/>
    <w:rsid w:val="007550AB"/>
    <w:rsid w:val="00755E4C"/>
    <w:rsid w:val="0075651C"/>
    <w:rsid w:val="007566B4"/>
    <w:rsid w:val="007604FB"/>
    <w:rsid w:val="007653DA"/>
    <w:rsid w:val="007656B8"/>
    <w:rsid w:val="0076614E"/>
    <w:rsid w:val="00771210"/>
    <w:rsid w:val="00773725"/>
    <w:rsid w:val="00775C3B"/>
    <w:rsid w:val="00782D17"/>
    <w:rsid w:val="007832F9"/>
    <w:rsid w:val="00784EB7"/>
    <w:rsid w:val="00786702"/>
    <w:rsid w:val="00791090"/>
    <w:rsid w:val="0079305A"/>
    <w:rsid w:val="00793D5A"/>
    <w:rsid w:val="007962C2"/>
    <w:rsid w:val="007A1421"/>
    <w:rsid w:val="007B1530"/>
    <w:rsid w:val="007B2075"/>
    <w:rsid w:val="007B29C4"/>
    <w:rsid w:val="007B2FB1"/>
    <w:rsid w:val="007B4049"/>
    <w:rsid w:val="007B4562"/>
    <w:rsid w:val="007B52AE"/>
    <w:rsid w:val="007B536F"/>
    <w:rsid w:val="007B5951"/>
    <w:rsid w:val="007B7072"/>
    <w:rsid w:val="007B77A3"/>
    <w:rsid w:val="007C008A"/>
    <w:rsid w:val="007C0C20"/>
    <w:rsid w:val="007C131B"/>
    <w:rsid w:val="007C2074"/>
    <w:rsid w:val="007C4B7D"/>
    <w:rsid w:val="007C5132"/>
    <w:rsid w:val="007C5865"/>
    <w:rsid w:val="007C7944"/>
    <w:rsid w:val="007C7C55"/>
    <w:rsid w:val="007D009E"/>
    <w:rsid w:val="007D0BEE"/>
    <w:rsid w:val="007D0DEC"/>
    <w:rsid w:val="007D23CC"/>
    <w:rsid w:val="007D3141"/>
    <w:rsid w:val="007D3C3B"/>
    <w:rsid w:val="007D59BD"/>
    <w:rsid w:val="007D6A93"/>
    <w:rsid w:val="007E0080"/>
    <w:rsid w:val="007E03C0"/>
    <w:rsid w:val="007E2034"/>
    <w:rsid w:val="007E2836"/>
    <w:rsid w:val="007E2F58"/>
    <w:rsid w:val="007E568A"/>
    <w:rsid w:val="007E5705"/>
    <w:rsid w:val="007E5CFC"/>
    <w:rsid w:val="007E5E4C"/>
    <w:rsid w:val="007E6071"/>
    <w:rsid w:val="007F0D03"/>
    <w:rsid w:val="007F120E"/>
    <w:rsid w:val="007F3E29"/>
    <w:rsid w:val="007F4828"/>
    <w:rsid w:val="007F536E"/>
    <w:rsid w:val="008005C8"/>
    <w:rsid w:val="008006BE"/>
    <w:rsid w:val="00802289"/>
    <w:rsid w:val="0080326A"/>
    <w:rsid w:val="0080397A"/>
    <w:rsid w:val="00804EEB"/>
    <w:rsid w:val="00807054"/>
    <w:rsid w:val="0080728A"/>
    <w:rsid w:val="00807CF0"/>
    <w:rsid w:val="00811255"/>
    <w:rsid w:val="00811819"/>
    <w:rsid w:val="00811833"/>
    <w:rsid w:val="00813DBC"/>
    <w:rsid w:val="00813F21"/>
    <w:rsid w:val="00813F7A"/>
    <w:rsid w:val="008145D1"/>
    <w:rsid w:val="00817AA6"/>
    <w:rsid w:val="00821F18"/>
    <w:rsid w:val="00822776"/>
    <w:rsid w:val="0082290C"/>
    <w:rsid w:val="00822995"/>
    <w:rsid w:val="00822FC7"/>
    <w:rsid w:val="008242AF"/>
    <w:rsid w:val="00825CB7"/>
    <w:rsid w:val="00826CDF"/>
    <w:rsid w:val="00830AA3"/>
    <w:rsid w:val="00832D81"/>
    <w:rsid w:val="00832E98"/>
    <w:rsid w:val="00835EC8"/>
    <w:rsid w:val="00840478"/>
    <w:rsid w:val="00840F36"/>
    <w:rsid w:val="00841FC3"/>
    <w:rsid w:val="00843042"/>
    <w:rsid w:val="008439F7"/>
    <w:rsid w:val="008458A0"/>
    <w:rsid w:val="00846C11"/>
    <w:rsid w:val="00847D66"/>
    <w:rsid w:val="008525CE"/>
    <w:rsid w:val="00852E3B"/>
    <w:rsid w:val="00853A34"/>
    <w:rsid w:val="00854366"/>
    <w:rsid w:val="00854AB8"/>
    <w:rsid w:val="00855A9A"/>
    <w:rsid w:val="00856A0E"/>
    <w:rsid w:val="00860027"/>
    <w:rsid w:val="0086058B"/>
    <w:rsid w:val="00861A2B"/>
    <w:rsid w:val="008631CE"/>
    <w:rsid w:val="00863EC6"/>
    <w:rsid w:val="0086443E"/>
    <w:rsid w:val="00864D46"/>
    <w:rsid w:val="00867C22"/>
    <w:rsid w:val="00872FC8"/>
    <w:rsid w:val="00872FD2"/>
    <w:rsid w:val="008734D3"/>
    <w:rsid w:val="00873633"/>
    <w:rsid w:val="00873D35"/>
    <w:rsid w:val="00876869"/>
    <w:rsid w:val="00880C01"/>
    <w:rsid w:val="00882158"/>
    <w:rsid w:val="008824E9"/>
    <w:rsid w:val="008825EA"/>
    <w:rsid w:val="00884724"/>
    <w:rsid w:val="008860A5"/>
    <w:rsid w:val="00891949"/>
    <w:rsid w:val="00891DE6"/>
    <w:rsid w:val="0089216A"/>
    <w:rsid w:val="00893050"/>
    <w:rsid w:val="00894F9A"/>
    <w:rsid w:val="0089531C"/>
    <w:rsid w:val="00896BD0"/>
    <w:rsid w:val="008A1C6F"/>
    <w:rsid w:val="008A296A"/>
    <w:rsid w:val="008A4787"/>
    <w:rsid w:val="008B04E0"/>
    <w:rsid w:val="008B26FD"/>
    <w:rsid w:val="008B2E86"/>
    <w:rsid w:val="008B38CF"/>
    <w:rsid w:val="008B3F26"/>
    <w:rsid w:val="008B4D70"/>
    <w:rsid w:val="008B51C1"/>
    <w:rsid w:val="008B5699"/>
    <w:rsid w:val="008B673F"/>
    <w:rsid w:val="008C0EAA"/>
    <w:rsid w:val="008C1B91"/>
    <w:rsid w:val="008C1FBD"/>
    <w:rsid w:val="008C2725"/>
    <w:rsid w:val="008C5A91"/>
    <w:rsid w:val="008C729B"/>
    <w:rsid w:val="008D449E"/>
    <w:rsid w:val="008D452F"/>
    <w:rsid w:val="008D4E6C"/>
    <w:rsid w:val="008D6B50"/>
    <w:rsid w:val="008D6F1F"/>
    <w:rsid w:val="008E0D02"/>
    <w:rsid w:val="008E18BB"/>
    <w:rsid w:val="008E2830"/>
    <w:rsid w:val="008E3008"/>
    <w:rsid w:val="008E38BF"/>
    <w:rsid w:val="008E5CB6"/>
    <w:rsid w:val="008E614F"/>
    <w:rsid w:val="008E7B8E"/>
    <w:rsid w:val="008E7ED3"/>
    <w:rsid w:val="008F241D"/>
    <w:rsid w:val="008F31BA"/>
    <w:rsid w:val="00900E84"/>
    <w:rsid w:val="00900FB4"/>
    <w:rsid w:val="0090236D"/>
    <w:rsid w:val="00904097"/>
    <w:rsid w:val="009053F7"/>
    <w:rsid w:val="00905422"/>
    <w:rsid w:val="00910F15"/>
    <w:rsid w:val="0091271D"/>
    <w:rsid w:val="00912B2A"/>
    <w:rsid w:val="00914D53"/>
    <w:rsid w:val="009247BB"/>
    <w:rsid w:val="00924FCB"/>
    <w:rsid w:val="009270A7"/>
    <w:rsid w:val="00930258"/>
    <w:rsid w:val="00930A39"/>
    <w:rsid w:val="00931A41"/>
    <w:rsid w:val="009350F0"/>
    <w:rsid w:val="009354F4"/>
    <w:rsid w:val="0093614A"/>
    <w:rsid w:val="00941460"/>
    <w:rsid w:val="009419A4"/>
    <w:rsid w:val="00945FD7"/>
    <w:rsid w:val="009468AC"/>
    <w:rsid w:val="009470A8"/>
    <w:rsid w:val="00951628"/>
    <w:rsid w:val="00951C5F"/>
    <w:rsid w:val="0095205C"/>
    <w:rsid w:val="00952D32"/>
    <w:rsid w:val="00957BA0"/>
    <w:rsid w:val="00960DA7"/>
    <w:rsid w:val="00961357"/>
    <w:rsid w:val="00961D14"/>
    <w:rsid w:val="00963638"/>
    <w:rsid w:val="00963B12"/>
    <w:rsid w:val="00964422"/>
    <w:rsid w:val="00973467"/>
    <w:rsid w:val="00977BEA"/>
    <w:rsid w:val="009805D8"/>
    <w:rsid w:val="00981444"/>
    <w:rsid w:val="00982C3A"/>
    <w:rsid w:val="00990D45"/>
    <w:rsid w:val="00991538"/>
    <w:rsid w:val="009928DA"/>
    <w:rsid w:val="0099372E"/>
    <w:rsid w:val="00993C02"/>
    <w:rsid w:val="00994C96"/>
    <w:rsid w:val="00994D9E"/>
    <w:rsid w:val="00995104"/>
    <w:rsid w:val="00995275"/>
    <w:rsid w:val="009A0464"/>
    <w:rsid w:val="009A14E4"/>
    <w:rsid w:val="009A187B"/>
    <w:rsid w:val="009A300F"/>
    <w:rsid w:val="009A3D1B"/>
    <w:rsid w:val="009A44A5"/>
    <w:rsid w:val="009A5C8C"/>
    <w:rsid w:val="009A78FD"/>
    <w:rsid w:val="009B0168"/>
    <w:rsid w:val="009B016F"/>
    <w:rsid w:val="009B058D"/>
    <w:rsid w:val="009B139F"/>
    <w:rsid w:val="009B2D95"/>
    <w:rsid w:val="009B46CB"/>
    <w:rsid w:val="009B60B8"/>
    <w:rsid w:val="009C3569"/>
    <w:rsid w:val="009C403B"/>
    <w:rsid w:val="009D19BA"/>
    <w:rsid w:val="009D3564"/>
    <w:rsid w:val="009D3847"/>
    <w:rsid w:val="009D46F2"/>
    <w:rsid w:val="009D49A9"/>
    <w:rsid w:val="009D4A35"/>
    <w:rsid w:val="009D5174"/>
    <w:rsid w:val="009D57E3"/>
    <w:rsid w:val="009D649A"/>
    <w:rsid w:val="009D69A0"/>
    <w:rsid w:val="009D7503"/>
    <w:rsid w:val="009E006D"/>
    <w:rsid w:val="009E0A65"/>
    <w:rsid w:val="009E1634"/>
    <w:rsid w:val="009E1C62"/>
    <w:rsid w:val="009E2663"/>
    <w:rsid w:val="009E30D8"/>
    <w:rsid w:val="009E469D"/>
    <w:rsid w:val="009E5122"/>
    <w:rsid w:val="009E5AB7"/>
    <w:rsid w:val="009E69C2"/>
    <w:rsid w:val="009E6D48"/>
    <w:rsid w:val="009F2C3D"/>
    <w:rsid w:val="00A004BB"/>
    <w:rsid w:val="00A03363"/>
    <w:rsid w:val="00A063EE"/>
    <w:rsid w:val="00A078BF"/>
    <w:rsid w:val="00A12114"/>
    <w:rsid w:val="00A124E1"/>
    <w:rsid w:val="00A134D3"/>
    <w:rsid w:val="00A141D7"/>
    <w:rsid w:val="00A15FCA"/>
    <w:rsid w:val="00A161A4"/>
    <w:rsid w:val="00A17957"/>
    <w:rsid w:val="00A205C0"/>
    <w:rsid w:val="00A207D6"/>
    <w:rsid w:val="00A20AF7"/>
    <w:rsid w:val="00A22C63"/>
    <w:rsid w:val="00A233BD"/>
    <w:rsid w:val="00A23C86"/>
    <w:rsid w:val="00A2424E"/>
    <w:rsid w:val="00A2777B"/>
    <w:rsid w:val="00A3005D"/>
    <w:rsid w:val="00A32258"/>
    <w:rsid w:val="00A33333"/>
    <w:rsid w:val="00A3623A"/>
    <w:rsid w:val="00A3626E"/>
    <w:rsid w:val="00A372F6"/>
    <w:rsid w:val="00A37554"/>
    <w:rsid w:val="00A40006"/>
    <w:rsid w:val="00A400ED"/>
    <w:rsid w:val="00A40F1F"/>
    <w:rsid w:val="00A43B3E"/>
    <w:rsid w:val="00A45747"/>
    <w:rsid w:val="00A50143"/>
    <w:rsid w:val="00A54C0E"/>
    <w:rsid w:val="00A5504E"/>
    <w:rsid w:val="00A551F5"/>
    <w:rsid w:val="00A60665"/>
    <w:rsid w:val="00A659E1"/>
    <w:rsid w:val="00A7281A"/>
    <w:rsid w:val="00A76A26"/>
    <w:rsid w:val="00A770FD"/>
    <w:rsid w:val="00A778B2"/>
    <w:rsid w:val="00A80E26"/>
    <w:rsid w:val="00A8362F"/>
    <w:rsid w:val="00A85445"/>
    <w:rsid w:val="00A900CC"/>
    <w:rsid w:val="00A9095F"/>
    <w:rsid w:val="00A92F20"/>
    <w:rsid w:val="00A93DB7"/>
    <w:rsid w:val="00A96EBE"/>
    <w:rsid w:val="00A97EDE"/>
    <w:rsid w:val="00AA1555"/>
    <w:rsid w:val="00AA29A8"/>
    <w:rsid w:val="00AA3480"/>
    <w:rsid w:val="00AA34E3"/>
    <w:rsid w:val="00AA4905"/>
    <w:rsid w:val="00AA4FB6"/>
    <w:rsid w:val="00AA5ECF"/>
    <w:rsid w:val="00AA6527"/>
    <w:rsid w:val="00AA7FC7"/>
    <w:rsid w:val="00AB0D82"/>
    <w:rsid w:val="00AB32A9"/>
    <w:rsid w:val="00AB39A7"/>
    <w:rsid w:val="00AB3DD5"/>
    <w:rsid w:val="00AB52DC"/>
    <w:rsid w:val="00AB7187"/>
    <w:rsid w:val="00AB7697"/>
    <w:rsid w:val="00AC02AA"/>
    <w:rsid w:val="00AC0EE3"/>
    <w:rsid w:val="00AC1D94"/>
    <w:rsid w:val="00AC2081"/>
    <w:rsid w:val="00AC21D2"/>
    <w:rsid w:val="00AC34C8"/>
    <w:rsid w:val="00AC3705"/>
    <w:rsid w:val="00AC6A41"/>
    <w:rsid w:val="00AD159F"/>
    <w:rsid w:val="00AD2C2B"/>
    <w:rsid w:val="00AD3FA4"/>
    <w:rsid w:val="00AD6475"/>
    <w:rsid w:val="00AD74FE"/>
    <w:rsid w:val="00AE0FC7"/>
    <w:rsid w:val="00AE1150"/>
    <w:rsid w:val="00AE4558"/>
    <w:rsid w:val="00AE6C40"/>
    <w:rsid w:val="00AE710A"/>
    <w:rsid w:val="00AF0FF3"/>
    <w:rsid w:val="00AF2C49"/>
    <w:rsid w:val="00AF7828"/>
    <w:rsid w:val="00AF7855"/>
    <w:rsid w:val="00B020E4"/>
    <w:rsid w:val="00B055B1"/>
    <w:rsid w:val="00B0660D"/>
    <w:rsid w:val="00B06697"/>
    <w:rsid w:val="00B11211"/>
    <w:rsid w:val="00B149F1"/>
    <w:rsid w:val="00B176C3"/>
    <w:rsid w:val="00B17D27"/>
    <w:rsid w:val="00B17DD1"/>
    <w:rsid w:val="00B20E03"/>
    <w:rsid w:val="00B223D7"/>
    <w:rsid w:val="00B22F79"/>
    <w:rsid w:val="00B253A1"/>
    <w:rsid w:val="00B2625B"/>
    <w:rsid w:val="00B262AB"/>
    <w:rsid w:val="00B30A0C"/>
    <w:rsid w:val="00B33982"/>
    <w:rsid w:val="00B33CB7"/>
    <w:rsid w:val="00B34473"/>
    <w:rsid w:val="00B352FA"/>
    <w:rsid w:val="00B35D2A"/>
    <w:rsid w:val="00B36B5C"/>
    <w:rsid w:val="00B36D31"/>
    <w:rsid w:val="00B37155"/>
    <w:rsid w:val="00B40015"/>
    <w:rsid w:val="00B40FB2"/>
    <w:rsid w:val="00B411FB"/>
    <w:rsid w:val="00B43146"/>
    <w:rsid w:val="00B433E4"/>
    <w:rsid w:val="00B46969"/>
    <w:rsid w:val="00B47A1D"/>
    <w:rsid w:val="00B5454B"/>
    <w:rsid w:val="00B55E78"/>
    <w:rsid w:val="00B617CD"/>
    <w:rsid w:val="00B643C6"/>
    <w:rsid w:val="00B649B8"/>
    <w:rsid w:val="00B65CD2"/>
    <w:rsid w:val="00B66531"/>
    <w:rsid w:val="00B665E6"/>
    <w:rsid w:val="00B66BCA"/>
    <w:rsid w:val="00B66FC9"/>
    <w:rsid w:val="00B717D9"/>
    <w:rsid w:val="00B71A98"/>
    <w:rsid w:val="00B73241"/>
    <w:rsid w:val="00B75526"/>
    <w:rsid w:val="00B76AF5"/>
    <w:rsid w:val="00B805E0"/>
    <w:rsid w:val="00B844BB"/>
    <w:rsid w:val="00B84555"/>
    <w:rsid w:val="00B85A31"/>
    <w:rsid w:val="00B91BEE"/>
    <w:rsid w:val="00B92BD7"/>
    <w:rsid w:val="00B939E9"/>
    <w:rsid w:val="00B955FF"/>
    <w:rsid w:val="00B962CB"/>
    <w:rsid w:val="00B96392"/>
    <w:rsid w:val="00B971E2"/>
    <w:rsid w:val="00BA0E81"/>
    <w:rsid w:val="00BA4927"/>
    <w:rsid w:val="00BA59A9"/>
    <w:rsid w:val="00BA686E"/>
    <w:rsid w:val="00BB245D"/>
    <w:rsid w:val="00BB3739"/>
    <w:rsid w:val="00BB3A44"/>
    <w:rsid w:val="00BB4A7A"/>
    <w:rsid w:val="00BB62D7"/>
    <w:rsid w:val="00BB67FB"/>
    <w:rsid w:val="00BB683D"/>
    <w:rsid w:val="00BB6CB3"/>
    <w:rsid w:val="00BC0047"/>
    <w:rsid w:val="00BC266F"/>
    <w:rsid w:val="00BC3609"/>
    <w:rsid w:val="00BC3CC3"/>
    <w:rsid w:val="00BC464B"/>
    <w:rsid w:val="00BC5B71"/>
    <w:rsid w:val="00BC6757"/>
    <w:rsid w:val="00BD4A2D"/>
    <w:rsid w:val="00BD5F12"/>
    <w:rsid w:val="00BE48D2"/>
    <w:rsid w:val="00BE5054"/>
    <w:rsid w:val="00BE77B1"/>
    <w:rsid w:val="00BF0C6F"/>
    <w:rsid w:val="00BF236B"/>
    <w:rsid w:val="00BF67EE"/>
    <w:rsid w:val="00BF6F8B"/>
    <w:rsid w:val="00BF7FBC"/>
    <w:rsid w:val="00C02F4F"/>
    <w:rsid w:val="00C0463E"/>
    <w:rsid w:val="00C04DCF"/>
    <w:rsid w:val="00C04F0F"/>
    <w:rsid w:val="00C06177"/>
    <w:rsid w:val="00C0668C"/>
    <w:rsid w:val="00C07596"/>
    <w:rsid w:val="00C075EA"/>
    <w:rsid w:val="00C07EAB"/>
    <w:rsid w:val="00C10314"/>
    <w:rsid w:val="00C108D6"/>
    <w:rsid w:val="00C11F6C"/>
    <w:rsid w:val="00C142C7"/>
    <w:rsid w:val="00C15782"/>
    <w:rsid w:val="00C158DA"/>
    <w:rsid w:val="00C1679B"/>
    <w:rsid w:val="00C16DF2"/>
    <w:rsid w:val="00C17C7C"/>
    <w:rsid w:val="00C22211"/>
    <w:rsid w:val="00C22C40"/>
    <w:rsid w:val="00C23990"/>
    <w:rsid w:val="00C25B5D"/>
    <w:rsid w:val="00C25EC1"/>
    <w:rsid w:val="00C26C11"/>
    <w:rsid w:val="00C30240"/>
    <w:rsid w:val="00C30436"/>
    <w:rsid w:val="00C3084B"/>
    <w:rsid w:val="00C346BD"/>
    <w:rsid w:val="00C34735"/>
    <w:rsid w:val="00C34C43"/>
    <w:rsid w:val="00C350AE"/>
    <w:rsid w:val="00C41688"/>
    <w:rsid w:val="00C41BEB"/>
    <w:rsid w:val="00C424C4"/>
    <w:rsid w:val="00C44792"/>
    <w:rsid w:val="00C44BA0"/>
    <w:rsid w:val="00C50A26"/>
    <w:rsid w:val="00C55B59"/>
    <w:rsid w:val="00C569E0"/>
    <w:rsid w:val="00C6112A"/>
    <w:rsid w:val="00C6118D"/>
    <w:rsid w:val="00C61AC6"/>
    <w:rsid w:val="00C64017"/>
    <w:rsid w:val="00C64CA0"/>
    <w:rsid w:val="00C64EE3"/>
    <w:rsid w:val="00C702C7"/>
    <w:rsid w:val="00C725BC"/>
    <w:rsid w:val="00C73234"/>
    <w:rsid w:val="00C7429C"/>
    <w:rsid w:val="00C75625"/>
    <w:rsid w:val="00C75CD5"/>
    <w:rsid w:val="00C762EB"/>
    <w:rsid w:val="00C77C42"/>
    <w:rsid w:val="00C845C8"/>
    <w:rsid w:val="00C8703B"/>
    <w:rsid w:val="00C87C68"/>
    <w:rsid w:val="00C911F0"/>
    <w:rsid w:val="00C913FA"/>
    <w:rsid w:val="00C949EC"/>
    <w:rsid w:val="00C96B23"/>
    <w:rsid w:val="00CA12C5"/>
    <w:rsid w:val="00CA25C9"/>
    <w:rsid w:val="00CA2A86"/>
    <w:rsid w:val="00CA4DF3"/>
    <w:rsid w:val="00CA4E63"/>
    <w:rsid w:val="00CA5687"/>
    <w:rsid w:val="00CA5B05"/>
    <w:rsid w:val="00CA5B97"/>
    <w:rsid w:val="00CB44D2"/>
    <w:rsid w:val="00CB7567"/>
    <w:rsid w:val="00CC0C49"/>
    <w:rsid w:val="00CC1F31"/>
    <w:rsid w:val="00CC1FF0"/>
    <w:rsid w:val="00CC2921"/>
    <w:rsid w:val="00CC2A1A"/>
    <w:rsid w:val="00CC30B7"/>
    <w:rsid w:val="00CC5E8F"/>
    <w:rsid w:val="00CD0058"/>
    <w:rsid w:val="00CD2F17"/>
    <w:rsid w:val="00CD4AA8"/>
    <w:rsid w:val="00CD4AC2"/>
    <w:rsid w:val="00CD5842"/>
    <w:rsid w:val="00CD5917"/>
    <w:rsid w:val="00CD6252"/>
    <w:rsid w:val="00CE1D9F"/>
    <w:rsid w:val="00CE40BE"/>
    <w:rsid w:val="00CE426B"/>
    <w:rsid w:val="00CE70C7"/>
    <w:rsid w:val="00CF1516"/>
    <w:rsid w:val="00CF2BDF"/>
    <w:rsid w:val="00CF3CA4"/>
    <w:rsid w:val="00CF546E"/>
    <w:rsid w:val="00CF7F7F"/>
    <w:rsid w:val="00D0023B"/>
    <w:rsid w:val="00D00492"/>
    <w:rsid w:val="00D00B79"/>
    <w:rsid w:val="00D01239"/>
    <w:rsid w:val="00D0233F"/>
    <w:rsid w:val="00D02663"/>
    <w:rsid w:val="00D049A9"/>
    <w:rsid w:val="00D06B85"/>
    <w:rsid w:val="00D07086"/>
    <w:rsid w:val="00D10A75"/>
    <w:rsid w:val="00D10FF2"/>
    <w:rsid w:val="00D169E3"/>
    <w:rsid w:val="00D17CFE"/>
    <w:rsid w:val="00D236E8"/>
    <w:rsid w:val="00D23D70"/>
    <w:rsid w:val="00D248F9"/>
    <w:rsid w:val="00D27368"/>
    <w:rsid w:val="00D27B73"/>
    <w:rsid w:val="00D31414"/>
    <w:rsid w:val="00D318D7"/>
    <w:rsid w:val="00D329DF"/>
    <w:rsid w:val="00D3393C"/>
    <w:rsid w:val="00D33A2B"/>
    <w:rsid w:val="00D33D5F"/>
    <w:rsid w:val="00D35007"/>
    <w:rsid w:val="00D35673"/>
    <w:rsid w:val="00D35C72"/>
    <w:rsid w:val="00D36E73"/>
    <w:rsid w:val="00D379F3"/>
    <w:rsid w:val="00D4280C"/>
    <w:rsid w:val="00D42F13"/>
    <w:rsid w:val="00D440A3"/>
    <w:rsid w:val="00D44F87"/>
    <w:rsid w:val="00D4544E"/>
    <w:rsid w:val="00D476B8"/>
    <w:rsid w:val="00D501F3"/>
    <w:rsid w:val="00D50F30"/>
    <w:rsid w:val="00D525BE"/>
    <w:rsid w:val="00D5297D"/>
    <w:rsid w:val="00D52A6A"/>
    <w:rsid w:val="00D55D8A"/>
    <w:rsid w:val="00D6041D"/>
    <w:rsid w:val="00D618F5"/>
    <w:rsid w:val="00D61DFC"/>
    <w:rsid w:val="00D65287"/>
    <w:rsid w:val="00D6592A"/>
    <w:rsid w:val="00D67689"/>
    <w:rsid w:val="00D70C58"/>
    <w:rsid w:val="00D75535"/>
    <w:rsid w:val="00D7627A"/>
    <w:rsid w:val="00D765A9"/>
    <w:rsid w:val="00D7681C"/>
    <w:rsid w:val="00D768FD"/>
    <w:rsid w:val="00D7732D"/>
    <w:rsid w:val="00D815D0"/>
    <w:rsid w:val="00D82708"/>
    <w:rsid w:val="00D849A2"/>
    <w:rsid w:val="00D8502A"/>
    <w:rsid w:val="00D86549"/>
    <w:rsid w:val="00D87290"/>
    <w:rsid w:val="00D90592"/>
    <w:rsid w:val="00D94FAE"/>
    <w:rsid w:val="00D95ACD"/>
    <w:rsid w:val="00D97392"/>
    <w:rsid w:val="00DA09A2"/>
    <w:rsid w:val="00DA1962"/>
    <w:rsid w:val="00DA2F80"/>
    <w:rsid w:val="00DA32C3"/>
    <w:rsid w:val="00DA3496"/>
    <w:rsid w:val="00DA5709"/>
    <w:rsid w:val="00DB0CB1"/>
    <w:rsid w:val="00DB2FED"/>
    <w:rsid w:val="00DB48C8"/>
    <w:rsid w:val="00DB5D79"/>
    <w:rsid w:val="00DB63F9"/>
    <w:rsid w:val="00DC3242"/>
    <w:rsid w:val="00DC4D91"/>
    <w:rsid w:val="00DC653D"/>
    <w:rsid w:val="00DC65D0"/>
    <w:rsid w:val="00DD0A36"/>
    <w:rsid w:val="00DD4517"/>
    <w:rsid w:val="00DD4D21"/>
    <w:rsid w:val="00DD5A1B"/>
    <w:rsid w:val="00DD6A1D"/>
    <w:rsid w:val="00DD6C9B"/>
    <w:rsid w:val="00DD715C"/>
    <w:rsid w:val="00DD74B4"/>
    <w:rsid w:val="00DE0A87"/>
    <w:rsid w:val="00DE15CA"/>
    <w:rsid w:val="00DE18BC"/>
    <w:rsid w:val="00DE301A"/>
    <w:rsid w:val="00DE3AF6"/>
    <w:rsid w:val="00DF1BBC"/>
    <w:rsid w:val="00DF4B62"/>
    <w:rsid w:val="00DF4E16"/>
    <w:rsid w:val="00DF6E33"/>
    <w:rsid w:val="00DF7682"/>
    <w:rsid w:val="00E0517E"/>
    <w:rsid w:val="00E10B82"/>
    <w:rsid w:val="00E13A3D"/>
    <w:rsid w:val="00E14805"/>
    <w:rsid w:val="00E1531E"/>
    <w:rsid w:val="00E15DEF"/>
    <w:rsid w:val="00E15E9E"/>
    <w:rsid w:val="00E16422"/>
    <w:rsid w:val="00E20B6F"/>
    <w:rsid w:val="00E20BA3"/>
    <w:rsid w:val="00E23CF8"/>
    <w:rsid w:val="00E24AE9"/>
    <w:rsid w:val="00E260CA"/>
    <w:rsid w:val="00E26113"/>
    <w:rsid w:val="00E266A4"/>
    <w:rsid w:val="00E27E53"/>
    <w:rsid w:val="00E32E4C"/>
    <w:rsid w:val="00E34873"/>
    <w:rsid w:val="00E35306"/>
    <w:rsid w:val="00E35847"/>
    <w:rsid w:val="00E36C7A"/>
    <w:rsid w:val="00E4362E"/>
    <w:rsid w:val="00E43799"/>
    <w:rsid w:val="00E50E59"/>
    <w:rsid w:val="00E51605"/>
    <w:rsid w:val="00E538C7"/>
    <w:rsid w:val="00E53A06"/>
    <w:rsid w:val="00E54BEF"/>
    <w:rsid w:val="00E56993"/>
    <w:rsid w:val="00E56F4A"/>
    <w:rsid w:val="00E6334E"/>
    <w:rsid w:val="00E63CD1"/>
    <w:rsid w:val="00E63DCC"/>
    <w:rsid w:val="00E6582F"/>
    <w:rsid w:val="00E6687F"/>
    <w:rsid w:val="00E73EB7"/>
    <w:rsid w:val="00E74F3D"/>
    <w:rsid w:val="00E76A68"/>
    <w:rsid w:val="00E76DFB"/>
    <w:rsid w:val="00E76E39"/>
    <w:rsid w:val="00E7797E"/>
    <w:rsid w:val="00E817C1"/>
    <w:rsid w:val="00E826FD"/>
    <w:rsid w:val="00E82807"/>
    <w:rsid w:val="00E85794"/>
    <w:rsid w:val="00E85DC2"/>
    <w:rsid w:val="00E8655C"/>
    <w:rsid w:val="00E86F7C"/>
    <w:rsid w:val="00E87432"/>
    <w:rsid w:val="00E91488"/>
    <w:rsid w:val="00E935D2"/>
    <w:rsid w:val="00E943B8"/>
    <w:rsid w:val="00E946FC"/>
    <w:rsid w:val="00E94AF3"/>
    <w:rsid w:val="00E94C20"/>
    <w:rsid w:val="00E94CD7"/>
    <w:rsid w:val="00E94FEB"/>
    <w:rsid w:val="00E97BE5"/>
    <w:rsid w:val="00EA19CE"/>
    <w:rsid w:val="00EA45E7"/>
    <w:rsid w:val="00EA56A9"/>
    <w:rsid w:val="00EA5C2D"/>
    <w:rsid w:val="00EA7160"/>
    <w:rsid w:val="00EB1674"/>
    <w:rsid w:val="00EB209E"/>
    <w:rsid w:val="00EB2598"/>
    <w:rsid w:val="00EB5BB4"/>
    <w:rsid w:val="00EB5CD1"/>
    <w:rsid w:val="00EB69A0"/>
    <w:rsid w:val="00EB7C01"/>
    <w:rsid w:val="00EC0E54"/>
    <w:rsid w:val="00EC562D"/>
    <w:rsid w:val="00EC6CC9"/>
    <w:rsid w:val="00ED3F6A"/>
    <w:rsid w:val="00ED43EA"/>
    <w:rsid w:val="00ED5DBC"/>
    <w:rsid w:val="00ED6C9E"/>
    <w:rsid w:val="00EE0C44"/>
    <w:rsid w:val="00EE16D4"/>
    <w:rsid w:val="00EE2C87"/>
    <w:rsid w:val="00EE61A2"/>
    <w:rsid w:val="00EE7056"/>
    <w:rsid w:val="00EF030D"/>
    <w:rsid w:val="00EF0925"/>
    <w:rsid w:val="00EF137B"/>
    <w:rsid w:val="00EF1671"/>
    <w:rsid w:val="00EF3872"/>
    <w:rsid w:val="00EF4086"/>
    <w:rsid w:val="00EF7BAF"/>
    <w:rsid w:val="00F03616"/>
    <w:rsid w:val="00F045B9"/>
    <w:rsid w:val="00F07831"/>
    <w:rsid w:val="00F07C53"/>
    <w:rsid w:val="00F10F16"/>
    <w:rsid w:val="00F132EE"/>
    <w:rsid w:val="00F1518C"/>
    <w:rsid w:val="00F15F5C"/>
    <w:rsid w:val="00F21465"/>
    <w:rsid w:val="00F22B2E"/>
    <w:rsid w:val="00F23266"/>
    <w:rsid w:val="00F27630"/>
    <w:rsid w:val="00F3081C"/>
    <w:rsid w:val="00F3205A"/>
    <w:rsid w:val="00F33A50"/>
    <w:rsid w:val="00F34508"/>
    <w:rsid w:val="00F34952"/>
    <w:rsid w:val="00F35E86"/>
    <w:rsid w:val="00F37032"/>
    <w:rsid w:val="00F37298"/>
    <w:rsid w:val="00F42A42"/>
    <w:rsid w:val="00F448EC"/>
    <w:rsid w:val="00F45343"/>
    <w:rsid w:val="00F46FDA"/>
    <w:rsid w:val="00F506EF"/>
    <w:rsid w:val="00F5140D"/>
    <w:rsid w:val="00F51618"/>
    <w:rsid w:val="00F53F0A"/>
    <w:rsid w:val="00F5567F"/>
    <w:rsid w:val="00F56097"/>
    <w:rsid w:val="00F565A3"/>
    <w:rsid w:val="00F56A6B"/>
    <w:rsid w:val="00F64334"/>
    <w:rsid w:val="00F64D97"/>
    <w:rsid w:val="00F6536F"/>
    <w:rsid w:val="00F65FDF"/>
    <w:rsid w:val="00F67C76"/>
    <w:rsid w:val="00F70730"/>
    <w:rsid w:val="00F7435C"/>
    <w:rsid w:val="00F767BB"/>
    <w:rsid w:val="00F7719E"/>
    <w:rsid w:val="00F85DE9"/>
    <w:rsid w:val="00F90520"/>
    <w:rsid w:val="00F9119D"/>
    <w:rsid w:val="00F923E3"/>
    <w:rsid w:val="00F94747"/>
    <w:rsid w:val="00F96134"/>
    <w:rsid w:val="00F973D7"/>
    <w:rsid w:val="00FA1A3A"/>
    <w:rsid w:val="00FA44D4"/>
    <w:rsid w:val="00FA6087"/>
    <w:rsid w:val="00FA63E6"/>
    <w:rsid w:val="00FA6EC4"/>
    <w:rsid w:val="00FB0CB7"/>
    <w:rsid w:val="00FB13CA"/>
    <w:rsid w:val="00FB1F4E"/>
    <w:rsid w:val="00FB2066"/>
    <w:rsid w:val="00FB25C1"/>
    <w:rsid w:val="00FB42A1"/>
    <w:rsid w:val="00FB4B23"/>
    <w:rsid w:val="00FB6C38"/>
    <w:rsid w:val="00FC0981"/>
    <w:rsid w:val="00FC2104"/>
    <w:rsid w:val="00FC2B0D"/>
    <w:rsid w:val="00FC3A87"/>
    <w:rsid w:val="00FC5065"/>
    <w:rsid w:val="00FC56CC"/>
    <w:rsid w:val="00FC5C06"/>
    <w:rsid w:val="00FC6AC6"/>
    <w:rsid w:val="00FD2D09"/>
    <w:rsid w:val="00FD30BA"/>
    <w:rsid w:val="00FD4552"/>
    <w:rsid w:val="00FD505C"/>
    <w:rsid w:val="00FD5421"/>
    <w:rsid w:val="00FD6048"/>
    <w:rsid w:val="00FE10D0"/>
    <w:rsid w:val="00FE67CA"/>
    <w:rsid w:val="00FE7E6F"/>
    <w:rsid w:val="00FF0F52"/>
    <w:rsid w:val="00FF1E8D"/>
    <w:rsid w:val="00FF1F00"/>
    <w:rsid w:val="00FF2C9C"/>
    <w:rsid w:val="00FF418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C44F"/>
  <w15:docId w15:val="{28606326-70CA-45F8-A293-85470EF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AB"/>
    <w:pPr>
      <w:spacing w:after="240" w:line="240" w:lineRule="atLeast"/>
    </w:pPr>
    <w:rPr>
      <w:sz w:val="18"/>
      <w:lang w:val="cs-CZ"/>
    </w:rPr>
  </w:style>
  <w:style w:type="paragraph" w:styleId="Heading1">
    <w:name w:val="heading 1"/>
    <w:basedOn w:val="Normal"/>
    <w:next w:val="Normal"/>
    <w:link w:val="Heading1Char"/>
    <w:uiPriority w:val="9"/>
    <w:qFormat/>
    <w:rsid w:val="00547A23"/>
    <w:pPr>
      <w:keepNext/>
      <w:keepLines/>
      <w:numPr>
        <w:numId w:val="9"/>
      </w:numPr>
      <w:spacing w:after="360" w:line="240" w:lineRule="auto"/>
      <w:outlineLvl w:val="0"/>
    </w:pPr>
    <w:rPr>
      <w:rFonts w:asciiTheme="majorHAnsi" w:eastAsiaTheme="majorEastAsia" w:hAnsiTheme="majorHAnsi" w:cstheme="majorBidi"/>
      <w:bCs/>
      <w:sz w:val="60"/>
      <w:szCs w:val="60"/>
    </w:rPr>
  </w:style>
  <w:style w:type="paragraph" w:styleId="Heading2">
    <w:name w:val="heading 2"/>
    <w:basedOn w:val="Normal"/>
    <w:next w:val="Normal"/>
    <w:link w:val="Heading2Char"/>
    <w:uiPriority w:val="9"/>
    <w:qFormat/>
    <w:rsid w:val="00EE7056"/>
    <w:pPr>
      <w:keepNext/>
      <w:keepLines/>
      <w:numPr>
        <w:ilvl w:val="1"/>
        <w:numId w:val="9"/>
      </w:numPr>
      <w:spacing w:before="360"/>
      <w:ind w:left="578" w:hanging="578"/>
      <w:outlineLvl w:val="1"/>
    </w:pPr>
    <w:rPr>
      <w:rFonts w:asciiTheme="majorHAnsi" w:eastAsiaTheme="majorEastAsia" w:hAnsiTheme="majorHAnsi" w:cstheme="majorBidi"/>
      <w:b/>
      <w:bCs/>
      <w:color w:val="86BC25" w:themeColor="accent1"/>
      <w:szCs w:val="26"/>
    </w:rPr>
  </w:style>
  <w:style w:type="paragraph" w:styleId="Heading3">
    <w:name w:val="heading 3"/>
    <w:basedOn w:val="Normal"/>
    <w:next w:val="Normal"/>
    <w:link w:val="Heading3Char"/>
    <w:uiPriority w:val="9"/>
    <w:qFormat/>
    <w:rsid w:val="00B5454B"/>
    <w:pPr>
      <w:keepNext/>
      <w:keepLines/>
      <w:numPr>
        <w:ilvl w:val="2"/>
        <w:numId w:val="8"/>
      </w:num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255D53"/>
    <w:pPr>
      <w:keepNext/>
      <w:keepLines/>
      <w:numPr>
        <w:ilvl w:val="3"/>
        <w:numId w:val="8"/>
      </w:numPr>
      <w:tabs>
        <w:tab w:val="left" w:pos="340"/>
      </w:tabs>
      <w:spacing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370CEA"/>
    <w:pPr>
      <w:keepNext/>
      <w:keepLines/>
      <w:numPr>
        <w:ilvl w:val="4"/>
        <w:numId w:val="8"/>
      </w:numPr>
      <w:spacing w:before="200" w:after="0"/>
      <w:outlineLvl w:val="4"/>
    </w:pPr>
    <w:rPr>
      <w:rFonts w:asciiTheme="majorHAnsi" w:eastAsiaTheme="majorEastAsia" w:hAnsiTheme="majorHAnsi" w:cstheme="majorBidi"/>
      <w:color w:val="425D12" w:themeColor="accent1" w:themeShade="7F"/>
    </w:rPr>
  </w:style>
  <w:style w:type="paragraph" w:styleId="Heading6">
    <w:name w:val="heading 6"/>
    <w:basedOn w:val="Normal"/>
    <w:next w:val="Normal"/>
    <w:link w:val="Heading6Char"/>
    <w:uiPriority w:val="9"/>
    <w:semiHidden/>
    <w:qFormat/>
    <w:rsid w:val="00370CEA"/>
    <w:pPr>
      <w:keepNext/>
      <w:keepLines/>
      <w:numPr>
        <w:ilvl w:val="5"/>
        <w:numId w:val="8"/>
      </w:numPr>
      <w:spacing w:before="200" w:after="0"/>
      <w:outlineLvl w:val="5"/>
    </w:pPr>
    <w:rPr>
      <w:rFonts w:asciiTheme="majorHAnsi" w:eastAsiaTheme="majorEastAsia" w:hAnsiTheme="majorHAnsi" w:cstheme="majorBidi"/>
      <w:i/>
      <w:iCs/>
      <w:color w:val="425D12" w:themeColor="accent1" w:themeShade="7F"/>
    </w:rPr>
  </w:style>
  <w:style w:type="paragraph" w:styleId="Heading7">
    <w:name w:val="heading 7"/>
    <w:basedOn w:val="Normal"/>
    <w:next w:val="Normal"/>
    <w:link w:val="Heading7Char"/>
    <w:uiPriority w:val="9"/>
    <w:semiHidden/>
    <w:qFormat/>
    <w:rsid w:val="00370C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70C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70C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23"/>
    <w:rPr>
      <w:rFonts w:asciiTheme="majorHAnsi" w:eastAsiaTheme="majorEastAsia" w:hAnsiTheme="majorHAnsi" w:cstheme="majorBidi"/>
      <w:bCs/>
      <w:sz w:val="60"/>
      <w:szCs w:val="60"/>
      <w:lang w:val="cs-CZ"/>
    </w:rPr>
  </w:style>
  <w:style w:type="character" w:customStyle="1" w:styleId="Heading2Char">
    <w:name w:val="Heading 2 Char"/>
    <w:basedOn w:val="DefaultParagraphFont"/>
    <w:link w:val="Heading2"/>
    <w:uiPriority w:val="9"/>
    <w:rsid w:val="00EE7056"/>
    <w:rPr>
      <w:rFonts w:asciiTheme="majorHAnsi" w:eastAsiaTheme="majorEastAsia" w:hAnsiTheme="majorHAnsi" w:cstheme="majorBidi"/>
      <w:b/>
      <w:bCs/>
      <w:color w:val="86BC25" w:themeColor="accent1"/>
      <w:sz w:val="18"/>
      <w:szCs w:val="26"/>
      <w:lang w:val="cs-CZ"/>
    </w:rPr>
  </w:style>
  <w:style w:type="table" w:styleId="TableGrid">
    <w:name w:val="Table Grid"/>
    <w:basedOn w:val="Table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qFormat/>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spacing w:after="0"/>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spacing w:after="0"/>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character" w:customStyle="1" w:styleId="Heading3Char">
    <w:name w:val="Heading 3 Char"/>
    <w:basedOn w:val="DefaultParagraphFont"/>
    <w:link w:val="Heading3"/>
    <w:uiPriority w:val="9"/>
    <w:rsid w:val="00B5454B"/>
    <w:rPr>
      <w:rFonts w:asciiTheme="majorHAnsi" w:eastAsiaTheme="majorEastAsia" w:hAnsiTheme="majorHAnsi" w:cstheme="majorBidi"/>
      <w:b/>
      <w:bCs/>
      <w:sz w:val="18"/>
      <w:lang w:val="cs-CZ"/>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cs-CZ"/>
    </w:rPr>
  </w:style>
  <w:style w:type="paragraph" w:styleId="FootnoteText">
    <w:name w:val="footnote text"/>
    <w:basedOn w:val="Normal"/>
    <w:link w:val="FootnoteTextChar"/>
    <w:rsid w:val="00F3081C"/>
    <w:pPr>
      <w:spacing w:after="0" w:line="240" w:lineRule="auto"/>
    </w:pPr>
    <w:rPr>
      <w:sz w:val="16"/>
      <w:szCs w:val="20"/>
    </w:rPr>
  </w:style>
  <w:style w:type="character" w:customStyle="1" w:styleId="FootnoteTextChar">
    <w:name w:val="Footnote Text Char"/>
    <w:basedOn w:val="DefaultParagraphFont"/>
    <w:link w:val="FootnoteText"/>
    <w:qFormat/>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aliases w:val="BVI fnr,Footnote symbol,Footnote Reference Number,PGI Fußnote Ziffer,Footnote Reference Superscript,Appel note de bas de p,Appel note de bas de page,Légende,Char Car Car Car Car,Voetnootverwijzing,Légende;Char Car Car Car Car,fr"/>
    <w:basedOn w:val="DefaultParagraphFont"/>
    <w:qFormat/>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7D009E"/>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aliases w:val="Schema"/>
    <w:basedOn w:val="Normal"/>
    <w:next w:val="Normal"/>
    <w:link w:val="CaptionChar"/>
    <w:qFormat/>
    <w:rsid w:val="00B46969"/>
    <w:pPr>
      <w:keepNext/>
      <w:spacing w:line="240" w:lineRule="auto"/>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C07596"/>
    <w:pPr>
      <w:tabs>
        <w:tab w:val="left" w:pos="440"/>
        <w:tab w:val="right" w:pos="9072"/>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TableNormal"/>
    <w:uiPriority w:val="99"/>
    <w:rsid w:val="001D5628"/>
    <w:pPr>
      <w:spacing w:after="0" w:line="240" w:lineRule="auto"/>
    </w:pPr>
    <w:rPr>
      <w:sz w:val="17"/>
    </w:rPr>
    <w:tblPr>
      <w:tblBorders>
        <w:top w:val="single" w:sz="6" w:space="0" w:color="D0D0CE" w:themeColor="background2"/>
        <w:bottom w:val="single" w:sz="6" w:space="0" w:color="D0D0CE" w:themeColor="background2"/>
        <w:insideH w:val="single" w:sz="6" w:space="0" w:color="D0D0CE" w:themeColor="background2"/>
      </w:tblBorders>
      <w:tblCellMar>
        <w:top w:w="57" w:type="dxa"/>
        <w:left w:w="0" w:type="dxa"/>
        <w:bottom w:w="57" w:type="dxa"/>
        <w:right w:w="0" w:type="dxa"/>
      </w:tblCellMar>
    </w:tblPr>
    <w:tblStylePr w:type="firstRow">
      <w:tblPr/>
      <w:tcPr>
        <w:tcBorders>
          <w:top w:val="single" w:sz="24" w:space="0" w:color="86BC25" w:themeColor="accent1"/>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Heading2"/>
    <w:qFormat/>
    <w:rsid w:val="00B66FC9"/>
    <w:pPr>
      <w:ind w:left="1080" w:hanging="360"/>
    </w:pPr>
  </w:style>
  <w:style w:type="paragraph" w:customStyle="1" w:styleId="Smlouvaheading1">
    <w:name w:val="Smlouva heading 1"/>
    <w:basedOn w:val="Normal"/>
    <w:link w:val="Smlouvaheading1Char"/>
    <w:qFormat/>
    <w:rsid w:val="00793D5A"/>
    <w:pPr>
      <w:numPr>
        <w:numId w:val="7"/>
      </w:numPr>
      <w:spacing w:before="240" w:after="120"/>
      <w:jc w:val="both"/>
    </w:pPr>
    <w:rPr>
      <w:rFonts w:ascii="Verdana" w:eastAsia="Verdana" w:hAnsi="Verdana" w:cs="Times New Roman"/>
      <w:b/>
    </w:rPr>
  </w:style>
  <w:style w:type="character" w:customStyle="1" w:styleId="Smlouvaheading1Char">
    <w:name w:val="Smlouva heading 1 Char"/>
    <w:link w:val="Smlouvaheading1"/>
    <w:qFormat/>
    <w:rsid w:val="00793D5A"/>
    <w:rPr>
      <w:rFonts w:ascii="Verdana" w:eastAsia="Verdana" w:hAnsi="Verdana" w:cs="Times New Roman"/>
      <w:b/>
      <w:sz w:val="18"/>
      <w:lang w:val="cs-CZ"/>
    </w:rPr>
  </w:style>
  <w:style w:type="paragraph" w:customStyle="1" w:styleId="Smlouvaheading2">
    <w:name w:val="Smlouva heading 2"/>
    <w:link w:val="Smlouvaheading2Char"/>
    <w:qFormat/>
    <w:rsid w:val="00793D5A"/>
    <w:pPr>
      <w:numPr>
        <w:ilvl w:val="1"/>
        <w:numId w:val="7"/>
      </w:numPr>
      <w:spacing w:before="120" w:after="120" w:line="240" w:lineRule="atLeast"/>
      <w:jc w:val="both"/>
    </w:pPr>
    <w:rPr>
      <w:rFonts w:ascii="Verdana" w:eastAsia="Verdana" w:hAnsi="Verdana" w:cs="Times New Roman"/>
      <w:sz w:val="18"/>
      <w:lang w:val="en-US"/>
    </w:rPr>
  </w:style>
  <w:style w:type="character" w:customStyle="1" w:styleId="Smlouvaheading2Char">
    <w:name w:val="Smlouva heading 2 Char"/>
    <w:link w:val="Smlouvaheading2"/>
    <w:rsid w:val="00793D5A"/>
    <w:rPr>
      <w:rFonts w:ascii="Verdana" w:eastAsia="Verdana" w:hAnsi="Verdana" w:cs="Times New Roman"/>
      <w:sz w:val="18"/>
      <w:lang w:val="en-US"/>
    </w:rPr>
  </w:style>
  <w:style w:type="paragraph" w:customStyle="1" w:styleId="Smlouvaheading3">
    <w:name w:val="Smlouva heading 3"/>
    <w:qFormat/>
    <w:rsid w:val="00793D5A"/>
    <w:pPr>
      <w:numPr>
        <w:ilvl w:val="2"/>
        <w:numId w:val="7"/>
      </w:numPr>
      <w:spacing w:after="120" w:line="240" w:lineRule="atLeast"/>
      <w:jc w:val="both"/>
    </w:pPr>
    <w:rPr>
      <w:rFonts w:ascii="Verdana" w:eastAsia="Verdana" w:hAnsi="Verdana" w:cs="Times New Roman"/>
      <w:sz w:val="18"/>
      <w:lang w:val="en-US"/>
    </w:rPr>
  </w:style>
  <w:style w:type="paragraph" w:customStyle="1" w:styleId="Smlouvaheading4">
    <w:name w:val="Smlouva heading 4"/>
    <w:qFormat/>
    <w:rsid w:val="00793D5A"/>
    <w:pPr>
      <w:numPr>
        <w:ilvl w:val="3"/>
        <w:numId w:val="7"/>
      </w:numPr>
      <w:spacing w:after="120" w:line="240" w:lineRule="atLeast"/>
      <w:jc w:val="both"/>
    </w:pPr>
    <w:rPr>
      <w:rFonts w:ascii="Verdana" w:eastAsia="Verdana" w:hAnsi="Verdana" w:cs="Times New Roman"/>
      <w:sz w:val="18"/>
      <w:lang w:val="en-US"/>
    </w:rPr>
  </w:style>
  <w:style w:type="paragraph" w:styleId="NormalWeb">
    <w:name w:val="Normal (Web)"/>
    <w:basedOn w:val="Normal"/>
    <w:uiPriority w:val="99"/>
    <w:semiHidden/>
    <w:unhideWhenUsed/>
    <w:rsid w:val="003D48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qFormat/>
    <w:rsid w:val="00E27E53"/>
    <w:rPr>
      <w:sz w:val="16"/>
      <w:szCs w:val="16"/>
    </w:rPr>
  </w:style>
  <w:style w:type="paragraph" w:styleId="CommentText">
    <w:name w:val="annotation text"/>
    <w:basedOn w:val="Normal"/>
    <w:link w:val="CommentTextChar"/>
    <w:uiPriority w:val="99"/>
    <w:semiHidden/>
    <w:rsid w:val="00E27E53"/>
    <w:pPr>
      <w:spacing w:line="240" w:lineRule="auto"/>
    </w:pPr>
    <w:rPr>
      <w:sz w:val="20"/>
      <w:szCs w:val="20"/>
    </w:rPr>
  </w:style>
  <w:style w:type="character" w:customStyle="1" w:styleId="CommentTextChar">
    <w:name w:val="Comment Text Char"/>
    <w:basedOn w:val="DefaultParagraphFont"/>
    <w:link w:val="CommentText"/>
    <w:uiPriority w:val="99"/>
    <w:semiHidden/>
    <w:rsid w:val="00E27E53"/>
    <w:rPr>
      <w:sz w:val="20"/>
      <w:szCs w:val="20"/>
      <w:lang w:val="cs-CZ"/>
    </w:rPr>
  </w:style>
  <w:style w:type="paragraph" w:styleId="CommentSubject">
    <w:name w:val="annotation subject"/>
    <w:basedOn w:val="CommentText"/>
    <w:next w:val="CommentText"/>
    <w:link w:val="CommentSubjectChar"/>
    <w:uiPriority w:val="99"/>
    <w:semiHidden/>
    <w:rsid w:val="00E27E53"/>
    <w:rPr>
      <w:b/>
      <w:bCs/>
    </w:rPr>
  </w:style>
  <w:style w:type="character" w:customStyle="1" w:styleId="CommentSubjectChar">
    <w:name w:val="Comment Subject Char"/>
    <w:basedOn w:val="CommentTextChar"/>
    <w:link w:val="CommentSubject"/>
    <w:uiPriority w:val="99"/>
    <w:semiHidden/>
    <w:rsid w:val="00E27E53"/>
    <w:rPr>
      <w:b/>
      <w:bCs/>
      <w:sz w:val="20"/>
      <w:szCs w:val="20"/>
      <w:lang w:val="cs-CZ"/>
    </w:rPr>
  </w:style>
  <w:style w:type="paragraph" w:styleId="ListParagraph">
    <w:name w:val="List Paragraph"/>
    <w:aliases w:val="A-Odrážky1,Odstavec_muj,Nad,_Odstavec se seznamem,Odstavec_muj1,Odstavec_muj2,Odstavec_muj3,Nad1,Odstavec_muj4,Nad2,List Paragraph2,Odstavec_muj5,Odstavec_muj6,Odstavec_muj7,Odstavec_muj8,Odstavec_muj9,List Paragraph1"/>
    <w:basedOn w:val="Normal"/>
    <w:link w:val="ListParagraphChar"/>
    <w:uiPriority w:val="35"/>
    <w:qFormat/>
    <w:rsid w:val="00335744"/>
    <w:pPr>
      <w:ind w:left="720"/>
      <w:contextualSpacing/>
    </w:pPr>
  </w:style>
  <w:style w:type="table" w:customStyle="1" w:styleId="ListTable3-Accent31">
    <w:name w:val="List Table 3 - Accent 31"/>
    <w:basedOn w:val="TableNormal"/>
    <w:uiPriority w:val="48"/>
    <w:rsid w:val="00D476B8"/>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paragraph" w:styleId="Revision">
    <w:name w:val="Revision"/>
    <w:hidden/>
    <w:uiPriority w:val="99"/>
    <w:semiHidden/>
    <w:rsid w:val="00D476B8"/>
    <w:pPr>
      <w:spacing w:after="0" w:line="240" w:lineRule="auto"/>
    </w:pPr>
    <w:rPr>
      <w:sz w:val="18"/>
      <w:lang w:val="cs-CZ"/>
    </w:rPr>
  </w:style>
  <w:style w:type="character" w:customStyle="1" w:styleId="ListParagraphChar">
    <w:name w:val="List Paragraph Char"/>
    <w:aliases w:val="A-Odrážky1 Char,Odstavec_muj Char,Nad Char,_Odstavec se seznamem Char,Odstavec_muj1 Char,Odstavec_muj2 Char,Odstavec_muj3 Char,Nad1 Char,Odstavec_muj4 Char,Nad2 Char,List Paragraph2 Char,Odstavec_muj5 Char,Odstavec_muj6 Char"/>
    <w:link w:val="ListParagraph"/>
    <w:uiPriority w:val="34"/>
    <w:qFormat/>
    <w:locked/>
    <w:rsid w:val="007D3141"/>
    <w:rPr>
      <w:sz w:val="18"/>
      <w:lang w:val="cs-CZ"/>
    </w:rPr>
  </w:style>
  <w:style w:type="table" w:customStyle="1" w:styleId="GridTable4-Accent11">
    <w:name w:val="Grid Table 4 - Accent 11"/>
    <w:basedOn w:val="TableNormal"/>
    <w:uiPriority w:val="49"/>
    <w:rsid w:val="007D3141"/>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character" w:customStyle="1" w:styleId="Heading5Char">
    <w:name w:val="Heading 5 Char"/>
    <w:basedOn w:val="DefaultParagraphFont"/>
    <w:link w:val="Heading5"/>
    <w:uiPriority w:val="9"/>
    <w:semiHidden/>
    <w:rsid w:val="00370CEA"/>
    <w:rPr>
      <w:rFonts w:asciiTheme="majorHAnsi" w:eastAsiaTheme="majorEastAsia" w:hAnsiTheme="majorHAnsi" w:cstheme="majorBidi"/>
      <w:color w:val="425D12" w:themeColor="accent1" w:themeShade="7F"/>
      <w:sz w:val="18"/>
      <w:lang w:val="cs-CZ"/>
    </w:rPr>
  </w:style>
  <w:style w:type="character" w:customStyle="1" w:styleId="Heading6Char">
    <w:name w:val="Heading 6 Char"/>
    <w:basedOn w:val="DefaultParagraphFont"/>
    <w:link w:val="Heading6"/>
    <w:uiPriority w:val="9"/>
    <w:semiHidden/>
    <w:rsid w:val="00370CEA"/>
    <w:rPr>
      <w:rFonts w:asciiTheme="majorHAnsi" w:eastAsiaTheme="majorEastAsia" w:hAnsiTheme="majorHAnsi" w:cstheme="majorBidi"/>
      <w:i/>
      <w:iCs/>
      <w:color w:val="425D12" w:themeColor="accent1" w:themeShade="7F"/>
      <w:sz w:val="18"/>
      <w:lang w:val="cs-CZ"/>
    </w:rPr>
  </w:style>
  <w:style w:type="character" w:customStyle="1" w:styleId="Heading7Char">
    <w:name w:val="Heading 7 Char"/>
    <w:basedOn w:val="DefaultParagraphFont"/>
    <w:link w:val="Heading7"/>
    <w:uiPriority w:val="9"/>
    <w:semiHidden/>
    <w:rsid w:val="00370CEA"/>
    <w:rPr>
      <w:rFonts w:asciiTheme="majorHAnsi" w:eastAsiaTheme="majorEastAsia" w:hAnsiTheme="majorHAnsi" w:cstheme="majorBidi"/>
      <w:i/>
      <w:iCs/>
      <w:color w:val="404040" w:themeColor="text1" w:themeTint="BF"/>
      <w:sz w:val="18"/>
      <w:lang w:val="cs-CZ"/>
    </w:rPr>
  </w:style>
  <w:style w:type="character" w:customStyle="1" w:styleId="Heading8Char">
    <w:name w:val="Heading 8 Char"/>
    <w:basedOn w:val="DefaultParagraphFont"/>
    <w:link w:val="Heading8"/>
    <w:uiPriority w:val="9"/>
    <w:semiHidden/>
    <w:rsid w:val="00370CEA"/>
    <w:rPr>
      <w:rFonts w:asciiTheme="majorHAnsi" w:eastAsiaTheme="majorEastAsia" w:hAnsiTheme="majorHAnsi" w:cstheme="majorBidi"/>
      <w:color w:val="404040" w:themeColor="text1" w:themeTint="BF"/>
      <w:sz w:val="20"/>
      <w:szCs w:val="20"/>
      <w:lang w:val="cs-CZ"/>
    </w:rPr>
  </w:style>
  <w:style w:type="character" w:customStyle="1" w:styleId="Heading9Char">
    <w:name w:val="Heading 9 Char"/>
    <w:basedOn w:val="DefaultParagraphFont"/>
    <w:link w:val="Heading9"/>
    <w:uiPriority w:val="9"/>
    <w:semiHidden/>
    <w:rsid w:val="00370CEA"/>
    <w:rPr>
      <w:rFonts w:asciiTheme="majorHAnsi" w:eastAsiaTheme="majorEastAsia" w:hAnsiTheme="majorHAnsi" w:cstheme="majorBidi"/>
      <w:i/>
      <w:iCs/>
      <w:color w:val="404040" w:themeColor="text1" w:themeTint="BF"/>
      <w:sz w:val="20"/>
      <w:szCs w:val="20"/>
      <w:lang w:val="cs-CZ"/>
    </w:rPr>
  </w:style>
  <w:style w:type="character" w:customStyle="1" w:styleId="CaptionChar">
    <w:name w:val="Caption Char"/>
    <w:aliases w:val="Schema Char"/>
    <w:basedOn w:val="DefaultParagraphFont"/>
    <w:link w:val="Caption"/>
    <w:rsid w:val="00B5454B"/>
    <w:rPr>
      <w:iCs/>
      <w:color w:val="75787B" w:themeColor="accent6"/>
      <w:sz w:val="17"/>
      <w:szCs w:val="18"/>
      <w:lang w:val="cs-CZ"/>
    </w:rPr>
  </w:style>
  <w:style w:type="table" w:customStyle="1" w:styleId="ListTable3-Accent11">
    <w:name w:val="List Table 3 - Accent 11"/>
    <w:basedOn w:val="TableNormal"/>
    <w:uiPriority w:val="48"/>
    <w:rsid w:val="00B5454B"/>
    <w:pPr>
      <w:spacing w:after="0"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character" w:customStyle="1" w:styleId="Ukotvenpoznmkypodarou">
    <w:name w:val="Ukotvení poznámky pod čarou"/>
    <w:rsid w:val="00C07EAB"/>
    <w:rPr>
      <w:vertAlign w:val="superscript"/>
    </w:rPr>
  </w:style>
  <w:style w:type="character" w:customStyle="1" w:styleId="BodytextChar">
    <w:name w:val="Body text Char"/>
    <w:link w:val="BodyText1"/>
    <w:qFormat/>
    <w:locked/>
    <w:rsid w:val="00C07EAB"/>
    <w:rPr>
      <w:rFonts w:ascii="Arial" w:hAnsi="Arial" w:cs="Times New Roman"/>
      <w:color w:val="000000"/>
      <w:sz w:val="18"/>
      <w:szCs w:val="48"/>
      <w:lang w:val="cs-CZ"/>
    </w:rPr>
  </w:style>
  <w:style w:type="paragraph" w:customStyle="1" w:styleId="BodyText1">
    <w:name w:val="Body Text1"/>
    <w:link w:val="BodytextChar"/>
    <w:qFormat/>
    <w:rsid w:val="00C07EAB"/>
    <w:pPr>
      <w:spacing w:after="180" w:line="250" w:lineRule="atLeast"/>
    </w:pPr>
    <w:rPr>
      <w:rFonts w:ascii="Arial" w:hAnsi="Arial" w:cs="Times New Roman"/>
      <w:color w:val="000000"/>
      <w:sz w:val="18"/>
      <w:szCs w:val="48"/>
      <w:lang w:val="cs-CZ"/>
    </w:rPr>
  </w:style>
  <w:style w:type="table" w:customStyle="1" w:styleId="GridTable1Light-Accent11">
    <w:name w:val="Grid Table 1 Light - Accent 11"/>
    <w:basedOn w:val="TableNormal"/>
    <w:uiPriority w:val="46"/>
    <w:rsid w:val="00D849A2"/>
    <w:pPr>
      <w:spacing w:after="0"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5567F"/>
    <w:pPr>
      <w:numPr>
        <w:numId w:val="0"/>
      </w:numPr>
      <w:spacing w:before="480" w:after="0" w:line="276" w:lineRule="auto"/>
      <w:outlineLvl w:val="9"/>
    </w:pPr>
    <w:rPr>
      <w:b/>
      <w:color w:val="638C1B" w:themeColor="accent1" w:themeShade="BF"/>
      <w:sz w:val="28"/>
      <w:szCs w:val="28"/>
      <w:lang w:eastAsia="cs-CZ"/>
    </w:rPr>
  </w:style>
  <w:style w:type="paragraph" w:styleId="TOC2">
    <w:name w:val="toc 2"/>
    <w:basedOn w:val="Normal"/>
    <w:next w:val="Normal"/>
    <w:autoRedefine/>
    <w:uiPriority w:val="39"/>
    <w:rsid w:val="00C07596"/>
    <w:pPr>
      <w:tabs>
        <w:tab w:val="left" w:pos="660"/>
        <w:tab w:val="right" w:pos="9060"/>
      </w:tabs>
      <w:spacing w:after="100"/>
      <w:ind w:left="180"/>
    </w:pPr>
  </w:style>
  <w:style w:type="paragraph" w:styleId="TOC3">
    <w:name w:val="toc 3"/>
    <w:basedOn w:val="Normal"/>
    <w:next w:val="Normal"/>
    <w:autoRedefine/>
    <w:uiPriority w:val="39"/>
    <w:rsid w:val="00F5567F"/>
    <w:pPr>
      <w:spacing w:after="100"/>
      <w:ind w:left="360"/>
    </w:pPr>
  </w:style>
  <w:style w:type="paragraph" w:customStyle="1" w:styleId="Bodyodsazene">
    <w:name w:val="Body odsazene"/>
    <w:basedOn w:val="BodyText1"/>
    <w:qFormat/>
    <w:rsid w:val="00DF4E16"/>
    <w:pPr>
      <w:spacing w:before="120" w:after="120"/>
    </w:pPr>
    <w:rPr>
      <w:rFonts w:eastAsia="Verdana"/>
    </w:rPr>
  </w:style>
  <w:style w:type="character" w:customStyle="1" w:styleId="ListLabel10">
    <w:name w:val="ListLabel 10"/>
    <w:qFormat/>
    <w:rsid w:val="00D70C58"/>
    <w:rPr>
      <w:rFonts w:cs="Courier New"/>
    </w:rPr>
  </w:style>
  <w:style w:type="table" w:customStyle="1" w:styleId="ListTable3-Accent12">
    <w:name w:val="List Table 3 - Accent 12"/>
    <w:basedOn w:val="TableNormal"/>
    <w:uiPriority w:val="48"/>
    <w:rsid w:val="004D7047"/>
    <w:pPr>
      <w:spacing w:after="0" w:line="240" w:lineRule="auto"/>
    </w:pPr>
    <w:rPr>
      <w:lang w:val="cs-CZ"/>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paragraph" w:customStyle="1" w:styleId="m-6362550125507777851msolistparagraph">
    <w:name w:val="m_-6362550125507777851msolistparagraph"/>
    <w:basedOn w:val="Normal"/>
    <w:rsid w:val="0032548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Deloittetable21">
    <w:name w:val="Deloitte table 21"/>
    <w:basedOn w:val="TableNormal"/>
    <w:rsid w:val="00325487"/>
    <w:pPr>
      <w:spacing w:after="0" w:line="240" w:lineRule="auto"/>
    </w:pPr>
    <w:rPr>
      <w:sz w:val="19"/>
      <w:szCs w:val="20"/>
      <w:lang w:val="cs-CZ" w:eastAsia="cs-CZ"/>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00A1DE"/>
      </w:tcPr>
    </w:tblStylePr>
    <w:tblStylePr w:type="firstCol">
      <w:rPr>
        <w:sz w:val="19"/>
      </w:rPr>
    </w:tblStylePr>
  </w:style>
  <w:style w:type="paragraph" w:customStyle="1" w:styleId="Bntext">
    <w:name w:val="Běžný text"/>
    <w:basedOn w:val="Normal"/>
    <w:qFormat/>
    <w:rsid w:val="00325487"/>
    <w:pPr>
      <w:spacing w:before="100" w:after="100" w:line="240" w:lineRule="auto"/>
      <w:jc w:val="both"/>
    </w:pPr>
    <w:rPr>
      <w:rFonts w:ascii="Arial" w:eastAsiaTheme="minorEastAsia" w:hAnsi="Arial"/>
      <w:sz w:val="19"/>
      <w:lang w:eastAsia="cs-CZ"/>
    </w:rPr>
  </w:style>
  <w:style w:type="table" w:styleId="LightList-Accent1">
    <w:name w:val="Light List Accent 1"/>
    <w:basedOn w:val="TableNormal"/>
    <w:uiPriority w:val="61"/>
    <w:rsid w:val="00325487"/>
    <w:pPr>
      <w:spacing w:after="0" w:line="240" w:lineRule="auto"/>
    </w:pPr>
    <w:rPr>
      <w:sz w:val="20"/>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customStyle="1" w:styleId="Deloittetable11">
    <w:name w:val="Deloitte table 11"/>
    <w:basedOn w:val="TableNormal"/>
    <w:rsid w:val="00325487"/>
    <w:pPr>
      <w:spacing w:after="0" w:line="240" w:lineRule="auto"/>
    </w:pPr>
    <w:rPr>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sz w:val="19"/>
      </w:rPr>
    </w:tblStylePr>
  </w:style>
  <w:style w:type="table" w:customStyle="1" w:styleId="Deloittetable2">
    <w:name w:val="Deloitte table 2"/>
    <w:basedOn w:val="TableNormal"/>
    <w:rsid w:val="006C1066"/>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character" w:styleId="FollowedHyperlink">
    <w:name w:val="FollowedHyperlink"/>
    <w:basedOn w:val="DefaultParagraphFont"/>
    <w:uiPriority w:val="99"/>
    <w:semiHidden/>
    <w:unhideWhenUsed/>
    <w:rsid w:val="006873FD"/>
    <w:rPr>
      <w:color w:val="53565A" w:themeColor="followedHyperlink"/>
      <w:u w:val="single"/>
    </w:rPr>
  </w:style>
  <w:style w:type="table" w:styleId="GridTable4-Accent1">
    <w:name w:val="Grid Table 4 Accent 1"/>
    <w:basedOn w:val="TableNormal"/>
    <w:uiPriority w:val="49"/>
    <w:rsid w:val="00A40006"/>
    <w:pPr>
      <w:spacing w:after="0" w:line="240" w:lineRule="auto"/>
    </w:pPr>
    <w:rPr>
      <w:rFonts w:ascii="Verdana" w:eastAsia="Verdana" w:hAnsi="Verdana" w:cs="Times New Roman"/>
      <w:sz w:val="20"/>
      <w:szCs w:val="20"/>
      <w:lang w:val="cs-CZ" w:eastAsia="cs-CZ"/>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Deloittetable111">
    <w:name w:val="Deloitte table 111"/>
    <w:basedOn w:val="TableNormal"/>
    <w:rsid w:val="00AC34C8"/>
    <w:pPr>
      <w:spacing w:after="0" w:line="240" w:lineRule="auto"/>
    </w:pPr>
    <w:rPr>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sz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3296086">
      <w:bodyDiv w:val="1"/>
      <w:marLeft w:val="0"/>
      <w:marRight w:val="0"/>
      <w:marTop w:val="0"/>
      <w:marBottom w:val="0"/>
      <w:divBdr>
        <w:top w:val="none" w:sz="0" w:space="0" w:color="auto"/>
        <w:left w:val="none" w:sz="0" w:space="0" w:color="auto"/>
        <w:bottom w:val="none" w:sz="0" w:space="0" w:color="auto"/>
        <w:right w:val="none" w:sz="0" w:space="0" w:color="auto"/>
      </w:divBdr>
    </w:div>
    <w:div w:id="219899665">
      <w:bodyDiv w:val="1"/>
      <w:marLeft w:val="0"/>
      <w:marRight w:val="0"/>
      <w:marTop w:val="0"/>
      <w:marBottom w:val="0"/>
      <w:divBdr>
        <w:top w:val="none" w:sz="0" w:space="0" w:color="auto"/>
        <w:left w:val="none" w:sz="0" w:space="0" w:color="auto"/>
        <w:bottom w:val="none" w:sz="0" w:space="0" w:color="auto"/>
        <w:right w:val="none" w:sz="0" w:space="0" w:color="auto"/>
      </w:divBdr>
    </w:div>
    <w:div w:id="224419743">
      <w:bodyDiv w:val="1"/>
      <w:marLeft w:val="0"/>
      <w:marRight w:val="0"/>
      <w:marTop w:val="0"/>
      <w:marBottom w:val="0"/>
      <w:divBdr>
        <w:top w:val="none" w:sz="0" w:space="0" w:color="auto"/>
        <w:left w:val="none" w:sz="0" w:space="0" w:color="auto"/>
        <w:bottom w:val="none" w:sz="0" w:space="0" w:color="auto"/>
        <w:right w:val="none" w:sz="0" w:space="0" w:color="auto"/>
      </w:divBdr>
      <w:divsChild>
        <w:div w:id="111285637">
          <w:marLeft w:val="0"/>
          <w:marRight w:val="0"/>
          <w:marTop w:val="90"/>
          <w:marBottom w:val="0"/>
          <w:divBdr>
            <w:top w:val="none" w:sz="0" w:space="0" w:color="auto"/>
            <w:left w:val="none" w:sz="0" w:space="0" w:color="auto"/>
            <w:bottom w:val="none" w:sz="0" w:space="0" w:color="auto"/>
            <w:right w:val="none" w:sz="0" w:space="0" w:color="auto"/>
          </w:divBdr>
          <w:divsChild>
            <w:div w:id="79302741">
              <w:marLeft w:val="0"/>
              <w:marRight w:val="0"/>
              <w:marTop w:val="0"/>
              <w:marBottom w:val="0"/>
              <w:divBdr>
                <w:top w:val="none" w:sz="0" w:space="0" w:color="auto"/>
                <w:left w:val="none" w:sz="0" w:space="0" w:color="auto"/>
                <w:bottom w:val="none" w:sz="0" w:space="0" w:color="auto"/>
                <w:right w:val="none" w:sz="0" w:space="0" w:color="auto"/>
              </w:divBdr>
              <w:divsChild>
                <w:div w:id="1733381696">
                  <w:marLeft w:val="0"/>
                  <w:marRight w:val="0"/>
                  <w:marTop w:val="0"/>
                  <w:marBottom w:val="0"/>
                  <w:divBdr>
                    <w:top w:val="none" w:sz="0" w:space="0" w:color="auto"/>
                    <w:left w:val="none" w:sz="0" w:space="0" w:color="auto"/>
                    <w:bottom w:val="none" w:sz="0" w:space="0" w:color="auto"/>
                    <w:right w:val="none" w:sz="0" w:space="0" w:color="auto"/>
                  </w:divBdr>
                  <w:divsChild>
                    <w:div w:id="1397242853">
                      <w:marLeft w:val="0"/>
                      <w:marRight w:val="0"/>
                      <w:marTop w:val="0"/>
                      <w:marBottom w:val="405"/>
                      <w:divBdr>
                        <w:top w:val="none" w:sz="0" w:space="0" w:color="auto"/>
                        <w:left w:val="none" w:sz="0" w:space="0" w:color="auto"/>
                        <w:bottom w:val="none" w:sz="0" w:space="0" w:color="auto"/>
                        <w:right w:val="none" w:sz="0" w:space="0" w:color="auto"/>
                      </w:divBdr>
                      <w:divsChild>
                        <w:div w:id="396100247">
                          <w:marLeft w:val="0"/>
                          <w:marRight w:val="0"/>
                          <w:marTop w:val="0"/>
                          <w:marBottom w:val="0"/>
                          <w:divBdr>
                            <w:top w:val="none" w:sz="0" w:space="0" w:color="auto"/>
                            <w:left w:val="none" w:sz="0" w:space="0" w:color="auto"/>
                            <w:bottom w:val="none" w:sz="0" w:space="0" w:color="auto"/>
                            <w:right w:val="none" w:sz="0" w:space="0" w:color="auto"/>
                          </w:divBdr>
                          <w:divsChild>
                            <w:div w:id="1103914906">
                              <w:marLeft w:val="0"/>
                              <w:marRight w:val="0"/>
                              <w:marTop w:val="0"/>
                              <w:marBottom w:val="0"/>
                              <w:divBdr>
                                <w:top w:val="none" w:sz="0" w:space="0" w:color="auto"/>
                                <w:left w:val="none" w:sz="0" w:space="0" w:color="auto"/>
                                <w:bottom w:val="none" w:sz="0" w:space="0" w:color="auto"/>
                                <w:right w:val="none" w:sz="0" w:space="0" w:color="auto"/>
                              </w:divBdr>
                              <w:divsChild>
                                <w:div w:id="9704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96253">
      <w:bodyDiv w:val="1"/>
      <w:marLeft w:val="0"/>
      <w:marRight w:val="0"/>
      <w:marTop w:val="0"/>
      <w:marBottom w:val="0"/>
      <w:divBdr>
        <w:top w:val="none" w:sz="0" w:space="0" w:color="auto"/>
        <w:left w:val="none" w:sz="0" w:space="0" w:color="auto"/>
        <w:bottom w:val="none" w:sz="0" w:space="0" w:color="auto"/>
        <w:right w:val="none" w:sz="0" w:space="0" w:color="auto"/>
      </w:divBdr>
    </w:div>
    <w:div w:id="506289443">
      <w:bodyDiv w:val="1"/>
      <w:marLeft w:val="0"/>
      <w:marRight w:val="0"/>
      <w:marTop w:val="0"/>
      <w:marBottom w:val="0"/>
      <w:divBdr>
        <w:top w:val="none" w:sz="0" w:space="0" w:color="auto"/>
        <w:left w:val="none" w:sz="0" w:space="0" w:color="auto"/>
        <w:bottom w:val="none" w:sz="0" w:space="0" w:color="auto"/>
        <w:right w:val="none" w:sz="0" w:space="0" w:color="auto"/>
      </w:divBdr>
    </w:div>
    <w:div w:id="510994213">
      <w:bodyDiv w:val="1"/>
      <w:marLeft w:val="0"/>
      <w:marRight w:val="0"/>
      <w:marTop w:val="0"/>
      <w:marBottom w:val="0"/>
      <w:divBdr>
        <w:top w:val="none" w:sz="0" w:space="0" w:color="auto"/>
        <w:left w:val="none" w:sz="0" w:space="0" w:color="auto"/>
        <w:bottom w:val="none" w:sz="0" w:space="0" w:color="auto"/>
        <w:right w:val="none" w:sz="0" w:space="0" w:color="auto"/>
      </w:divBdr>
    </w:div>
    <w:div w:id="519050510">
      <w:bodyDiv w:val="1"/>
      <w:marLeft w:val="0"/>
      <w:marRight w:val="0"/>
      <w:marTop w:val="0"/>
      <w:marBottom w:val="0"/>
      <w:divBdr>
        <w:top w:val="none" w:sz="0" w:space="0" w:color="auto"/>
        <w:left w:val="none" w:sz="0" w:space="0" w:color="auto"/>
        <w:bottom w:val="none" w:sz="0" w:space="0" w:color="auto"/>
        <w:right w:val="none" w:sz="0" w:space="0" w:color="auto"/>
      </w:divBdr>
    </w:div>
    <w:div w:id="540165706">
      <w:bodyDiv w:val="1"/>
      <w:marLeft w:val="0"/>
      <w:marRight w:val="0"/>
      <w:marTop w:val="0"/>
      <w:marBottom w:val="0"/>
      <w:divBdr>
        <w:top w:val="none" w:sz="0" w:space="0" w:color="auto"/>
        <w:left w:val="none" w:sz="0" w:space="0" w:color="auto"/>
        <w:bottom w:val="none" w:sz="0" w:space="0" w:color="auto"/>
        <w:right w:val="none" w:sz="0" w:space="0" w:color="auto"/>
      </w:divBdr>
    </w:div>
    <w:div w:id="620648586">
      <w:bodyDiv w:val="1"/>
      <w:marLeft w:val="0"/>
      <w:marRight w:val="0"/>
      <w:marTop w:val="0"/>
      <w:marBottom w:val="0"/>
      <w:divBdr>
        <w:top w:val="none" w:sz="0" w:space="0" w:color="auto"/>
        <w:left w:val="none" w:sz="0" w:space="0" w:color="auto"/>
        <w:bottom w:val="none" w:sz="0" w:space="0" w:color="auto"/>
        <w:right w:val="none" w:sz="0" w:space="0" w:color="auto"/>
      </w:divBdr>
    </w:div>
    <w:div w:id="730542318">
      <w:bodyDiv w:val="1"/>
      <w:marLeft w:val="0"/>
      <w:marRight w:val="0"/>
      <w:marTop w:val="0"/>
      <w:marBottom w:val="0"/>
      <w:divBdr>
        <w:top w:val="none" w:sz="0" w:space="0" w:color="auto"/>
        <w:left w:val="none" w:sz="0" w:space="0" w:color="auto"/>
        <w:bottom w:val="none" w:sz="0" w:space="0" w:color="auto"/>
        <w:right w:val="none" w:sz="0" w:space="0" w:color="auto"/>
      </w:divBdr>
    </w:div>
    <w:div w:id="731197563">
      <w:bodyDiv w:val="1"/>
      <w:marLeft w:val="0"/>
      <w:marRight w:val="0"/>
      <w:marTop w:val="0"/>
      <w:marBottom w:val="0"/>
      <w:divBdr>
        <w:top w:val="none" w:sz="0" w:space="0" w:color="auto"/>
        <w:left w:val="none" w:sz="0" w:space="0" w:color="auto"/>
        <w:bottom w:val="none" w:sz="0" w:space="0" w:color="auto"/>
        <w:right w:val="none" w:sz="0" w:space="0" w:color="auto"/>
      </w:divBdr>
    </w:div>
    <w:div w:id="941952888">
      <w:bodyDiv w:val="1"/>
      <w:marLeft w:val="0"/>
      <w:marRight w:val="0"/>
      <w:marTop w:val="0"/>
      <w:marBottom w:val="0"/>
      <w:divBdr>
        <w:top w:val="none" w:sz="0" w:space="0" w:color="auto"/>
        <w:left w:val="none" w:sz="0" w:space="0" w:color="auto"/>
        <w:bottom w:val="none" w:sz="0" w:space="0" w:color="auto"/>
        <w:right w:val="none" w:sz="0" w:space="0" w:color="auto"/>
      </w:divBdr>
    </w:div>
    <w:div w:id="950284201">
      <w:bodyDiv w:val="1"/>
      <w:marLeft w:val="0"/>
      <w:marRight w:val="0"/>
      <w:marTop w:val="0"/>
      <w:marBottom w:val="0"/>
      <w:divBdr>
        <w:top w:val="none" w:sz="0" w:space="0" w:color="auto"/>
        <w:left w:val="none" w:sz="0" w:space="0" w:color="auto"/>
        <w:bottom w:val="none" w:sz="0" w:space="0" w:color="auto"/>
        <w:right w:val="none" w:sz="0" w:space="0" w:color="auto"/>
      </w:divBdr>
    </w:div>
    <w:div w:id="1122192206">
      <w:bodyDiv w:val="1"/>
      <w:marLeft w:val="0"/>
      <w:marRight w:val="0"/>
      <w:marTop w:val="0"/>
      <w:marBottom w:val="0"/>
      <w:divBdr>
        <w:top w:val="none" w:sz="0" w:space="0" w:color="auto"/>
        <w:left w:val="none" w:sz="0" w:space="0" w:color="auto"/>
        <w:bottom w:val="none" w:sz="0" w:space="0" w:color="auto"/>
        <w:right w:val="none" w:sz="0" w:space="0" w:color="auto"/>
      </w:divBdr>
    </w:div>
    <w:div w:id="1152327065">
      <w:bodyDiv w:val="1"/>
      <w:marLeft w:val="0"/>
      <w:marRight w:val="0"/>
      <w:marTop w:val="0"/>
      <w:marBottom w:val="0"/>
      <w:divBdr>
        <w:top w:val="none" w:sz="0" w:space="0" w:color="auto"/>
        <w:left w:val="none" w:sz="0" w:space="0" w:color="auto"/>
        <w:bottom w:val="none" w:sz="0" w:space="0" w:color="auto"/>
        <w:right w:val="none" w:sz="0" w:space="0" w:color="auto"/>
      </w:divBdr>
    </w:div>
    <w:div w:id="1215657688">
      <w:bodyDiv w:val="1"/>
      <w:marLeft w:val="0"/>
      <w:marRight w:val="0"/>
      <w:marTop w:val="0"/>
      <w:marBottom w:val="0"/>
      <w:divBdr>
        <w:top w:val="none" w:sz="0" w:space="0" w:color="auto"/>
        <w:left w:val="none" w:sz="0" w:space="0" w:color="auto"/>
        <w:bottom w:val="none" w:sz="0" w:space="0" w:color="auto"/>
        <w:right w:val="none" w:sz="0" w:space="0" w:color="auto"/>
      </w:divBdr>
    </w:div>
    <w:div w:id="1218857856">
      <w:bodyDiv w:val="1"/>
      <w:marLeft w:val="0"/>
      <w:marRight w:val="0"/>
      <w:marTop w:val="0"/>
      <w:marBottom w:val="0"/>
      <w:divBdr>
        <w:top w:val="none" w:sz="0" w:space="0" w:color="auto"/>
        <w:left w:val="none" w:sz="0" w:space="0" w:color="auto"/>
        <w:bottom w:val="none" w:sz="0" w:space="0" w:color="auto"/>
        <w:right w:val="none" w:sz="0" w:space="0" w:color="auto"/>
      </w:divBdr>
    </w:div>
    <w:div w:id="1264457988">
      <w:bodyDiv w:val="1"/>
      <w:marLeft w:val="0"/>
      <w:marRight w:val="0"/>
      <w:marTop w:val="0"/>
      <w:marBottom w:val="0"/>
      <w:divBdr>
        <w:top w:val="none" w:sz="0" w:space="0" w:color="auto"/>
        <w:left w:val="none" w:sz="0" w:space="0" w:color="auto"/>
        <w:bottom w:val="none" w:sz="0" w:space="0" w:color="auto"/>
        <w:right w:val="none" w:sz="0" w:space="0" w:color="auto"/>
      </w:divBdr>
    </w:div>
    <w:div w:id="1274171233">
      <w:bodyDiv w:val="1"/>
      <w:marLeft w:val="0"/>
      <w:marRight w:val="0"/>
      <w:marTop w:val="0"/>
      <w:marBottom w:val="0"/>
      <w:divBdr>
        <w:top w:val="none" w:sz="0" w:space="0" w:color="auto"/>
        <w:left w:val="none" w:sz="0" w:space="0" w:color="auto"/>
        <w:bottom w:val="none" w:sz="0" w:space="0" w:color="auto"/>
        <w:right w:val="none" w:sz="0" w:space="0" w:color="auto"/>
      </w:divBdr>
    </w:div>
    <w:div w:id="1388071828">
      <w:bodyDiv w:val="1"/>
      <w:marLeft w:val="0"/>
      <w:marRight w:val="0"/>
      <w:marTop w:val="0"/>
      <w:marBottom w:val="0"/>
      <w:divBdr>
        <w:top w:val="none" w:sz="0" w:space="0" w:color="auto"/>
        <w:left w:val="none" w:sz="0" w:space="0" w:color="auto"/>
        <w:bottom w:val="none" w:sz="0" w:space="0" w:color="auto"/>
        <w:right w:val="none" w:sz="0" w:space="0" w:color="auto"/>
      </w:divBdr>
    </w:div>
    <w:div w:id="1395661592">
      <w:bodyDiv w:val="1"/>
      <w:marLeft w:val="0"/>
      <w:marRight w:val="0"/>
      <w:marTop w:val="0"/>
      <w:marBottom w:val="0"/>
      <w:divBdr>
        <w:top w:val="none" w:sz="0" w:space="0" w:color="auto"/>
        <w:left w:val="none" w:sz="0" w:space="0" w:color="auto"/>
        <w:bottom w:val="none" w:sz="0" w:space="0" w:color="auto"/>
        <w:right w:val="none" w:sz="0" w:space="0" w:color="auto"/>
      </w:divBdr>
    </w:div>
    <w:div w:id="1403915764">
      <w:bodyDiv w:val="1"/>
      <w:marLeft w:val="0"/>
      <w:marRight w:val="0"/>
      <w:marTop w:val="0"/>
      <w:marBottom w:val="0"/>
      <w:divBdr>
        <w:top w:val="none" w:sz="0" w:space="0" w:color="auto"/>
        <w:left w:val="none" w:sz="0" w:space="0" w:color="auto"/>
        <w:bottom w:val="none" w:sz="0" w:space="0" w:color="auto"/>
        <w:right w:val="none" w:sz="0" w:space="0" w:color="auto"/>
      </w:divBdr>
    </w:div>
    <w:div w:id="1422603184">
      <w:bodyDiv w:val="1"/>
      <w:marLeft w:val="0"/>
      <w:marRight w:val="0"/>
      <w:marTop w:val="0"/>
      <w:marBottom w:val="0"/>
      <w:divBdr>
        <w:top w:val="none" w:sz="0" w:space="0" w:color="auto"/>
        <w:left w:val="none" w:sz="0" w:space="0" w:color="auto"/>
        <w:bottom w:val="none" w:sz="0" w:space="0" w:color="auto"/>
        <w:right w:val="none" w:sz="0" w:space="0" w:color="auto"/>
      </w:divBdr>
    </w:div>
    <w:div w:id="1457144968">
      <w:bodyDiv w:val="1"/>
      <w:marLeft w:val="0"/>
      <w:marRight w:val="0"/>
      <w:marTop w:val="0"/>
      <w:marBottom w:val="0"/>
      <w:divBdr>
        <w:top w:val="none" w:sz="0" w:space="0" w:color="auto"/>
        <w:left w:val="none" w:sz="0" w:space="0" w:color="auto"/>
        <w:bottom w:val="none" w:sz="0" w:space="0" w:color="auto"/>
        <w:right w:val="none" w:sz="0" w:space="0" w:color="auto"/>
      </w:divBdr>
    </w:div>
    <w:div w:id="1504777693">
      <w:bodyDiv w:val="1"/>
      <w:marLeft w:val="0"/>
      <w:marRight w:val="0"/>
      <w:marTop w:val="0"/>
      <w:marBottom w:val="0"/>
      <w:divBdr>
        <w:top w:val="none" w:sz="0" w:space="0" w:color="auto"/>
        <w:left w:val="none" w:sz="0" w:space="0" w:color="auto"/>
        <w:bottom w:val="none" w:sz="0" w:space="0" w:color="auto"/>
        <w:right w:val="none" w:sz="0" w:space="0" w:color="auto"/>
      </w:divBdr>
    </w:div>
    <w:div w:id="1600410606">
      <w:bodyDiv w:val="1"/>
      <w:marLeft w:val="0"/>
      <w:marRight w:val="0"/>
      <w:marTop w:val="0"/>
      <w:marBottom w:val="0"/>
      <w:divBdr>
        <w:top w:val="none" w:sz="0" w:space="0" w:color="auto"/>
        <w:left w:val="none" w:sz="0" w:space="0" w:color="auto"/>
        <w:bottom w:val="none" w:sz="0" w:space="0" w:color="auto"/>
        <w:right w:val="none" w:sz="0" w:space="0" w:color="auto"/>
      </w:divBdr>
    </w:div>
    <w:div w:id="1610700193">
      <w:bodyDiv w:val="1"/>
      <w:marLeft w:val="0"/>
      <w:marRight w:val="0"/>
      <w:marTop w:val="0"/>
      <w:marBottom w:val="0"/>
      <w:divBdr>
        <w:top w:val="none" w:sz="0" w:space="0" w:color="auto"/>
        <w:left w:val="none" w:sz="0" w:space="0" w:color="auto"/>
        <w:bottom w:val="none" w:sz="0" w:space="0" w:color="auto"/>
        <w:right w:val="none" w:sz="0" w:space="0" w:color="auto"/>
      </w:divBdr>
    </w:div>
    <w:div w:id="1611006984">
      <w:bodyDiv w:val="1"/>
      <w:marLeft w:val="0"/>
      <w:marRight w:val="0"/>
      <w:marTop w:val="0"/>
      <w:marBottom w:val="0"/>
      <w:divBdr>
        <w:top w:val="none" w:sz="0" w:space="0" w:color="auto"/>
        <w:left w:val="none" w:sz="0" w:space="0" w:color="auto"/>
        <w:bottom w:val="none" w:sz="0" w:space="0" w:color="auto"/>
        <w:right w:val="none" w:sz="0" w:space="0" w:color="auto"/>
      </w:divBdr>
    </w:div>
    <w:div w:id="1619338581">
      <w:bodyDiv w:val="1"/>
      <w:marLeft w:val="0"/>
      <w:marRight w:val="0"/>
      <w:marTop w:val="0"/>
      <w:marBottom w:val="0"/>
      <w:divBdr>
        <w:top w:val="none" w:sz="0" w:space="0" w:color="auto"/>
        <w:left w:val="none" w:sz="0" w:space="0" w:color="auto"/>
        <w:bottom w:val="none" w:sz="0" w:space="0" w:color="auto"/>
        <w:right w:val="none" w:sz="0" w:space="0" w:color="auto"/>
      </w:divBdr>
    </w:div>
    <w:div w:id="1657371060">
      <w:bodyDiv w:val="1"/>
      <w:marLeft w:val="0"/>
      <w:marRight w:val="0"/>
      <w:marTop w:val="0"/>
      <w:marBottom w:val="0"/>
      <w:divBdr>
        <w:top w:val="none" w:sz="0" w:space="0" w:color="auto"/>
        <w:left w:val="none" w:sz="0" w:space="0" w:color="auto"/>
        <w:bottom w:val="none" w:sz="0" w:space="0" w:color="auto"/>
        <w:right w:val="none" w:sz="0" w:space="0" w:color="auto"/>
      </w:divBdr>
    </w:div>
    <w:div w:id="1725519573">
      <w:bodyDiv w:val="1"/>
      <w:marLeft w:val="0"/>
      <w:marRight w:val="0"/>
      <w:marTop w:val="0"/>
      <w:marBottom w:val="0"/>
      <w:divBdr>
        <w:top w:val="none" w:sz="0" w:space="0" w:color="auto"/>
        <w:left w:val="none" w:sz="0" w:space="0" w:color="auto"/>
        <w:bottom w:val="none" w:sz="0" w:space="0" w:color="auto"/>
        <w:right w:val="none" w:sz="0" w:space="0" w:color="auto"/>
      </w:divBdr>
    </w:div>
    <w:div w:id="1746102802">
      <w:bodyDiv w:val="1"/>
      <w:marLeft w:val="0"/>
      <w:marRight w:val="0"/>
      <w:marTop w:val="0"/>
      <w:marBottom w:val="0"/>
      <w:divBdr>
        <w:top w:val="none" w:sz="0" w:space="0" w:color="auto"/>
        <w:left w:val="none" w:sz="0" w:space="0" w:color="auto"/>
        <w:bottom w:val="none" w:sz="0" w:space="0" w:color="auto"/>
        <w:right w:val="none" w:sz="0" w:space="0" w:color="auto"/>
      </w:divBdr>
    </w:div>
    <w:div w:id="2098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8.emf"/><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eib.org/en/projects/pipelines/all/20160784" TargetMode="External"/><Relationship Id="rId2" Type="http://schemas.openxmlformats.org/officeDocument/2006/relationships/hyperlink" Target="https://www.eib.org/en/projects/pipelines/all/20150174" TargetMode="External"/><Relationship Id="rId1" Type="http://schemas.openxmlformats.org/officeDocument/2006/relationships/hyperlink" Target="https://www.eib.org/en/projects/pipelines/all/20170133" TargetMode="External"/><Relationship Id="rId6" Type="http://schemas.openxmlformats.org/officeDocument/2006/relationships/hyperlink" Target="https://www.eib.org/en/projects/pipelines/all/20160964" TargetMode="External"/><Relationship Id="rId5" Type="http://schemas.openxmlformats.org/officeDocument/2006/relationships/hyperlink" Target="https://www.eib.org/en/projects/pipelines/all/20180819" TargetMode="External"/><Relationship Id="rId4" Type="http://schemas.openxmlformats.org/officeDocument/2006/relationships/hyperlink" Target="https://www.eib.org/en/projects/pipelines/all/20150616"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1AD431F4DF647ABBC965249D5E883" ma:contentTypeVersion="2" ma:contentTypeDescription="Create a new document." ma:contentTypeScope="" ma:versionID="6c068c30d86fcb46a45e5504b76a4d8f">
  <xsd:schema xmlns:xsd="http://www.w3.org/2001/XMLSchema" xmlns:xs="http://www.w3.org/2001/XMLSchema" xmlns:p="http://schemas.microsoft.com/office/2006/metadata/properties" xmlns:ns2="049265f2-b21f-407c-a6da-3f4f9394ec18" targetNamespace="http://schemas.microsoft.com/office/2006/metadata/properties" ma:root="true" ma:fieldsID="f4402569729b119e087da4d51ccba8aa" ns2:_="">
    <xsd:import namespace="049265f2-b21f-407c-a6da-3f4f9394ec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265f2-b21f-407c-a6da-3f4f9394e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CDB0-F224-403A-9274-0DCBB12E1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91A14-22F3-48D2-AAE7-5820CB40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265f2-b21f-407c-a6da-3f4f9394e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8F357-FEFB-4A19-9BAA-65E271500AFA}">
  <ds:schemaRefs>
    <ds:schemaRef ds:uri="http://schemas.microsoft.com/sharepoint/v3/contenttype/forms"/>
  </ds:schemaRefs>
</ds:datastoreItem>
</file>

<file path=customXml/itemProps4.xml><?xml version="1.0" encoding="utf-8"?>
<ds:datastoreItem xmlns:ds="http://schemas.openxmlformats.org/officeDocument/2006/customXml" ds:itemID="{1E1020A7-1AC0-4E43-BADC-B1AFA5FA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10462</Words>
  <Characters>61728</Characters>
  <Application>Microsoft Office Word</Application>
  <DocSecurity>0</DocSecurity>
  <Lines>514</Lines>
  <Paragraphs>144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Proposal_A4</vt:lpstr>
      <vt:lpstr>Proposal_A4</vt:lpstr>
    </vt:vector>
  </TitlesOfParts>
  <Company>HP</Company>
  <LinksUpToDate>false</LinksUpToDate>
  <CharactersWithSpaces>72046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Deloitte Czech</dc:creator>
  <cp:lastModifiedBy>Sidlik, Tomas</cp:lastModifiedBy>
  <cp:revision>4</cp:revision>
  <cp:lastPrinted>2019-12-06T15:36:00Z</cp:lastPrinted>
  <dcterms:created xsi:type="dcterms:W3CDTF">2020-04-08T12:16:00Z</dcterms:created>
  <dcterms:modified xsi:type="dcterms:W3CDTF">2020-04-08T12:33:00Z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0x01010041B1AD431F4DF647ABBC965249D5E883</vt:lpwstr>
  </property>
</Properties>
</file>