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rPr>
        <w:id w:val="2080625881"/>
        <w:docPartObj>
          <w:docPartGallery w:val="Cover Pages"/>
          <w:docPartUnique/>
        </w:docPartObj>
      </w:sdtPr>
      <w:sdtEndPr>
        <w:rPr>
          <w:sz w:val="6"/>
          <w:szCs w:val="6"/>
        </w:rPr>
      </w:sdtEndPr>
      <w:sdtContent>
        <w:tbl>
          <w:tblPr>
            <w:tblStyle w:val="Mkatabulky"/>
            <w:tblW w:w="10546" w:type="dxa"/>
            <w:tblLayout w:type="fixed"/>
            <w:tblLook w:val="04A0" w:firstRow="1" w:lastRow="0" w:firstColumn="1" w:lastColumn="0" w:noHBand="0" w:noVBand="1"/>
          </w:tblPr>
          <w:tblGrid>
            <w:gridCol w:w="10546"/>
          </w:tblGrid>
          <w:tr w:rsidR="00061444" w:rsidRPr="001C351B" w14:paraId="6E283EAB" w14:textId="77777777" w:rsidTr="003C4BE4">
            <w:trPr>
              <w:cnfStyle w:val="100000000000" w:firstRow="1" w:lastRow="0" w:firstColumn="0" w:lastColumn="0" w:oddVBand="0" w:evenVBand="0" w:oddHBand="0" w:evenHBand="0" w:firstRowFirstColumn="0" w:firstRowLastColumn="0" w:lastRowFirstColumn="0" w:lastRowLastColumn="0"/>
              <w:trHeight w:hRule="exact" w:val="10773"/>
            </w:trPr>
            <w:tc>
              <w:tcPr>
                <w:tcW w:w="10546" w:type="dxa"/>
                <w:vAlign w:val="center"/>
              </w:tcPr>
              <w:p w14:paraId="429F23AB" w14:textId="77777777" w:rsidR="00061444" w:rsidRPr="001C351B" w:rsidRDefault="00933261" w:rsidP="00A15402">
                <w:pPr>
                  <w:jc w:val="center"/>
                  <w:rPr>
                    <w:rFonts w:asciiTheme="majorHAnsi" w:hAnsiTheme="majorHAnsi"/>
                  </w:rPr>
                </w:pPr>
                <w:r>
                  <w:rPr>
                    <w:noProof/>
                    <w:lang w:eastAsia="cs-CZ"/>
                  </w:rPr>
                  <w:drawing>
                    <wp:anchor distT="0" distB="0" distL="114300" distR="114300" simplePos="0" relativeHeight="251669504" behindDoc="0" locked="0" layoutInCell="1" allowOverlap="1" wp14:anchorId="66E75EB1" wp14:editId="55289905">
                      <wp:simplePos x="0" y="0"/>
                      <wp:positionH relativeFrom="margin">
                        <wp:posOffset>1023620</wp:posOffset>
                      </wp:positionH>
                      <wp:positionV relativeFrom="paragraph">
                        <wp:posOffset>856615</wp:posOffset>
                      </wp:positionV>
                      <wp:extent cx="4650105" cy="467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tainability_12_l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50105" cy="4673600"/>
                              </a:xfrm>
                              <a:prstGeom prst="rect">
                                <a:avLst/>
                              </a:prstGeom>
                            </pic:spPr>
                          </pic:pic>
                        </a:graphicData>
                      </a:graphic>
                      <wp14:sizeRelH relativeFrom="margin">
                        <wp14:pctWidth>0</wp14:pctWidth>
                      </wp14:sizeRelH>
                      <wp14:sizeRelV relativeFrom="margin">
                        <wp14:pctHeight>0</wp14:pctHeight>
                      </wp14:sizeRelV>
                    </wp:anchor>
                  </w:drawing>
                </w:r>
              </w:p>
            </w:tc>
          </w:tr>
        </w:tbl>
        <w:p w14:paraId="18F92760" w14:textId="77777777" w:rsidR="00061444" w:rsidRPr="001C351B" w:rsidRDefault="00216B3B" w:rsidP="003C4BE4">
          <w:pPr>
            <w:spacing w:after="0" w:line="240" w:lineRule="auto"/>
            <w:rPr>
              <w:rFonts w:asciiTheme="majorHAnsi" w:hAnsiTheme="majorHAnsi"/>
            </w:rPr>
          </w:pPr>
          <w:r>
            <w:rPr>
              <w:noProof/>
              <w:lang w:eastAsia="cs-CZ"/>
            </w:rPr>
            <w:drawing>
              <wp:anchor distT="0" distB="0" distL="114300" distR="114300" simplePos="0" relativeHeight="251671552" behindDoc="0" locked="0" layoutInCell="1" allowOverlap="1" wp14:anchorId="1183442A" wp14:editId="73DAAF95">
                <wp:simplePos x="0" y="0"/>
                <wp:positionH relativeFrom="margin">
                  <wp:align>right</wp:align>
                </wp:positionH>
                <wp:positionV relativeFrom="paragraph">
                  <wp:posOffset>-7903622</wp:posOffset>
                </wp:positionV>
                <wp:extent cx="5832475" cy="685800"/>
                <wp:effectExtent l="0" t="0" r="0" b="0"/>
                <wp:wrapNone/>
                <wp:docPr id="12" name="Obráze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rrowheads="1"/>
                        </pic:cNvPicPr>
                      </pic:nvPicPr>
                      <pic:blipFill>
                        <a:blip r:embed="rId9">
                          <a:extLst>
                            <a:ext uri="{28A0092B-C50C-407E-A947-70E740481C1C}">
                              <a14:useLocalDpi xmlns:a14="http://schemas.microsoft.com/office/drawing/2010/main" val="0"/>
                            </a:ext>
                          </a:extLst>
                        </a:blip>
                        <a:srcRect r="-53"/>
                        <a:stretch>
                          <a:fillRect/>
                        </a:stretch>
                      </pic:blipFill>
                      <pic:spPr bwMode="auto">
                        <a:xfrm>
                          <a:off x="0" y="0"/>
                          <a:ext cx="58324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444" w:rsidRPr="001C351B">
            <w:rPr>
              <w:rFonts w:asciiTheme="majorHAnsi" w:hAnsiTheme="majorHAnsi"/>
              <w:noProof/>
              <w:lang w:eastAsia="cs-CZ"/>
            </w:rPr>
            <w:drawing>
              <wp:anchor distT="0" distB="0" distL="114300" distR="114300" simplePos="0" relativeHeight="251667456" behindDoc="0" locked="1" layoutInCell="1" allowOverlap="1" wp14:anchorId="278EED67" wp14:editId="31364F14">
                <wp:simplePos x="0" y="0"/>
                <wp:positionH relativeFrom="page">
                  <wp:posOffset>5332730</wp:posOffset>
                </wp:positionH>
                <wp:positionV relativeFrom="page">
                  <wp:posOffset>9533890</wp:posOffset>
                </wp:positionV>
                <wp:extent cx="1831975" cy="3454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l_logo proposal cov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1975" cy="345440"/>
                        </a:xfrm>
                        <a:prstGeom prst="rect">
                          <a:avLst/>
                        </a:prstGeom>
                      </pic:spPr>
                    </pic:pic>
                  </a:graphicData>
                </a:graphic>
                <wp14:sizeRelH relativeFrom="margin">
                  <wp14:pctWidth>0</wp14:pctWidth>
                </wp14:sizeRelH>
                <wp14:sizeRelV relativeFrom="margin">
                  <wp14:pctHeight>0</wp14:pctHeight>
                </wp14:sizeRelV>
              </wp:anchor>
            </w:drawing>
          </w:r>
          <w:r w:rsidR="00061444" w:rsidRPr="001C351B">
            <w:rPr>
              <w:rFonts w:asciiTheme="majorHAnsi" w:hAnsiTheme="majorHAnsi"/>
              <w:noProof/>
              <w:lang w:eastAsia="cs-CZ"/>
            </w:rPr>
            <mc:AlternateContent>
              <mc:Choice Requires="wps">
                <w:drawing>
                  <wp:anchor distT="0" distB="0" distL="114300" distR="114300" simplePos="0" relativeHeight="251666432" behindDoc="1" locked="1" layoutInCell="1" allowOverlap="1" wp14:anchorId="0B8470C2" wp14:editId="72E688AE">
                    <wp:simplePos x="0" y="0"/>
                    <wp:positionH relativeFrom="page">
                      <wp:posOffset>0</wp:posOffset>
                    </wp:positionH>
                    <wp:positionV relativeFrom="page">
                      <wp:posOffset>0</wp:posOffset>
                    </wp:positionV>
                    <wp:extent cx="7596000" cy="10728000"/>
                    <wp:effectExtent l="0" t="0" r="5080" b="0"/>
                    <wp:wrapNone/>
                    <wp:docPr id="8" name="Rectangle 8"/>
                    <wp:cNvGraphicFramePr/>
                    <a:graphic xmlns:a="http://schemas.openxmlformats.org/drawingml/2006/main">
                      <a:graphicData uri="http://schemas.microsoft.com/office/word/2010/wordprocessingShape">
                        <wps:wsp>
                          <wps:cNvSpPr/>
                          <wps:spPr>
                            <a:xfrm>
                              <a:off x="0" y="0"/>
                              <a:ext cx="7596000" cy="1072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8EB6DE8" id="Rectangle 8" o:spid="_x0000_s1026" style="position:absolute;margin-left:0;margin-top:0;width:598.1pt;height:844.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" fillcolor="white [3212]" stroked="f" strokeweight="2pt">
                    <w10:wrap anchorx="page" anchory="page"/>
                    <w10:anchorlock/>
                  </v:rect>
                </w:pict>
              </mc:Fallback>
            </mc:AlternateContent>
          </w:r>
        </w:p>
        <w:tbl>
          <w:tblPr>
            <w:tblStyle w:val="Mkatabulky"/>
            <w:tblW w:w="10555" w:type="dxa"/>
            <w:tblLayout w:type="fixed"/>
            <w:tblLook w:val="04A0" w:firstRow="1" w:lastRow="0" w:firstColumn="1" w:lastColumn="0" w:noHBand="0" w:noVBand="1"/>
          </w:tblPr>
          <w:tblGrid>
            <w:gridCol w:w="10555"/>
          </w:tblGrid>
          <w:tr w:rsidR="00061444" w:rsidRPr="001C351B" w14:paraId="0FCBE3E8" w14:textId="77777777" w:rsidTr="002E114E">
            <w:trPr>
              <w:cnfStyle w:val="100000000000" w:firstRow="1" w:lastRow="0" w:firstColumn="0" w:lastColumn="0" w:oddVBand="0" w:evenVBand="0" w:oddHBand="0" w:evenHBand="0" w:firstRowFirstColumn="0" w:firstRowLastColumn="0" w:lastRowFirstColumn="0" w:lastRowLastColumn="0"/>
              <w:trHeight w:hRule="exact" w:val="2835"/>
            </w:trPr>
            <w:tc>
              <w:tcPr>
                <w:tcW w:w="10555" w:type="dxa"/>
                <w:vAlign w:val="bottom"/>
              </w:tcPr>
              <w:p w14:paraId="29684E17" w14:textId="77777777" w:rsidR="00933261" w:rsidRPr="00DA32C3" w:rsidRDefault="00933261" w:rsidP="00933261">
                <w:pPr>
                  <w:pStyle w:val="Documenttitle"/>
                  <w:rPr>
                    <w:lang w:val="cs-CZ"/>
                  </w:rPr>
                </w:pPr>
                <w:r w:rsidRPr="00E719A1">
                  <w:rPr>
                    <w:lang w:val="cs-CZ"/>
                  </w:rPr>
                  <w:t>Evaluace administrativních postupů implementační struktury OP PIK</w:t>
                </w:r>
              </w:p>
              <w:p w14:paraId="21889562" w14:textId="77777777" w:rsidR="002E114E" w:rsidRPr="001C351B" w:rsidRDefault="00933261" w:rsidP="002E114E">
                <w:pPr>
                  <w:pStyle w:val="Documentsubtitle"/>
                  <w:rPr>
                    <w:rFonts w:asciiTheme="majorHAnsi" w:hAnsiTheme="majorHAnsi"/>
                  </w:rPr>
                </w:pPr>
                <w:r>
                  <w:rPr>
                    <w:rFonts w:asciiTheme="majorHAnsi" w:hAnsiTheme="majorHAnsi"/>
                  </w:rPr>
                  <w:t xml:space="preserve">Česká republika - </w:t>
                </w:r>
                <w:r w:rsidR="002E114E" w:rsidRPr="001C351B">
                  <w:rPr>
                    <w:rFonts w:asciiTheme="majorHAnsi" w:hAnsiTheme="majorHAnsi"/>
                  </w:rPr>
                  <w:t>M</w:t>
                </w:r>
                <w:r>
                  <w:rPr>
                    <w:rFonts w:asciiTheme="majorHAnsi" w:hAnsiTheme="majorHAnsi"/>
                  </w:rPr>
                  <w:t>inisterstvo průmyslu a obchodu</w:t>
                </w:r>
              </w:p>
              <w:p w14:paraId="0FD79FF4" w14:textId="77777777" w:rsidR="002E114E" w:rsidRPr="001C351B" w:rsidRDefault="002E114E" w:rsidP="002E114E">
                <w:pPr>
                  <w:pStyle w:val="Documentsubtitle"/>
                  <w:spacing w:after="0"/>
                  <w:rPr>
                    <w:rFonts w:asciiTheme="majorHAnsi" w:hAnsiTheme="majorHAnsi"/>
                    <w:b/>
                  </w:rPr>
                </w:pPr>
                <w:r w:rsidRPr="001C351B">
                  <w:rPr>
                    <w:rFonts w:asciiTheme="majorHAnsi" w:hAnsiTheme="majorHAnsi"/>
                    <w:b/>
                  </w:rPr>
                  <w:t>Vstupní zpráva projektu</w:t>
                </w:r>
              </w:p>
              <w:p w14:paraId="5E2014D4" w14:textId="77777777" w:rsidR="00061444" w:rsidRPr="001C351B" w:rsidRDefault="00933261" w:rsidP="002E114E">
                <w:pPr>
                  <w:pStyle w:val="Documentsubtitle"/>
                  <w:rPr>
                    <w:rFonts w:asciiTheme="majorHAnsi" w:hAnsiTheme="majorHAnsi"/>
                    <w:sz w:val="18"/>
                    <w:szCs w:val="18"/>
                  </w:rPr>
                </w:pPr>
                <w:r>
                  <w:rPr>
                    <w:rFonts w:asciiTheme="majorHAnsi" w:hAnsiTheme="majorHAnsi"/>
                    <w:sz w:val="18"/>
                    <w:szCs w:val="18"/>
                  </w:rPr>
                  <w:t>Listopad 2019</w:t>
                </w:r>
              </w:p>
            </w:tc>
          </w:tr>
        </w:tbl>
        <w:p w14:paraId="1BF2FB6C" w14:textId="75D0DDAC" w:rsidR="00061444" w:rsidRPr="001C351B" w:rsidRDefault="00061444">
          <w:pPr>
            <w:rPr>
              <w:rFonts w:asciiTheme="majorHAnsi" w:hAnsiTheme="majorHAnsi"/>
              <w:sz w:val="6"/>
              <w:szCs w:val="6"/>
            </w:rPr>
          </w:pPr>
          <w:r w:rsidRPr="001C351B">
            <w:rPr>
              <w:rFonts w:asciiTheme="majorHAnsi" w:hAnsiTheme="majorHAnsi"/>
              <w:sz w:val="6"/>
              <w:szCs w:val="6"/>
            </w:rPr>
            <w:br w:type="page"/>
          </w:r>
        </w:p>
      </w:sdtContent>
    </w:sdt>
    <w:p w14:paraId="53A4244B" w14:textId="77777777" w:rsidR="00212852" w:rsidRPr="00925113" w:rsidRDefault="008962D0" w:rsidP="00925113">
      <w:pPr>
        <w:rPr>
          <w:sz w:val="52"/>
          <w:szCs w:val="52"/>
        </w:rPr>
      </w:pPr>
      <w:r w:rsidRPr="00925113">
        <w:rPr>
          <w:sz w:val="52"/>
          <w:szCs w:val="52"/>
        </w:rPr>
        <w:lastRenderedPageBreak/>
        <w:t>Obsah</w:t>
      </w:r>
    </w:p>
    <w:p w14:paraId="5B1124B7" w14:textId="77777777" w:rsidR="00212852" w:rsidRPr="001C351B" w:rsidRDefault="00212852" w:rsidP="00212852">
      <w:pPr>
        <w:rPr>
          <w:rFonts w:asciiTheme="majorHAnsi" w:hAnsiTheme="majorHAnsi"/>
        </w:rPr>
      </w:pPr>
    </w:p>
    <w:sdt>
      <w:sdtPr>
        <w:rPr>
          <w:rFonts w:asciiTheme="minorHAnsi" w:eastAsiaTheme="minorHAnsi" w:hAnsiTheme="minorHAnsi" w:cstheme="minorBidi"/>
          <w:b w:val="0"/>
          <w:bCs w:val="0"/>
          <w:color w:val="auto"/>
          <w:sz w:val="18"/>
          <w:szCs w:val="22"/>
          <w:lang w:eastAsia="en-US"/>
        </w:rPr>
        <w:id w:val="1550183392"/>
        <w:docPartObj>
          <w:docPartGallery w:val="Table of Contents"/>
          <w:docPartUnique/>
        </w:docPartObj>
      </w:sdtPr>
      <w:sdtEndPr/>
      <w:sdtContent>
        <w:p w14:paraId="3BBA67A8" w14:textId="77777777" w:rsidR="00BC76FD" w:rsidRDefault="00BC76FD">
          <w:pPr>
            <w:pStyle w:val="Nadpisobsahu"/>
          </w:pPr>
        </w:p>
        <w:p w14:paraId="434E5484" w14:textId="215AFD54" w:rsidR="00AC4A07" w:rsidRDefault="00BC76FD">
          <w:pPr>
            <w:pStyle w:val="Obsah1"/>
            <w:rPr>
              <w:rFonts w:eastAsiaTheme="minorEastAsia"/>
              <w:noProof/>
              <w:sz w:val="22"/>
              <w:lang w:eastAsia="cs-CZ"/>
            </w:rPr>
          </w:pPr>
          <w:r>
            <w:fldChar w:fldCharType="begin"/>
          </w:r>
          <w:r>
            <w:instrText xml:space="preserve"> TOC \o "1-3" \h \z \u </w:instrText>
          </w:r>
          <w:r>
            <w:fldChar w:fldCharType="separate"/>
          </w:r>
          <w:hyperlink w:anchor="_Toc25228643" w:history="1">
            <w:r w:rsidR="00AC4A07" w:rsidRPr="00122842">
              <w:rPr>
                <w:rStyle w:val="Hypertextovodkaz"/>
                <w:noProof/>
              </w:rPr>
              <w:t>1</w:t>
            </w:r>
            <w:r w:rsidR="00AC4A07">
              <w:rPr>
                <w:rFonts w:eastAsiaTheme="minorEastAsia"/>
                <w:noProof/>
                <w:sz w:val="22"/>
                <w:lang w:eastAsia="cs-CZ"/>
              </w:rPr>
              <w:tab/>
            </w:r>
            <w:r w:rsidR="00AC4A07" w:rsidRPr="00122842">
              <w:rPr>
                <w:rStyle w:val="Hypertextovodkaz"/>
                <w:noProof/>
              </w:rPr>
              <w:t>Seznam zkratek, tabulek  a obrázků</w:t>
            </w:r>
            <w:r w:rsidR="00AC4A07">
              <w:rPr>
                <w:noProof/>
                <w:webHidden/>
              </w:rPr>
              <w:tab/>
            </w:r>
            <w:r w:rsidR="00AC4A07">
              <w:rPr>
                <w:noProof/>
                <w:webHidden/>
              </w:rPr>
              <w:fldChar w:fldCharType="begin"/>
            </w:r>
            <w:r w:rsidR="00AC4A07">
              <w:rPr>
                <w:noProof/>
                <w:webHidden/>
              </w:rPr>
              <w:instrText xml:space="preserve"> PAGEREF _Toc25228643 \h </w:instrText>
            </w:r>
            <w:r w:rsidR="00AC4A07">
              <w:rPr>
                <w:noProof/>
                <w:webHidden/>
              </w:rPr>
            </w:r>
            <w:r w:rsidR="00AC4A07">
              <w:rPr>
                <w:noProof/>
                <w:webHidden/>
              </w:rPr>
              <w:fldChar w:fldCharType="separate"/>
            </w:r>
            <w:r w:rsidR="00AC4A07">
              <w:rPr>
                <w:noProof/>
                <w:webHidden/>
              </w:rPr>
              <w:t>2</w:t>
            </w:r>
            <w:r w:rsidR="00AC4A07">
              <w:rPr>
                <w:noProof/>
                <w:webHidden/>
              </w:rPr>
              <w:fldChar w:fldCharType="end"/>
            </w:r>
          </w:hyperlink>
        </w:p>
        <w:p w14:paraId="2F0D1CF4" w14:textId="3D1E7092" w:rsidR="00AC4A07" w:rsidRDefault="00636534">
          <w:pPr>
            <w:pStyle w:val="Obsah1"/>
            <w:rPr>
              <w:rFonts w:eastAsiaTheme="minorEastAsia"/>
              <w:noProof/>
              <w:sz w:val="22"/>
              <w:lang w:eastAsia="cs-CZ"/>
            </w:rPr>
          </w:pPr>
          <w:hyperlink w:anchor="_Toc25228644" w:history="1">
            <w:r w:rsidR="00AC4A07" w:rsidRPr="00122842">
              <w:rPr>
                <w:rStyle w:val="Hypertextovodkaz"/>
                <w:noProof/>
              </w:rPr>
              <w:t>2</w:t>
            </w:r>
            <w:r w:rsidR="00AC4A07">
              <w:rPr>
                <w:rFonts w:eastAsiaTheme="minorEastAsia"/>
                <w:noProof/>
                <w:sz w:val="22"/>
                <w:lang w:eastAsia="cs-CZ"/>
              </w:rPr>
              <w:tab/>
            </w:r>
            <w:r w:rsidR="00AC4A07" w:rsidRPr="00122842">
              <w:rPr>
                <w:rStyle w:val="Hypertextovodkaz"/>
                <w:noProof/>
              </w:rPr>
              <w:t>Předmět zprávy</w:t>
            </w:r>
            <w:r w:rsidR="00AC4A07">
              <w:rPr>
                <w:noProof/>
                <w:webHidden/>
              </w:rPr>
              <w:tab/>
            </w:r>
            <w:r w:rsidR="00AC4A07">
              <w:rPr>
                <w:noProof/>
                <w:webHidden/>
              </w:rPr>
              <w:fldChar w:fldCharType="begin"/>
            </w:r>
            <w:r w:rsidR="00AC4A07">
              <w:rPr>
                <w:noProof/>
                <w:webHidden/>
              </w:rPr>
              <w:instrText xml:space="preserve"> PAGEREF _Toc25228644 \h </w:instrText>
            </w:r>
            <w:r w:rsidR="00AC4A07">
              <w:rPr>
                <w:noProof/>
                <w:webHidden/>
              </w:rPr>
            </w:r>
            <w:r w:rsidR="00AC4A07">
              <w:rPr>
                <w:noProof/>
                <w:webHidden/>
              </w:rPr>
              <w:fldChar w:fldCharType="separate"/>
            </w:r>
            <w:r w:rsidR="00AC4A07">
              <w:rPr>
                <w:noProof/>
                <w:webHidden/>
              </w:rPr>
              <w:t>4</w:t>
            </w:r>
            <w:r w:rsidR="00AC4A07">
              <w:rPr>
                <w:noProof/>
                <w:webHidden/>
              </w:rPr>
              <w:fldChar w:fldCharType="end"/>
            </w:r>
          </w:hyperlink>
        </w:p>
        <w:p w14:paraId="251C7DAE" w14:textId="6D563888" w:rsidR="00AC4A07" w:rsidRDefault="00636534">
          <w:pPr>
            <w:pStyle w:val="Obsah1"/>
            <w:rPr>
              <w:rFonts w:eastAsiaTheme="minorEastAsia"/>
              <w:noProof/>
              <w:sz w:val="22"/>
              <w:lang w:eastAsia="cs-CZ"/>
            </w:rPr>
          </w:pPr>
          <w:hyperlink w:anchor="_Toc25228645" w:history="1">
            <w:r w:rsidR="00AC4A07" w:rsidRPr="00122842">
              <w:rPr>
                <w:rStyle w:val="Hypertextovodkaz"/>
                <w:noProof/>
              </w:rPr>
              <w:t>3</w:t>
            </w:r>
            <w:r w:rsidR="00AC4A07">
              <w:rPr>
                <w:rFonts w:eastAsiaTheme="minorEastAsia"/>
                <w:noProof/>
                <w:sz w:val="22"/>
                <w:lang w:eastAsia="cs-CZ"/>
              </w:rPr>
              <w:tab/>
            </w:r>
            <w:r w:rsidR="00AC4A07" w:rsidRPr="00122842">
              <w:rPr>
                <w:rStyle w:val="Hypertextovodkaz"/>
                <w:noProof/>
              </w:rPr>
              <w:t>Návrh účelu implementační struktury a klíčových klientů organizace</w:t>
            </w:r>
            <w:r w:rsidR="00AC4A07">
              <w:rPr>
                <w:noProof/>
                <w:webHidden/>
              </w:rPr>
              <w:tab/>
            </w:r>
            <w:r w:rsidR="00AC4A07">
              <w:rPr>
                <w:noProof/>
                <w:webHidden/>
              </w:rPr>
              <w:fldChar w:fldCharType="begin"/>
            </w:r>
            <w:r w:rsidR="00AC4A07">
              <w:rPr>
                <w:noProof/>
                <w:webHidden/>
              </w:rPr>
              <w:instrText xml:space="preserve"> PAGEREF _Toc25228645 \h </w:instrText>
            </w:r>
            <w:r w:rsidR="00AC4A07">
              <w:rPr>
                <w:noProof/>
                <w:webHidden/>
              </w:rPr>
            </w:r>
            <w:r w:rsidR="00AC4A07">
              <w:rPr>
                <w:noProof/>
                <w:webHidden/>
              </w:rPr>
              <w:fldChar w:fldCharType="separate"/>
            </w:r>
            <w:r w:rsidR="00AC4A07">
              <w:rPr>
                <w:noProof/>
                <w:webHidden/>
              </w:rPr>
              <w:t>5</w:t>
            </w:r>
            <w:r w:rsidR="00AC4A07">
              <w:rPr>
                <w:noProof/>
                <w:webHidden/>
              </w:rPr>
              <w:fldChar w:fldCharType="end"/>
            </w:r>
          </w:hyperlink>
        </w:p>
        <w:p w14:paraId="510E4929" w14:textId="247F9E3C" w:rsidR="00AC4A07" w:rsidRDefault="00636534">
          <w:pPr>
            <w:pStyle w:val="Obsah1"/>
            <w:rPr>
              <w:rFonts w:eastAsiaTheme="minorEastAsia"/>
              <w:noProof/>
              <w:sz w:val="22"/>
              <w:lang w:eastAsia="cs-CZ"/>
            </w:rPr>
          </w:pPr>
          <w:hyperlink w:anchor="_Toc25228646" w:history="1">
            <w:r w:rsidR="00AC4A07" w:rsidRPr="00122842">
              <w:rPr>
                <w:rStyle w:val="Hypertextovodkaz"/>
                <w:noProof/>
              </w:rPr>
              <w:t>4</w:t>
            </w:r>
            <w:r w:rsidR="00AC4A07">
              <w:rPr>
                <w:rFonts w:eastAsiaTheme="minorEastAsia"/>
                <w:noProof/>
                <w:sz w:val="22"/>
                <w:lang w:eastAsia="cs-CZ"/>
              </w:rPr>
              <w:tab/>
            </w:r>
            <w:r w:rsidR="00AC4A07" w:rsidRPr="00122842">
              <w:rPr>
                <w:rStyle w:val="Hypertextovodkaz"/>
                <w:noProof/>
              </w:rPr>
              <w:t>Metodický postup</w:t>
            </w:r>
            <w:r w:rsidR="00AC4A07">
              <w:rPr>
                <w:noProof/>
                <w:webHidden/>
              </w:rPr>
              <w:tab/>
            </w:r>
            <w:r w:rsidR="00AC4A07">
              <w:rPr>
                <w:noProof/>
                <w:webHidden/>
              </w:rPr>
              <w:fldChar w:fldCharType="begin"/>
            </w:r>
            <w:r w:rsidR="00AC4A07">
              <w:rPr>
                <w:noProof/>
                <w:webHidden/>
              </w:rPr>
              <w:instrText xml:space="preserve"> PAGEREF _Toc25228646 \h </w:instrText>
            </w:r>
            <w:r w:rsidR="00AC4A07">
              <w:rPr>
                <w:noProof/>
                <w:webHidden/>
              </w:rPr>
            </w:r>
            <w:r w:rsidR="00AC4A07">
              <w:rPr>
                <w:noProof/>
                <w:webHidden/>
              </w:rPr>
              <w:fldChar w:fldCharType="separate"/>
            </w:r>
            <w:r w:rsidR="00AC4A07">
              <w:rPr>
                <w:noProof/>
                <w:webHidden/>
              </w:rPr>
              <w:t>8</w:t>
            </w:r>
            <w:r w:rsidR="00AC4A07">
              <w:rPr>
                <w:noProof/>
                <w:webHidden/>
              </w:rPr>
              <w:fldChar w:fldCharType="end"/>
            </w:r>
          </w:hyperlink>
        </w:p>
        <w:p w14:paraId="2C1998A4" w14:textId="5B771962" w:rsidR="00AC4A07" w:rsidRDefault="00636534">
          <w:pPr>
            <w:pStyle w:val="Obsah2"/>
            <w:tabs>
              <w:tab w:val="left" w:pos="660"/>
              <w:tab w:val="right" w:pos="9798"/>
            </w:tabs>
            <w:rPr>
              <w:rFonts w:eastAsiaTheme="minorEastAsia"/>
              <w:noProof/>
              <w:sz w:val="22"/>
              <w:lang w:eastAsia="cs-CZ"/>
            </w:rPr>
          </w:pPr>
          <w:hyperlink w:anchor="_Toc25228647" w:history="1">
            <w:r w:rsidR="00AC4A07" w:rsidRPr="00122842">
              <w:rPr>
                <w:rStyle w:val="Hypertextovodkaz"/>
                <w:noProof/>
              </w:rPr>
              <w:t>4.1</w:t>
            </w:r>
            <w:r w:rsidR="00AC4A07">
              <w:rPr>
                <w:rFonts w:eastAsiaTheme="minorEastAsia"/>
                <w:noProof/>
                <w:sz w:val="22"/>
                <w:lang w:eastAsia="cs-CZ"/>
              </w:rPr>
              <w:tab/>
            </w:r>
            <w:r w:rsidR="00AC4A07" w:rsidRPr="00122842">
              <w:rPr>
                <w:rStyle w:val="Hypertextovodkaz"/>
                <w:noProof/>
              </w:rPr>
              <w:t>Výběr evaluačních metod pro realizaci Projektu</w:t>
            </w:r>
            <w:r w:rsidR="00AC4A07">
              <w:rPr>
                <w:noProof/>
                <w:webHidden/>
              </w:rPr>
              <w:tab/>
            </w:r>
            <w:r w:rsidR="00AC4A07">
              <w:rPr>
                <w:noProof/>
                <w:webHidden/>
              </w:rPr>
              <w:fldChar w:fldCharType="begin"/>
            </w:r>
            <w:r w:rsidR="00AC4A07">
              <w:rPr>
                <w:noProof/>
                <w:webHidden/>
              </w:rPr>
              <w:instrText xml:space="preserve"> PAGEREF _Toc25228647 \h </w:instrText>
            </w:r>
            <w:r w:rsidR="00AC4A07">
              <w:rPr>
                <w:noProof/>
                <w:webHidden/>
              </w:rPr>
            </w:r>
            <w:r w:rsidR="00AC4A07">
              <w:rPr>
                <w:noProof/>
                <w:webHidden/>
              </w:rPr>
              <w:fldChar w:fldCharType="separate"/>
            </w:r>
            <w:r w:rsidR="00AC4A07">
              <w:rPr>
                <w:noProof/>
                <w:webHidden/>
              </w:rPr>
              <w:t>11</w:t>
            </w:r>
            <w:r w:rsidR="00AC4A07">
              <w:rPr>
                <w:noProof/>
                <w:webHidden/>
              </w:rPr>
              <w:fldChar w:fldCharType="end"/>
            </w:r>
          </w:hyperlink>
        </w:p>
        <w:p w14:paraId="6D0190E2" w14:textId="1683EEBC" w:rsidR="00AC4A07" w:rsidRDefault="00636534">
          <w:pPr>
            <w:pStyle w:val="Obsah1"/>
            <w:rPr>
              <w:rFonts w:eastAsiaTheme="minorEastAsia"/>
              <w:noProof/>
              <w:sz w:val="22"/>
              <w:lang w:eastAsia="cs-CZ"/>
            </w:rPr>
          </w:pPr>
          <w:hyperlink w:anchor="_Toc25228648" w:history="1">
            <w:r w:rsidR="00AC4A07" w:rsidRPr="00122842">
              <w:rPr>
                <w:rStyle w:val="Hypertextovodkaz"/>
                <w:noProof/>
              </w:rPr>
              <w:t>5</w:t>
            </w:r>
            <w:r w:rsidR="00AC4A07">
              <w:rPr>
                <w:rFonts w:eastAsiaTheme="minorEastAsia"/>
                <w:noProof/>
                <w:sz w:val="22"/>
                <w:lang w:eastAsia="cs-CZ"/>
              </w:rPr>
              <w:tab/>
            </w:r>
            <w:r w:rsidR="00AC4A07" w:rsidRPr="00122842">
              <w:rPr>
                <w:rStyle w:val="Hypertextovodkaz"/>
                <w:noProof/>
              </w:rPr>
              <w:t>Detailní postup realizace jednotlivých evaluačních metod</w:t>
            </w:r>
            <w:r w:rsidR="00AC4A07">
              <w:rPr>
                <w:noProof/>
                <w:webHidden/>
              </w:rPr>
              <w:tab/>
            </w:r>
            <w:r w:rsidR="00AC4A07">
              <w:rPr>
                <w:noProof/>
                <w:webHidden/>
              </w:rPr>
              <w:fldChar w:fldCharType="begin"/>
            </w:r>
            <w:r w:rsidR="00AC4A07">
              <w:rPr>
                <w:noProof/>
                <w:webHidden/>
              </w:rPr>
              <w:instrText xml:space="preserve"> PAGEREF _Toc25228648 \h </w:instrText>
            </w:r>
            <w:r w:rsidR="00AC4A07">
              <w:rPr>
                <w:noProof/>
                <w:webHidden/>
              </w:rPr>
            </w:r>
            <w:r w:rsidR="00AC4A07">
              <w:rPr>
                <w:noProof/>
                <w:webHidden/>
              </w:rPr>
              <w:fldChar w:fldCharType="separate"/>
            </w:r>
            <w:r w:rsidR="00AC4A07">
              <w:rPr>
                <w:noProof/>
                <w:webHidden/>
              </w:rPr>
              <w:t>15</w:t>
            </w:r>
            <w:r w:rsidR="00AC4A07">
              <w:rPr>
                <w:noProof/>
                <w:webHidden/>
              </w:rPr>
              <w:fldChar w:fldCharType="end"/>
            </w:r>
          </w:hyperlink>
        </w:p>
        <w:p w14:paraId="70202EFA" w14:textId="1AAA0D0B" w:rsidR="00AC4A07" w:rsidRDefault="00636534">
          <w:pPr>
            <w:pStyle w:val="Obsah2"/>
            <w:tabs>
              <w:tab w:val="left" w:pos="660"/>
              <w:tab w:val="right" w:pos="9798"/>
            </w:tabs>
            <w:rPr>
              <w:rFonts w:eastAsiaTheme="minorEastAsia"/>
              <w:noProof/>
              <w:sz w:val="22"/>
              <w:lang w:eastAsia="cs-CZ"/>
            </w:rPr>
          </w:pPr>
          <w:hyperlink w:anchor="_Toc25228649" w:history="1">
            <w:r w:rsidR="00AC4A07" w:rsidRPr="00122842">
              <w:rPr>
                <w:rStyle w:val="Hypertextovodkaz"/>
                <w:noProof/>
              </w:rPr>
              <w:t>5.1</w:t>
            </w:r>
            <w:r w:rsidR="00AC4A07">
              <w:rPr>
                <w:rFonts w:eastAsiaTheme="minorEastAsia"/>
                <w:noProof/>
                <w:sz w:val="22"/>
                <w:lang w:eastAsia="cs-CZ"/>
              </w:rPr>
              <w:tab/>
            </w:r>
            <w:r w:rsidR="00AC4A07" w:rsidRPr="00122842">
              <w:rPr>
                <w:rStyle w:val="Hypertextovodkaz"/>
                <w:noProof/>
              </w:rPr>
              <w:t>Analýza sekundárních zdrojů a dat</w:t>
            </w:r>
            <w:r w:rsidR="00AC4A07">
              <w:rPr>
                <w:noProof/>
                <w:webHidden/>
              </w:rPr>
              <w:tab/>
            </w:r>
            <w:r w:rsidR="00AC4A07">
              <w:rPr>
                <w:noProof/>
                <w:webHidden/>
              </w:rPr>
              <w:fldChar w:fldCharType="begin"/>
            </w:r>
            <w:r w:rsidR="00AC4A07">
              <w:rPr>
                <w:noProof/>
                <w:webHidden/>
              </w:rPr>
              <w:instrText xml:space="preserve"> PAGEREF _Toc25228649 \h </w:instrText>
            </w:r>
            <w:r w:rsidR="00AC4A07">
              <w:rPr>
                <w:noProof/>
                <w:webHidden/>
              </w:rPr>
            </w:r>
            <w:r w:rsidR="00AC4A07">
              <w:rPr>
                <w:noProof/>
                <w:webHidden/>
              </w:rPr>
              <w:fldChar w:fldCharType="separate"/>
            </w:r>
            <w:r w:rsidR="00AC4A07">
              <w:rPr>
                <w:noProof/>
                <w:webHidden/>
              </w:rPr>
              <w:t>15</w:t>
            </w:r>
            <w:r w:rsidR="00AC4A07">
              <w:rPr>
                <w:noProof/>
                <w:webHidden/>
              </w:rPr>
              <w:fldChar w:fldCharType="end"/>
            </w:r>
          </w:hyperlink>
        </w:p>
        <w:p w14:paraId="1DB716D9" w14:textId="4EAC7CEA" w:rsidR="00AC4A07" w:rsidRDefault="00636534">
          <w:pPr>
            <w:pStyle w:val="Obsah2"/>
            <w:tabs>
              <w:tab w:val="left" w:pos="660"/>
              <w:tab w:val="right" w:pos="9798"/>
            </w:tabs>
            <w:rPr>
              <w:rFonts w:eastAsiaTheme="minorEastAsia"/>
              <w:noProof/>
              <w:sz w:val="22"/>
              <w:lang w:eastAsia="cs-CZ"/>
            </w:rPr>
          </w:pPr>
          <w:hyperlink w:anchor="_Toc25228650" w:history="1">
            <w:r w:rsidR="00AC4A07" w:rsidRPr="00122842">
              <w:rPr>
                <w:rStyle w:val="Hypertextovodkaz"/>
                <w:noProof/>
              </w:rPr>
              <w:t>5.2</w:t>
            </w:r>
            <w:r w:rsidR="00AC4A07">
              <w:rPr>
                <w:rFonts w:eastAsiaTheme="minorEastAsia"/>
                <w:noProof/>
                <w:sz w:val="22"/>
                <w:lang w:eastAsia="cs-CZ"/>
              </w:rPr>
              <w:tab/>
            </w:r>
            <w:r w:rsidR="00AC4A07" w:rsidRPr="00122842">
              <w:rPr>
                <w:rStyle w:val="Hypertextovodkaz"/>
                <w:noProof/>
              </w:rPr>
              <w:t>Dotazníkové šetření</w:t>
            </w:r>
            <w:r w:rsidR="00AC4A07">
              <w:rPr>
                <w:noProof/>
                <w:webHidden/>
              </w:rPr>
              <w:tab/>
            </w:r>
            <w:r w:rsidR="00AC4A07">
              <w:rPr>
                <w:noProof/>
                <w:webHidden/>
              </w:rPr>
              <w:fldChar w:fldCharType="begin"/>
            </w:r>
            <w:r w:rsidR="00AC4A07">
              <w:rPr>
                <w:noProof/>
                <w:webHidden/>
              </w:rPr>
              <w:instrText xml:space="preserve"> PAGEREF _Toc25228650 \h </w:instrText>
            </w:r>
            <w:r w:rsidR="00AC4A07">
              <w:rPr>
                <w:noProof/>
                <w:webHidden/>
              </w:rPr>
            </w:r>
            <w:r w:rsidR="00AC4A07">
              <w:rPr>
                <w:noProof/>
                <w:webHidden/>
              </w:rPr>
              <w:fldChar w:fldCharType="separate"/>
            </w:r>
            <w:r w:rsidR="00AC4A07">
              <w:rPr>
                <w:noProof/>
                <w:webHidden/>
              </w:rPr>
              <w:t>16</w:t>
            </w:r>
            <w:r w:rsidR="00AC4A07">
              <w:rPr>
                <w:noProof/>
                <w:webHidden/>
              </w:rPr>
              <w:fldChar w:fldCharType="end"/>
            </w:r>
          </w:hyperlink>
        </w:p>
        <w:p w14:paraId="13F43736" w14:textId="3F25245D" w:rsidR="00AC4A07" w:rsidRDefault="00636534">
          <w:pPr>
            <w:pStyle w:val="Obsah2"/>
            <w:tabs>
              <w:tab w:val="left" w:pos="660"/>
              <w:tab w:val="right" w:pos="9798"/>
            </w:tabs>
            <w:rPr>
              <w:rFonts w:eastAsiaTheme="minorEastAsia"/>
              <w:noProof/>
              <w:sz w:val="22"/>
              <w:lang w:eastAsia="cs-CZ"/>
            </w:rPr>
          </w:pPr>
          <w:hyperlink w:anchor="_Toc25228651" w:history="1">
            <w:r w:rsidR="00AC4A07" w:rsidRPr="00122842">
              <w:rPr>
                <w:rStyle w:val="Hypertextovodkaz"/>
                <w:noProof/>
              </w:rPr>
              <w:t>5.3</w:t>
            </w:r>
            <w:r w:rsidR="00AC4A07">
              <w:rPr>
                <w:rFonts w:eastAsiaTheme="minorEastAsia"/>
                <w:noProof/>
                <w:sz w:val="22"/>
                <w:lang w:eastAsia="cs-CZ"/>
              </w:rPr>
              <w:tab/>
            </w:r>
            <w:r w:rsidR="00AC4A07" w:rsidRPr="00122842">
              <w:rPr>
                <w:rStyle w:val="Hypertextovodkaz"/>
                <w:noProof/>
              </w:rPr>
              <w:t>Individuální hloubkové rozhovory</w:t>
            </w:r>
            <w:r w:rsidR="00AC4A07">
              <w:rPr>
                <w:noProof/>
                <w:webHidden/>
              </w:rPr>
              <w:tab/>
            </w:r>
            <w:r w:rsidR="00AC4A07">
              <w:rPr>
                <w:noProof/>
                <w:webHidden/>
              </w:rPr>
              <w:fldChar w:fldCharType="begin"/>
            </w:r>
            <w:r w:rsidR="00AC4A07">
              <w:rPr>
                <w:noProof/>
                <w:webHidden/>
              </w:rPr>
              <w:instrText xml:space="preserve"> PAGEREF _Toc25228651 \h </w:instrText>
            </w:r>
            <w:r w:rsidR="00AC4A07">
              <w:rPr>
                <w:noProof/>
                <w:webHidden/>
              </w:rPr>
            </w:r>
            <w:r w:rsidR="00AC4A07">
              <w:rPr>
                <w:noProof/>
                <w:webHidden/>
              </w:rPr>
              <w:fldChar w:fldCharType="separate"/>
            </w:r>
            <w:r w:rsidR="00AC4A07">
              <w:rPr>
                <w:noProof/>
                <w:webHidden/>
              </w:rPr>
              <w:t>18</w:t>
            </w:r>
            <w:r w:rsidR="00AC4A07">
              <w:rPr>
                <w:noProof/>
                <w:webHidden/>
              </w:rPr>
              <w:fldChar w:fldCharType="end"/>
            </w:r>
          </w:hyperlink>
        </w:p>
        <w:p w14:paraId="1AF6C4D2" w14:textId="6B4C10BB" w:rsidR="00AC4A07" w:rsidRDefault="00636534">
          <w:pPr>
            <w:pStyle w:val="Obsah2"/>
            <w:tabs>
              <w:tab w:val="left" w:pos="660"/>
              <w:tab w:val="right" w:pos="9798"/>
            </w:tabs>
            <w:rPr>
              <w:rFonts w:eastAsiaTheme="minorEastAsia"/>
              <w:noProof/>
              <w:sz w:val="22"/>
              <w:lang w:eastAsia="cs-CZ"/>
            </w:rPr>
          </w:pPr>
          <w:hyperlink w:anchor="_Toc25228652" w:history="1">
            <w:r w:rsidR="00AC4A07" w:rsidRPr="00122842">
              <w:rPr>
                <w:rStyle w:val="Hypertextovodkaz"/>
                <w:noProof/>
              </w:rPr>
              <w:t>5.4</w:t>
            </w:r>
            <w:r w:rsidR="00AC4A07">
              <w:rPr>
                <w:rFonts w:eastAsiaTheme="minorEastAsia"/>
                <w:noProof/>
                <w:sz w:val="22"/>
                <w:lang w:eastAsia="cs-CZ"/>
              </w:rPr>
              <w:tab/>
            </w:r>
            <w:r w:rsidR="00AC4A07" w:rsidRPr="00122842">
              <w:rPr>
                <w:rStyle w:val="Hypertextovodkaz"/>
                <w:noProof/>
              </w:rPr>
              <w:t>Fokusní skupina</w:t>
            </w:r>
            <w:r w:rsidR="00AC4A07">
              <w:rPr>
                <w:noProof/>
                <w:webHidden/>
              </w:rPr>
              <w:tab/>
            </w:r>
            <w:r w:rsidR="00AC4A07">
              <w:rPr>
                <w:noProof/>
                <w:webHidden/>
              </w:rPr>
              <w:fldChar w:fldCharType="begin"/>
            </w:r>
            <w:r w:rsidR="00AC4A07">
              <w:rPr>
                <w:noProof/>
                <w:webHidden/>
              </w:rPr>
              <w:instrText xml:space="preserve"> PAGEREF _Toc25228652 \h </w:instrText>
            </w:r>
            <w:r w:rsidR="00AC4A07">
              <w:rPr>
                <w:noProof/>
                <w:webHidden/>
              </w:rPr>
            </w:r>
            <w:r w:rsidR="00AC4A07">
              <w:rPr>
                <w:noProof/>
                <w:webHidden/>
              </w:rPr>
              <w:fldChar w:fldCharType="separate"/>
            </w:r>
            <w:r w:rsidR="00AC4A07">
              <w:rPr>
                <w:noProof/>
                <w:webHidden/>
              </w:rPr>
              <w:t>20</w:t>
            </w:r>
            <w:r w:rsidR="00AC4A07">
              <w:rPr>
                <w:noProof/>
                <w:webHidden/>
              </w:rPr>
              <w:fldChar w:fldCharType="end"/>
            </w:r>
          </w:hyperlink>
        </w:p>
        <w:p w14:paraId="07E97A98" w14:textId="6BB9748B" w:rsidR="00AC4A07" w:rsidRDefault="00636534">
          <w:pPr>
            <w:pStyle w:val="Obsah2"/>
            <w:tabs>
              <w:tab w:val="left" w:pos="660"/>
              <w:tab w:val="right" w:pos="9798"/>
            </w:tabs>
            <w:rPr>
              <w:rFonts w:eastAsiaTheme="minorEastAsia"/>
              <w:noProof/>
              <w:sz w:val="22"/>
              <w:lang w:eastAsia="cs-CZ"/>
            </w:rPr>
          </w:pPr>
          <w:hyperlink w:anchor="_Toc25228653" w:history="1">
            <w:r w:rsidR="00AC4A07" w:rsidRPr="00122842">
              <w:rPr>
                <w:rStyle w:val="Hypertextovodkaz"/>
                <w:noProof/>
              </w:rPr>
              <w:t>5.5</w:t>
            </w:r>
            <w:r w:rsidR="00AC4A07">
              <w:rPr>
                <w:rFonts w:eastAsiaTheme="minorEastAsia"/>
                <w:noProof/>
                <w:sz w:val="22"/>
                <w:lang w:eastAsia="cs-CZ"/>
              </w:rPr>
              <w:tab/>
            </w:r>
            <w:r w:rsidR="00AC4A07" w:rsidRPr="00122842">
              <w:rPr>
                <w:rStyle w:val="Hypertextovodkaz"/>
                <w:noProof/>
              </w:rPr>
              <w:t>Expertní panel</w:t>
            </w:r>
            <w:r w:rsidR="00AC4A07">
              <w:rPr>
                <w:noProof/>
                <w:webHidden/>
              </w:rPr>
              <w:tab/>
            </w:r>
            <w:r w:rsidR="00AC4A07">
              <w:rPr>
                <w:noProof/>
                <w:webHidden/>
              </w:rPr>
              <w:fldChar w:fldCharType="begin"/>
            </w:r>
            <w:r w:rsidR="00AC4A07">
              <w:rPr>
                <w:noProof/>
                <w:webHidden/>
              </w:rPr>
              <w:instrText xml:space="preserve"> PAGEREF _Toc25228653 \h </w:instrText>
            </w:r>
            <w:r w:rsidR="00AC4A07">
              <w:rPr>
                <w:noProof/>
                <w:webHidden/>
              </w:rPr>
            </w:r>
            <w:r w:rsidR="00AC4A07">
              <w:rPr>
                <w:noProof/>
                <w:webHidden/>
              </w:rPr>
              <w:fldChar w:fldCharType="separate"/>
            </w:r>
            <w:r w:rsidR="00AC4A07">
              <w:rPr>
                <w:noProof/>
                <w:webHidden/>
              </w:rPr>
              <w:t>21</w:t>
            </w:r>
            <w:r w:rsidR="00AC4A07">
              <w:rPr>
                <w:noProof/>
                <w:webHidden/>
              </w:rPr>
              <w:fldChar w:fldCharType="end"/>
            </w:r>
          </w:hyperlink>
        </w:p>
        <w:p w14:paraId="2310C594" w14:textId="531E064A" w:rsidR="00AC4A07" w:rsidRDefault="00636534">
          <w:pPr>
            <w:pStyle w:val="Obsah1"/>
            <w:rPr>
              <w:rFonts w:eastAsiaTheme="minorEastAsia"/>
              <w:noProof/>
              <w:sz w:val="22"/>
              <w:lang w:eastAsia="cs-CZ"/>
            </w:rPr>
          </w:pPr>
          <w:hyperlink w:anchor="_Toc25228654" w:history="1">
            <w:r w:rsidR="00AC4A07" w:rsidRPr="00122842">
              <w:rPr>
                <w:rStyle w:val="Hypertextovodkaz"/>
                <w:noProof/>
              </w:rPr>
              <w:t>6</w:t>
            </w:r>
            <w:r w:rsidR="00AC4A07">
              <w:rPr>
                <w:rFonts w:eastAsiaTheme="minorEastAsia"/>
                <w:noProof/>
                <w:sz w:val="22"/>
                <w:lang w:eastAsia="cs-CZ"/>
              </w:rPr>
              <w:tab/>
            </w:r>
            <w:r w:rsidR="00AC4A07" w:rsidRPr="00122842">
              <w:rPr>
                <w:rStyle w:val="Hypertextovodkaz"/>
                <w:noProof/>
              </w:rPr>
              <w:t>Harmonogram plnění</w:t>
            </w:r>
            <w:r w:rsidR="00AC4A07">
              <w:rPr>
                <w:noProof/>
                <w:webHidden/>
              </w:rPr>
              <w:tab/>
            </w:r>
            <w:r w:rsidR="00AC4A07">
              <w:rPr>
                <w:noProof/>
                <w:webHidden/>
              </w:rPr>
              <w:fldChar w:fldCharType="begin"/>
            </w:r>
            <w:r w:rsidR="00AC4A07">
              <w:rPr>
                <w:noProof/>
                <w:webHidden/>
              </w:rPr>
              <w:instrText xml:space="preserve"> PAGEREF _Toc25228654 \h </w:instrText>
            </w:r>
            <w:r w:rsidR="00AC4A07">
              <w:rPr>
                <w:noProof/>
                <w:webHidden/>
              </w:rPr>
            </w:r>
            <w:r w:rsidR="00AC4A07">
              <w:rPr>
                <w:noProof/>
                <w:webHidden/>
              </w:rPr>
              <w:fldChar w:fldCharType="separate"/>
            </w:r>
            <w:r w:rsidR="00AC4A07">
              <w:rPr>
                <w:noProof/>
                <w:webHidden/>
              </w:rPr>
              <w:t>22</w:t>
            </w:r>
            <w:r w:rsidR="00AC4A07">
              <w:rPr>
                <w:noProof/>
                <w:webHidden/>
              </w:rPr>
              <w:fldChar w:fldCharType="end"/>
            </w:r>
          </w:hyperlink>
        </w:p>
        <w:p w14:paraId="5578869F" w14:textId="52B2B70E" w:rsidR="00AC4A07" w:rsidRDefault="00636534">
          <w:pPr>
            <w:pStyle w:val="Obsah2"/>
            <w:tabs>
              <w:tab w:val="left" w:pos="660"/>
              <w:tab w:val="right" w:pos="9798"/>
            </w:tabs>
            <w:rPr>
              <w:rFonts w:eastAsiaTheme="minorEastAsia"/>
              <w:noProof/>
              <w:sz w:val="22"/>
              <w:lang w:eastAsia="cs-CZ"/>
            </w:rPr>
          </w:pPr>
          <w:hyperlink w:anchor="_Toc25228655" w:history="1">
            <w:r w:rsidR="00AC4A07" w:rsidRPr="00122842">
              <w:rPr>
                <w:rStyle w:val="Hypertextovodkaz"/>
                <w:noProof/>
              </w:rPr>
              <w:t>6.1</w:t>
            </w:r>
            <w:r w:rsidR="00AC4A07">
              <w:rPr>
                <w:rFonts w:eastAsiaTheme="minorEastAsia"/>
                <w:noProof/>
                <w:sz w:val="22"/>
                <w:lang w:eastAsia="cs-CZ"/>
              </w:rPr>
              <w:tab/>
            </w:r>
            <w:r w:rsidR="00AC4A07" w:rsidRPr="00122842">
              <w:rPr>
                <w:rStyle w:val="Hypertextovodkaz"/>
                <w:noProof/>
              </w:rPr>
              <w:t>Principy logické provázanosti činností a minimalizace zbytných kroků</w:t>
            </w:r>
            <w:r w:rsidR="00AC4A07">
              <w:rPr>
                <w:noProof/>
                <w:webHidden/>
              </w:rPr>
              <w:tab/>
            </w:r>
            <w:r w:rsidR="00AC4A07">
              <w:rPr>
                <w:noProof/>
                <w:webHidden/>
              </w:rPr>
              <w:fldChar w:fldCharType="begin"/>
            </w:r>
            <w:r w:rsidR="00AC4A07">
              <w:rPr>
                <w:noProof/>
                <w:webHidden/>
              </w:rPr>
              <w:instrText xml:space="preserve"> PAGEREF _Toc25228655 \h </w:instrText>
            </w:r>
            <w:r w:rsidR="00AC4A07">
              <w:rPr>
                <w:noProof/>
                <w:webHidden/>
              </w:rPr>
            </w:r>
            <w:r w:rsidR="00AC4A07">
              <w:rPr>
                <w:noProof/>
                <w:webHidden/>
              </w:rPr>
              <w:fldChar w:fldCharType="separate"/>
            </w:r>
            <w:r w:rsidR="00AC4A07">
              <w:rPr>
                <w:noProof/>
                <w:webHidden/>
              </w:rPr>
              <w:t>23</w:t>
            </w:r>
            <w:r w:rsidR="00AC4A07">
              <w:rPr>
                <w:noProof/>
                <w:webHidden/>
              </w:rPr>
              <w:fldChar w:fldCharType="end"/>
            </w:r>
          </w:hyperlink>
        </w:p>
        <w:p w14:paraId="0BD16306" w14:textId="4EBABA30" w:rsidR="00AC4A07" w:rsidRDefault="00636534">
          <w:pPr>
            <w:pStyle w:val="Obsah1"/>
            <w:rPr>
              <w:rFonts w:eastAsiaTheme="minorEastAsia"/>
              <w:noProof/>
              <w:sz w:val="22"/>
              <w:lang w:eastAsia="cs-CZ"/>
            </w:rPr>
          </w:pPr>
          <w:hyperlink w:anchor="_Toc25228656" w:history="1">
            <w:r w:rsidR="00AC4A07" w:rsidRPr="00122842">
              <w:rPr>
                <w:rStyle w:val="Hypertextovodkaz"/>
                <w:noProof/>
              </w:rPr>
              <w:t>7</w:t>
            </w:r>
            <w:r w:rsidR="00AC4A07">
              <w:rPr>
                <w:rFonts w:eastAsiaTheme="minorEastAsia"/>
                <w:noProof/>
                <w:sz w:val="22"/>
                <w:lang w:eastAsia="cs-CZ"/>
              </w:rPr>
              <w:tab/>
            </w:r>
            <w:r w:rsidR="00AC4A07" w:rsidRPr="00122842">
              <w:rPr>
                <w:rStyle w:val="Hypertextovodkaz"/>
                <w:noProof/>
              </w:rPr>
              <w:t>Projektové řízení</w:t>
            </w:r>
            <w:r w:rsidR="00AC4A07">
              <w:rPr>
                <w:noProof/>
                <w:webHidden/>
              </w:rPr>
              <w:tab/>
            </w:r>
            <w:r w:rsidR="00AC4A07">
              <w:rPr>
                <w:noProof/>
                <w:webHidden/>
              </w:rPr>
              <w:fldChar w:fldCharType="begin"/>
            </w:r>
            <w:r w:rsidR="00AC4A07">
              <w:rPr>
                <w:noProof/>
                <w:webHidden/>
              </w:rPr>
              <w:instrText xml:space="preserve"> PAGEREF _Toc25228656 \h </w:instrText>
            </w:r>
            <w:r w:rsidR="00AC4A07">
              <w:rPr>
                <w:noProof/>
                <w:webHidden/>
              </w:rPr>
            </w:r>
            <w:r w:rsidR="00AC4A07">
              <w:rPr>
                <w:noProof/>
                <w:webHidden/>
              </w:rPr>
              <w:fldChar w:fldCharType="separate"/>
            </w:r>
            <w:r w:rsidR="00AC4A07">
              <w:rPr>
                <w:noProof/>
                <w:webHidden/>
              </w:rPr>
              <w:t>25</w:t>
            </w:r>
            <w:r w:rsidR="00AC4A07">
              <w:rPr>
                <w:noProof/>
                <w:webHidden/>
              </w:rPr>
              <w:fldChar w:fldCharType="end"/>
            </w:r>
          </w:hyperlink>
        </w:p>
        <w:p w14:paraId="7AD087D0" w14:textId="1427164E" w:rsidR="00AC4A07" w:rsidRDefault="00636534">
          <w:pPr>
            <w:pStyle w:val="Obsah2"/>
            <w:tabs>
              <w:tab w:val="left" w:pos="660"/>
              <w:tab w:val="right" w:pos="9798"/>
            </w:tabs>
            <w:rPr>
              <w:rFonts w:eastAsiaTheme="minorEastAsia"/>
              <w:noProof/>
              <w:sz w:val="22"/>
              <w:lang w:eastAsia="cs-CZ"/>
            </w:rPr>
          </w:pPr>
          <w:hyperlink w:anchor="_Toc25228657" w:history="1">
            <w:r w:rsidR="00AC4A07" w:rsidRPr="00122842">
              <w:rPr>
                <w:rStyle w:val="Hypertextovodkaz"/>
                <w:noProof/>
              </w:rPr>
              <w:t>7.1</w:t>
            </w:r>
            <w:r w:rsidR="00AC4A07">
              <w:rPr>
                <w:rFonts w:eastAsiaTheme="minorEastAsia"/>
                <w:noProof/>
                <w:sz w:val="22"/>
                <w:lang w:eastAsia="cs-CZ"/>
              </w:rPr>
              <w:tab/>
            </w:r>
            <w:r w:rsidR="00AC4A07" w:rsidRPr="00122842">
              <w:rPr>
                <w:rStyle w:val="Hypertextovodkaz"/>
                <w:noProof/>
              </w:rPr>
              <w:t>Připomínkovací a akceptační proces</w:t>
            </w:r>
            <w:r w:rsidR="00AC4A07">
              <w:rPr>
                <w:noProof/>
                <w:webHidden/>
              </w:rPr>
              <w:tab/>
            </w:r>
            <w:r w:rsidR="00AC4A07">
              <w:rPr>
                <w:noProof/>
                <w:webHidden/>
              </w:rPr>
              <w:fldChar w:fldCharType="begin"/>
            </w:r>
            <w:r w:rsidR="00AC4A07">
              <w:rPr>
                <w:noProof/>
                <w:webHidden/>
              </w:rPr>
              <w:instrText xml:space="preserve"> PAGEREF _Toc25228657 \h </w:instrText>
            </w:r>
            <w:r w:rsidR="00AC4A07">
              <w:rPr>
                <w:noProof/>
                <w:webHidden/>
              </w:rPr>
            </w:r>
            <w:r w:rsidR="00AC4A07">
              <w:rPr>
                <w:noProof/>
                <w:webHidden/>
              </w:rPr>
              <w:fldChar w:fldCharType="separate"/>
            </w:r>
            <w:r w:rsidR="00AC4A07">
              <w:rPr>
                <w:noProof/>
                <w:webHidden/>
              </w:rPr>
              <w:t>25</w:t>
            </w:r>
            <w:r w:rsidR="00AC4A07">
              <w:rPr>
                <w:noProof/>
                <w:webHidden/>
              </w:rPr>
              <w:fldChar w:fldCharType="end"/>
            </w:r>
          </w:hyperlink>
        </w:p>
        <w:p w14:paraId="2CF71DF7" w14:textId="509EC0D6" w:rsidR="00AC4A07" w:rsidRDefault="00636534">
          <w:pPr>
            <w:pStyle w:val="Obsah1"/>
            <w:rPr>
              <w:rFonts w:eastAsiaTheme="minorEastAsia"/>
              <w:noProof/>
              <w:sz w:val="22"/>
              <w:lang w:eastAsia="cs-CZ"/>
            </w:rPr>
          </w:pPr>
          <w:hyperlink w:anchor="_Toc25228658" w:history="1">
            <w:r w:rsidR="00AC4A07" w:rsidRPr="00122842">
              <w:rPr>
                <w:rStyle w:val="Hypertextovodkaz"/>
                <w:noProof/>
              </w:rPr>
              <w:t>Přílohy</w:t>
            </w:r>
            <w:r w:rsidR="00AC4A07">
              <w:rPr>
                <w:noProof/>
                <w:webHidden/>
              </w:rPr>
              <w:tab/>
            </w:r>
            <w:r w:rsidR="00AC4A07">
              <w:rPr>
                <w:noProof/>
                <w:webHidden/>
              </w:rPr>
              <w:fldChar w:fldCharType="begin"/>
            </w:r>
            <w:r w:rsidR="00AC4A07">
              <w:rPr>
                <w:noProof/>
                <w:webHidden/>
              </w:rPr>
              <w:instrText xml:space="preserve"> PAGEREF _Toc25228658 \h </w:instrText>
            </w:r>
            <w:r w:rsidR="00AC4A07">
              <w:rPr>
                <w:noProof/>
                <w:webHidden/>
              </w:rPr>
            </w:r>
            <w:r w:rsidR="00AC4A07">
              <w:rPr>
                <w:noProof/>
                <w:webHidden/>
              </w:rPr>
              <w:fldChar w:fldCharType="separate"/>
            </w:r>
            <w:r w:rsidR="00AC4A07">
              <w:rPr>
                <w:noProof/>
                <w:webHidden/>
              </w:rPr>
              <w:t>27</w:t>
            </w:r>
            <w:r w:rsidR="00AC4A07">
              <w:rPr>
                <w:noProof/>
                <w:webHidden/>
              </w:rPr>
              <w:fldChar w:fldCharType="end"/>
            </w:r>
          </w:hyperlink>
        </w:p>
        <w:p w14:paraId="1F4559AF" w14:textId="234C835E" w:rsidR="00AC4A07" w:rsidRDefault="00636534">
          <w:pPr>
            <w:pStyle w:val="Obsah1"/>
            <w:rPr>
              <w:rFonts w:eastAsiaTheme="minorEastAsia"/>
              <w:noProof/>
              <w:sz w:val="22"/>
              <w:lang w:eastAsia="cs-CZ"/>
            </w:rPr>
          </w:pPr>
          <w:hyperlink w:anchor="_Toc25228659" w:history="1">
            <w:r w:rsidR="00AC4A07" w:rsidRPr="00122842">
              <w:rPr>
                <w:rStyle w:val="Hypertextovodkaz"/>
                <w:noProof/>
              </w:rPr>
              <w:t>Příloha 1: Datový požadavek Dodavatele a předaná data</w:t>
            </w:r>
            <w:r w:rsidR="00AC4A07">
              <w:rPr>
                <w:noProof/>
                <w:webHidden/>
              </w:rPr>
              <w:tab/>
            </w:r>
            <w:r w:rsidR="00AC4A07">
              <w:rPr>
                <w:noProof/>
                <w:webHidden/>
              </w:rPr>
              <w:fldChar w:fldCharType="begin"/>
            </w:r>
            <w:r w:rsidR="00AC4A07">
              <w:rPr>
                <w:noProof/>
                <w:webHidden/>
              </w:rPr>
              <w:instrText xml:space="preserve"> PAGEREF _Toc25228659 \h </w:instrText>
            </w:r>
            <w:r w:rsidR="00AC4A07">
              <w:rPr>
                <w:noProof/>
                <w:webHidden/>
              </w:rPr>
            </w:r>
            <w:r w:rsidR="00AC4A07">
              <w:rPr>
                <w:noProof/>
                <w:webHidden/>
              </w:rPr>
              <w:fldChar w:fldCharType="separate"/>
            </w:r>
            <w:r w:rsidR="00AC4A07">
              <w:rPr>
                <w:noProof/>
                <w:webHidden/>
              </w:rPr>
              <w:t>28</w:t>
            </w:r>
            <w:r w:rsidR="00AC4A07">
              <w:rPr>
                <w:noProof/>
                <w:webHidden/>
              </w:rPr>
              <w:fldChar w:fldCharType="end"/>
            </w:r>
          </w:hyperlink>
        </w:p>
        <w:p w14:paraId="428E56F5" w14:textId="5838FB42" w:rsidR="00AC4A07" w:rsidRDefault="00636534">
          <w:pPr>
            <w:pStyle w:val="Obsah1"/>
            <w:rPr>
              <w:rFonts w:eastAsiaTheme="minorEastAsia"/>
              <w:noProof/>
              <w:sz w:val="22"/>
              <w:lang w:eastAsia="cs-CZ"/>
            </w:rPr>
          </w:pPr>
          <w:hyperlink w:anchor="_Toc25228660" w:history="1">
            <w:r w:rsidR="00AC4A07" w:rsidRPr="00122842">
              <w:rPr>
                <w:rStyle w:val="Hypertextovodkaz"/>
                <w:noProof/>
              </w:rPr>
              <w:t>Příloha 2: Evaluační otázky pro zodpovězení v rámci jednotlivých evaluačních metod</w:t>
            </w:r>
            <w:r w:rsidR="00AC4A07">
              <w:rPr>
                <w:noProof/>
                <w:webHidden/>
              </w:rPr>
              <w:tab/>
            </w:r>
            <w:r w:rsidR="00AC4A07">
              <w:rPr>
                <w:noProof/>
                <w:webHidden/>
              </w:rPr>
              <w:fldChar w:fldCharType="begin"/>
            </w:r>
            <w:r w:rsidR="00AC4A07">
              <w:rPr>
                <w:noProof/>
                <w:webHidden/>
              </w:rPr>
              <w:instrText xml:space="preserve"> PAGEREF _Toc25228660 \h </w:instrText>
            </w:r>
            <w:r w:rsidR="00AC4A07">
              <w:rPr>
                <w:noProof/>
                <w:webHidden/>
              </w:rPr>
            </w:r>
            <w:r w:rsidR="00AC4A07">
              <w:rPr>
                <w:noProof/>
                <w:webHidden/>
              </w:rPr>
              <w:fldChar w:fldCharType="separate"/>
            </w:r>
            <w:r w:rsidR="00AC4A07">
              <w:rPr>
                <w:noProof/>
                <w:webHidden/>
              </w:rPr>
              <w:t>29</w:t>
            </w:r>
            <w:r w:rsidR="00AC4A07">
              <w:rPr>
                <w:noProof/>
                <w:webHidden/>
              </w:rPr>
              <w:fldChar w:fldCharType="end"/>
            </w:r>
          </w:hyperlink>
        </w:p>
        <w:p w14:paraId="69AABA4F" w14:textId="7034B173" w:rsidR="00AC4A07" w:rsidRDefault="00636534">
          <w:pPr>
            <w:pStyle w:val="Obsah1"/>
            <w:rPr>
              <w:rFonts w:eastAsiaTheme="minorEastAsia"/>
              <w:noProof/>
              <w:sz w:val="22"/>
              <w:lang w:eastAsia="cs-CZ"/>
            </w:rPr>
          </w:pPr>
          <w:hyperlink w:anchor="_Toc25228661" w:history="1">
            <w:r w:rsidR="00AC4A07" w:rsidRPr="00122842">
              <w:rPr>
                <w:rStyle w:val="Hypertextovodkaz"/>
                <w:noProof/>
              </w:rPr>
              <w:t>Příloha 3: Přehled navrhovaných evaluačních metod a jejich výhod a omezení</w:t>
            </w:r>
            <w:r w:rsidR="00AC4A07">
              <w:rPr>
                <w:noProof/>
                <w:webHidden/>
              </w:rPr>
              <w:tab/>
            </w:r>
            <w:r w:rsidR="00AC4A07">
              <w:rPr>
                <w:noProof/>
                <w:webHidden/>
              </w:rPr>
              <w:fldChar w:fldCharType="begin"/>
            </w:r>
            <w:r w:rsidR="00AC4A07">
              <w:rPr>
                <w:noProof/>
                <w:webHidden/>
              </w:rPr>
              <w:instrText xml:space="preserve"> PAGEREF _Toc25228661 \h </w:instrText>
            </w:r>
            <w:r w:rsidR="00AC4A07">
              <w:rPr>
                <w:noProof/>
                <w:webHidden/>
              </w:rPr>
            </w:r>
            <w:r w:rsidR="00AC4A07">
              <w:rPr>
                <w:noProof/>
                <w:webHidden/>
              </w:rPr>
              <w:fldChar w:fldCharType="separate"/>
            </w:r>
            <w:r w:rsidR="00AC4A07">
              <w:rPr>
                <w:noProof/>
                <w:webHidden/>
              </w:rPr>
              <w:t>32</w:t>
            </w:r>
            <w:r w:rsidR="00AC4A07">
              <w:rPr>
                <w:noProof/>
                <w:webHidden/>
              </w:rPr>
              <w:fldChar w:fldCharType="end"/>
            </w:r>
          </w:hyperlink>
        </w:p>
        <w:p w14:paraId="55BA6993" w14:textId="58AC8A1E" w:rsidR="00AC4A07" w:rsidRDefault="00636534">
          <w:pPr>
            <w:pStyle w:val="Obsah1"/>
            <w:rPr>
              <w:rFonts w:eastAsiaTheme="minorEastAsia"/>
              <w:noProof/>
              <w:sz w:val="22"/>
              <w:lang w:eastAsia="cs-CZ"/>
            </w:rPr>
          </w:pPr>
          <w:hyperlink w:anchor="_Toc25228662" w:history="1">
            <w:r w:rsidR="00AC4A07" w:rsidRPr="00122842">
              <w:rPr>
                <w:rStyle w:val="Hypertextovodkaz"/>
                <w:noProof/>
              </w:rPr>
              <w:t>Příloha 4: Přístup pro stanovení vzorku projektů  k hodnocení a testování hypotéz v rámci dotazníkového šetření</w:t>
            </w:r>
            <w:r w:rsidR="00AC4A07">
              <w:rPr>
                <w:noProof/>
                <w:webHidden/>
              </w:rPr>
              <w:tab/>
            </w:r>
            <w:r w:rsidR="00AC4A07">
              <w:rPr>
                <w:noProof/>
                <w:webHidden/>
              </w:rPr>
              <w:fldChar w:fldCharType="begin"/>
            </w:r>
            <w:r w:rsidR="00AC4A07">
              <w:rPr>
                <w:noProof/>
                <w:webHidden/>
              </w:rPr>
              <w:instrText xml:space="preserve"> PAGEREF _Toc25228662 \h </w:instrText>
            </w:r>
            <w:r w:rsidR="00AC4A07">
              <w:rPr>
                <w:noProof/>
                <w:webHidden/>
              </w:rPr>
            </w:r>
            <w:r w:rsidR="00AC4A07">
              <w:rPr>
                <w:noProof/>
                <w:webHidden/>
              </w:rPr>
              <w:fldChar w:fldCharType="separate"/>
            </w:r>
            <w:r w:rsidR="00AC4A07">
              <w:rPr>
                <w:noProof/>
                <w:webHidden/>
              </w:rPr>
              <w:t>35</w:t>
            </w:r>
            <w:r w:rsidR="00AC4A07">
              <w:rPr>
                <w:noProof/>
                <w:webHidden/>
              </w:rPr>
              <w:fldChar w:fldCharType="end"/>
            </w:r>
          </w:hyperlink>
        </w:p>
        <w:p w14:paraId="54FEEB8D" w14:textId="3A25482A" w:rsidR="00BC76FD" w:rsidRDefault="00BC76FD">
          <w:r>
            <w:rPr>
              <w:b/>
              <w:bCs/>
            </w:rPr>
            <w:fldChar w:fldCharType="end"/>
          </w:r>
        </w:p>
      </w:sdtContent>
    </w:sdt>
    <w:p w14:paraId="529F5C4F" w14:textId="77777777" w:rsidR="000B6C05" w:rsidRPr="001C351B" w:rsidRDefault="000B6C05" w:rsidP="00E94C20">
      <w:pPr>
        <w:rPr>
          <w:rFonts w:asciiTheme="majorHAnsi" w:hAnsiTheme="majorHAnsi"/>
        </w:rPr>
      </w:pPr>
    </w:p>
    <w:p w14:paraId="46A5259B" w14:textId="77777777" w:rsidR="005E3501" w:rsidRPr="001C351B" w:rsidRDefault="005E3501" w:rsidP="00E94C20">
      <w:pPr>
        <w:rPr>
          <w:rFonts w:asciiTheme="majorHAnsi" w:hAnsiTheme="majorHAnsi"/>
        </w:rPr>
        <w:sectPr w:rsidR="005E3501" w:rsidRPr="001C351B" w:rsidSect="00863100">
          <w:headerReference w:type="default" r:id="rId11"/>
          <w:footerReference w:type="default" r:id="rId12"/>
          <w:headerReference w:type="first" r:id="rId13"/>
          <w:footerReference w:type="first" r:id="rId14"/>
          <w:pgSz w:w="11906" w:h="16838" w:code="9"/>
          <w:pgMar w:top="1985" w:right="1418" w:bottom="567" w:left="680" w:header="680" w:footer="397" w:gutter="0"/>
          <w:pgNumType w:start="0"/>
          <w:cols w:space="284"/>
          <w:titlePg/>
          <w:docGrid w:linePitch="360"/>
        </w:sectPr>
      </w:pPr>
    </w:p>
    <w:p w14:paraId="48A07C28" w14:textId="4C9ECD28" w:rsidR="00212852" w:rsidRPr="00214F05" w:rsidRDefault="00933261" w:rsidP="000E1076">
      <w:pPr>
        <w:pStyle w:val="Nadpis1"/>
      </w:pPr>
      <w:bookmarkStart w:id="0" w:name="_Toc23859663"/>
      <w:bookmarkStart w:id="1" w:name="_Toc25228643"/>
      <w:r w:rsidRPr="000E1076">
        <w:lastRenderedPageBreak/>
        <w:t>Seznam</w:t>
      </w:r>
      <w:r w:rsidRPr="00214F05">
        <w:t xml:space="preserve"> zkratek</w:t>
      </w:r>
      <w:bookmarkEnd w:id="0"/>
      <w:r w:rsidR="00AC4A07">
        <w:t xml:space="preserve">, tabulek </w:t>
      </w:r>
      <w:r w:rsidR="00AC4A07">
        <w:br/>
        <w:t>a obrázků</w:t>
      </w:r>
      <w:bookmarkEnd w:id="1"/>
    </w:p>
    <w:p w14:paraId="4FC7E3FF" w14:textId="77777777" w:rsidR="00C01A86" w:rsidRPr="00C01A86" w:rsidRDefault="00C01A86" w:rsidP="00C01A86"/>
    <w:tbl>
      <w:tblPr>
        <w:tblStyle w:val="Deloittetable"/>
        <w:tblW w:w="5000" w:type="pct"/>
        <w:tblLook w:val="04A0" w:firstRow="1" w:lastRow="0" w:firstColumn="1" w:lastColumn="0" w:noHBand="0" w:noVBand="1"/>
      </w:tblPr>
      <w:tblGrid>
        <w:gridCol w:w="2836"/>
        <w:gridCol w:w="7256"/>
      </w:tblGrid>
      <w:tr w:rsidR="002E114E" w:rsidRPr="001C351B" w14:paraId="2D4E5871" w14:textId="77777777" w:rsidTr="00EE0921">
        <w:trPr>
          <w:cnfStyle w:val="100000000000" w:firstRow="1" w:lastRow="0" w:firstColumn="0" w:lastColumn="0" w:oddVBand="0" w:evenVBand="0" w:oddHBand="0" w:evenHBand="0" w:firstRowFirstColumn="0" w:firstRowLastColumn="0" w:lastRowFirstColumn="0" w:lastRowLastColumn="0"/>
        </w:trPr>
        <w:tc>
          <w:tcPr>
            <w:tcW w:w="1405" w:type="pct"/>
          </w:tcPr>
          <w:p w14:paraId="428282D5" w14:textId="77777777" w:rsidR="002E114E" w:rsidRPr="001C351B" w:rsidRDefault="002E114E" w:rsidP="003C3817">
            <w:bookmarkStart w:id="2" w:name="_Toc409611349"/>
            <w:r w:rsidRPr="001C351B">
              <w:t>Pojem</w:t>
            </w:r>
          </w:p>
        </w:tc>
        <w:tc>
          <w:tcPr>
            <w:tcW w:w="3595" w:type="pct"/>
          </w:tcPr>
          <w:p w14:paraId="23E1ED03" w14:textId="77777777" w:rsidR="002E114E" w:rsidRPr="001C351B" w:rsidRDefault="002E114E" w:rsidP="003C3817">
            <w:r w:rsidRPr="001C351B">
              <w:t>Definice</w:t>
            </w:r>
          </w:p>
        </w:tc>
      </w:tr>
      <w:tr w:rsidR="0095444B" w:rsidRPr="001C351B" w14:paraId="51D8C4C0" w14:textId="77777777" w:rsidTr="00EE0921">
        <w:tc>
          <w:tcPr>
            <w:tcW w:w="1405" w:type="pct"/>
          </w:tcPr>
          <w:p w14:paraId="31A3C46A" w14:textId="77777777" w:rsidR="0095444B" w:rsidRPr="001C351B" w:rsidRDefault="0095444B" w:rsidP="003C3817">
            <w:pPr>
              <w:rPr>
                <w:rFonts w:asciiTheme="majorHAnsi" w:hAnsiTheme="majorHAnsi"/>
              </w:rPr>
            </w:pPr>
            <w:r>
              <w:rPr>
                <w:rFonts w:asciiTheme="majorHAnsi" w:hAnsiTheme="majorHAnsi"/>
              </w:rPr>
              <w:t>API</w:t>
            </w:r>
          </w:p>
        </w:tc>
        <w:tc>
          <w:tcPr>
            <w:tcW w:w="3595" w:type="pct"/>
          </w:tcPr>
          <w:p w14:paraId="72B2D66B" w14:textId="77777777" w:rsidR="0095444B" w:rsidRPr="001C351B" w:rsidRDefault="0095444B" w:rsidP="00DC4321">
            <w:pPr>
              <w:rPr>
                <w:rFonts w:asciiTheme="majorHAnsi" w:hAnsiTheme="majorHAnsi"/>
              </w:rPr>
            </w:pPr>
            <w:r>
              <w:rPr>
                <w:rFonts w:asciiTheme="majorHAnsi" w:hAnsiTheme="majorHAnsi"/>
              </w:rPr>
              <w:t>Agentura pro podnikání a inovace</w:t>
            </w:r>
          </w:p>
        </w:tc>
      </w:tr>
      <w:tr w:rsidR="00D82EF1" w:rsidRPr="001C351B" w14:paraId="5D5B40AF" w14:textId="77777777" w:rsidTr="00EE0921">
        <w:tc>
          <w:tcPr>
            <w:tcW w:w="1405" w:type="pct"/>
          </w:tcPr>
          <w:p w14:paraId="0400D996" w14:textId="77777777" w:rsidR="00D82EF1" w:rsidRDefault="00D82EF1" w:rsidP="003C3817">
            <w:pPr>
              <w:rPr>
                <w:rFonts w:asciiTheme="majorHAnsi" w:hAnsiTheme="majorHAnsi"/>
              </w:rPr>
            </w:pPr>
            <w:r>
              <w:rPr>
                <w:rFonts w:asciiTheme="majorHAnsi" w:hAnsiTheme="majorHAnsi"/>
              </w:rPr>
              <w:t>ČMZRB</w:t>
            </w:r>
          </w:p>
        </w:tc>
        <w:tc>
          <w:tcPr>
            <w:tcW w:w="3595" w:type="pct"/>
          </w:tcPr>
          <w:p w14:paraId="2FA80F2F" w14:textId="77777777" w:rsidR="00D82EF1" w:rsidRDefault="00D82EF1" w:rsidP="003C3817">
            <w:pPr>
              <w:rPr>
                <w:rFonts w:asciiTheme="majorHAnsi" w:hAnsiTheme="majorHAnsi"/>
              </w:rPr>
            </w:pPr>
            <w:r>
              <w:t>Českomoravská záruční a rozvojová banka</w:t>
            </w:r>
          </w:p>
        </w:tc>
      </w:tr>
      <w:tr w:rsidR="0095444B" w:rsidRPr="001C351B" w14:paraId="7519A44F" w14:textId="77777777" w:rsidTr="00EE0921">
        <w:tc>
          <w:tcPr>
            <w:tcW w:w="1405" w:type="pct"/>
          </w:tcPr>
          <w:p w14:paraId="10CD65C6" w14:textId="77777777" w:rsidR="0095444B" w:rsidRPr="001C351B" w:rsidRDefault="0095444B" w:rsidP="003C3817">
            <w:pPr>
              <w:rPr>
                <w:rFonts w:asciiTheme="majorHAnsi" w:hAnsiTheme="majorHAnsi"/>
              </w:rPr>
            </w:pPr>
            <w:r>
              <w:rPr>
                <w:rFonts w:asciiTheme="majorHAnsi" w:hAnsiTheme="majorHAnsi"/>
              </w:rPr>
              <w:t>Deloitte nebo Dodavatel</w:t>
            </w:r>
          </w:p>
        </w:tc>
        <w:tc>
          <w:tcPr>
            <w:tcW w:w="3595" w:type="pct"/>
          </w:tcPr>
          <w:p w14:paraId="32C61B7F" w14:textId="77777777" w:rsidR="0095444B" w:rsidRPr="001C351B" w:rsidRDefault="0095444B" w:rsidP="003C3817">
            <w:pPr>
              <w:rPr>
                <w:rFonts w:asciiTheme="majorHAnsi" w:hAnsiTheme="majorHAnsi"/>
              </w:rPr>
            </w:pPr>
            <w:r>
              <w:rPr>
                <w:rFonts w:asciiTheme="majorHAnsi" w:hAnsiTheme="majorHAnsi"/>
              </w:rPr>
              <w:t>Deloitte Advisory s.r.o.</w:t>
            </w:r>
          </w:p>
        </w:tc>
      </w:tr>
      <w:tr w:rsidR="00A26C0B" w:rsidRPr="001C351B" w14:paraId="1AA0EE2A" w14:textId="77777777" w:rsidTr="00C91FC3">
        <w:tc>
          <w:tcPr>
            <w:tcW w:w="1405" w:type="pct"/>
          </w:tcPr>
          <w:p w14:paraId="73C16E58" w14:textId="77777777" w:rsidR="00A26C0B" w:rsidRDefault="00A26C0B" w:rsidP="003C3817">
            <w:pPr>
              <w:rPr>
                <w:rFonts w:asciiTheme="majorHAnsi" w:hAnsiTheme="majorHAnsi"/>
              </w:rPr>
            </w:pPr>
            <w:r>
              <w:rPr>
                <w:rFonts w:asciiTheme="majorHAnsi" w:hAnsiTheme="majorHAnsi"/>
              </w:rPr>
              <w:t>DŠ</w:t>
            </w:r>
          </w:p>
        </w:tc>
        <w:tc>
          <w:tcPr>
            <w:tcW w:w="3595" w:type="pct"/>
          </w:tcPr>
          <w:p w14:paraId="5EB32BB7" w14:textId="77777777" w:rsidR="00A26C0B" w:rsidRDefault="00A26C0B" w:rsidP="003C3817">
            <w:pPr>
              <w:rPr>
                <w:rFonts w:asciiTheme="majorHAnsi" w:hAnsiTheme="majorHAnsi"/>
              </w:rPr>
            </w:pPr>
            <w:r>
              <w:rPr>
                <w:rFonts w:asciiTheme="majorHAnsi" w:hAnsiTheme="majorHAnsi"/>
              </w:rPr>
              <w:t>Dotazníkové šetření</w:t>
            </w:r>
          </w:p>
        </w:tc>
      </w:tr>
      <w:tr w:rsidR="000126A9" w:rsidRPr="001C351B" w14:paraId="6E3CBE20" w14:textId="77777777" w:rsidTr="00C91FC3">
        <w:tc>
          <w:tcPr>
            <w:tcW w:w="1405" w:type="pct"/>
          </w:tcPr>
          <w:p w14:paraId="2ADD7D34" w14:textId="77777777" w:rsidR="000126A9" w:rsidRDefault="000126A9" w:rsidP="003C3817">
            <w:pPr>
              <w:rPr>
                <w:rFonts w:asciiTheme="majorHAnsi" w:hAnsiTheme="majorHAnsi"/>
              </w:rPr>
            </w:pPr>
            <w:r>
              <w:rPr>
                <w:rFonts w:asciiTheme="majorHAnsi" w:hAnsiTheme="majorHAnsi"/>
              </w:rPr>
              <w:t>EP</w:t>
            </w:r>
          </w:p>
        </w:tc>
        <w:tc>
          <w:tcPr>
            <w:tcW w:w="3595" w:type="pct"/>
          </w:tcPr>
          <w:p w14:paraId="0E18F35C" w14:textId="77777777" w:rsidR="000126A9" w:rsidRDefault="000126A9" w:rsidP="003C3817">
            <w:pPr>
              <w:rPr>
                <w:rFonts w:asciiTheme="majorHAnsi" w:hAnsiTheme="majorHAnsi"/>
              </w:rPr>
            </w:pPr>
            <w:r>
              <w:rPr>
                <w:rFonts w:asciiTheme="majorHAnsi" w:hAnsiTheme="majorHAnsi"/>
              </w:rPr>
              <w:t>Expertní panel</w:t>
            </w:r>
          </w:p>
        </w:tc>
      </w:tr>
      <w:tr w:rsidR="00BC335C" w:rsidRPr="001C351B" w14:paraId="37097F5A" w14:textId="77777777" w:rsidTr="00C91FC3">
        <w:tc>
          <w:tcPr>
            <w:tcW w:w="1405" w:type="pct"/>
          </w:tcPr>
          <w:p w14:paraId="2B56CA30" w14:textId="77777777" w:rsidR="00BC335C" w:rsidRDefault="00BC335C" w:rsidP="003C3817">
            <w:pPr>
              <w:rPr>
                <w:rFonts w:asciiTheme="majorHAnsi" w:hAnsiTheme="majorHAnsi"/>
              </w:rPr>
            </w:pPr>
            <w:r>
              <w:rPr>
                <w:rFonts w:asciiTheme="majorHAnsi" w:hAnsiTheme="majorHAnsi"/>
              </w:rPr>
              <w:t>ESIF</w:t>
            </w:r>
          </w:p>
        </w:tc>
        <w:tc>
          <w:tcPr>
            <w:tcW w:w="3595" w:type="pct"/>
          </w:tcPr>
          <w:p w14:paraId="3B9750F4" w14:textId="77777777" w:rsidR="00BC335C" w:rsidRDefault="00BC335C" w:rsidP="003C3817">
            <w:pPr>
              <w:rPr>
                <w:rFonts w:asciiTheme="majorHAnsi" w:hAnsiTheme="majorHAnsi"/>
              </w:rPr>
            </w:pPr>
            <w:r>
              <w:rPr>
                <w:rFonts w:asciiTheme="majorHAnsi" w:hAnsiTheme="majorHAnsi"/>
              </w:rPr>
              <w:t>Evropské strukturální a investiční fondy</w:t>
            </w:r>
          </w:p>
        </w:tc>
      </w:tr>
      <w:tr w:rsidR="00430C5F" w:rsidRPr="001C351B" w14:paraId="5ECE152F" w14:textId="77777777" w:rsidTr="00C91FC3">
        <w:tc>
          <w:tcPr>
            <w:tcW w:w="1405" w:type="pct"/>
          </w:tcPr>
          <w:p w14:paraId="026769F4" w14:textId="77777777" w:rsidR="00430C5F" w:rsidRDefault="00430C5F" w:rsidP="003C3817">
            <w:pPr>
              <w:rPr>
                <w:rFonts w:asciiTheme="majorHAnsi" w:hAnsiTheme="majorHAnsi"/>
              </w:rPr>
            </w:pPr>
            <w:r>
              <w:rPr>
                <w:rFonts w:asciiTheme="majorHAnsi" w:hAnsiTheme="majorHAnsi"/>
              </w:rPr>
              <w:t>EU</w:t>
            </w:r>
          </w:p>
        </w:tc>
        <w:tc>
          <w:tcPr>
            <w:tcW w:w="3595" w:type="pct"/>
          </w:tcPr>
          <w:p w14:paraId="54586957" w14:textId="77777777" w:rsidR="00430C5F" w:rsidRDefault="00430C5F" w:rsidP="003C3817">
            <w:pPr>
              <w:rPr>
                <w:rFonts w:asciiTheme="majorHAnsi" w:hAnsiTheme="majorHAnsi"/>
              </w:rPr>
            </w:pPr>
            <w:r>
              <w:rPr>
                <w:rFonts w:asciiTheme="majorHAnsi" w:hAnsiTheme="majorHAnsi"/>
              </w:rPr>
              <w:t>Evropská unie</w:t>
            </w:r>
          </w:p>
        </w:tc>
      </w:tr>
      <w:tr w:rsidR="00430C5F" w:rsidRPr="001C351B" w14:paraId="63E0B4BB" w14:textId="77777777" w:rsidTr="00C91FC3">
        <w:tc>
          <w:tcPr>
            <w:tcW w:w="1405" w:type="pct"/>
          </w:tcPr>
          <w:p w14:paraId="230F901B" w14:textId="77777777" w:rsidR="00430C5F" w:rsidRDefault="00430C5F" w:rsidP="003C3817">
            <w:pPr>
              <w:rPr>
                <w:rFonts w:asciiTheme="majorHAnsi" w:hAnsiTheme="majorHAnsi"/>
              </w:rPr>
            </w:pPr>
            <w:r>
              <w:rPr>
                <w:rFonts w:asciiTheme="majorHAnsi" w:hAnsiTheme="majorHAnsi"/>
              </w:rPr>
              <w:t>IHR</w:t>
            </w:r>
          </w:p>
        </w:tc>
        <w:tc>
          <w:tcPr>
            <w:tcW w:w="3595" w:type="pct"/>
          </w:tcPr>
          <w:p w14:paraId="27182218" w14:textId="77777777" w:rsidR="009B6E72" w:rsidRDefault="00430C5F" w:rsidP="003C3817">
            <w:pPr>
              <w:rPr>
                <w:rFonts w:asciiTheme="majorHAnsi" w:hAnsiTheme="majorHAnsi"/>
              </w:rPr>
            </w:pPr>
            <w:r>
              <w:rPr>
                <w:rFonts w:asciiTheme="majorHAnsi" w:hAnsiTheme="majorHAnsi"/>
              </w:rPr>
              <w:t>Individuální hloubkové rozhovory</w:t>
            </w:r>
            <w:r w:rsidR="009B6E72">
              <w:rPr>
                <w:rFonts w:asciiTheme="majorHAnsi" w:hAnsiTheme="majorHAnsi"/>
              </w:rPr>
              <w:t xml:space="preserve"> </w:t>
            </w:r>
          </w:p>
        </w:tc>
      </w:tr>
      <w:tr w:rsidR="009B6E72" w:rsidRPr="001C351B" w14:paraId="1E7251EA" w14:textId="77777777" w:rsidTr="00C91FC3">
        <w:tc>
          <w:tcPr>
            <w:tcW w:w="1405" w:type="pct"/>
          </w:tcPr>
          <w:p w14:paraId="3E8244BF" w14:textId="77777777" w:rsidR="009B6E72" w:rsidRDefault="009B6E72" w:rsidP="003C3817">
            <w:pPr>
              <w:rPr>
                <w:rFonts w:asciiTheme="majorHAnsi" w:hAnsiTheme="majorHAnsi"/>
              </w:rPr>
            </w:pPr>
            <w:r>
              <w:rPr>
                <w:rFonts w:asciiTheme="majorHAnsi" w:hAnsiTheme="majorHAnsi"/>
              </w:rPr>
              <w:t>IS KP14+</w:t>
            </w:r>
          </w:p>
        </w:tc>
        <w:tc>
          <w:tcPr>
            <w:tcW w:w="3595" w:type="pct"/>
          </w:tcPr>
          <w:p w14:paraId="269432EC" w14:textId="77777777" w:rsidR="009B6E72" w:rsidRDefault="00BD5E41" w:rsidP="003C3817">
            <w:pPr>
              <w:rPr>
                <w:rFonts w:asciiTheme="majorHAnsi" w:hAnsiTheme="majorHAnsi"/>
              </w:rPr>
            </w:pPr>
            <w:r>
              <w:rPr>
                <w:rFonts w:asciiTheme="majorHAnsi" w:hAnsiTheme="majorHAnsi"/>
              </w:rPr>
              <w:t xml:space="preserve">Informační systém konečného příjemce </w:t>
            </w:r>
          </w:p>
        </w:tc>
      </w:tr>
      <w:tr w:rsidR="00430C5F" w:rsidRPr="001C351B" w14:paraId="697F8117" w14:textId="77777777" w:rsidTr="00C91FC3">
        <w:tc>
          <w:tcPr>
            <w:tcW w:w="1405" w:type="pct"/>
          </w:tcPr>
          <w:p w14:paraId="22BD511B" w14:textId="77777777" w:rsidR="00430C5F" w:rsidRDefault="00430C5F" w:rsidP="003C3817">
            <w:pPr>
              <w:rPr>
                <w:rFonts w:asciiTheme="majorHAnsi" w:hAnsiTheme="majorHAnsi"/>
              </w:rPr>
            </w:pPr>
            <w:r>
              <w:rPr>
                <w:rFonts w:asciiTheme="majorHAnsi" w:hAnsiTheme="majorHAnsi"/>
              </w:rPr>
              <w:t>JMP</w:t>
            </w:r>
          </w:p>
        </w:tc>
        <w:tc>
          <w:tcPr>
            <w:tcW w:w="3595" w:type="pct"/>
          </w:tcPr>
          <w:p w14:paraId="53DD3D24" w14:textId="77777777" w:rsidR="00430C5F" w:rsidRDefault="00430C5F" w:rsidP="003C3817">
            <w:pPr>
              <w:rPr>
                <w:rFonts w:asciiTheme="majorHAnsi" w:hAnsiTheme="majorHAnsi"/>
              </w:rPr>
            </w:pPr>
            <w:r>
              <w:rPr>
                <w:rFonts w:asciiTheme="majorHAnsi" w:hAnsiTheme="majorHAnsi"/>
              </w:rPr>
              <w:t>Jednotné metodické prostředí</w:t>
            </w:r>
          </w:p>
        </w:tc>
      </w:tr>
      <w:tr w:rsidR="0095444B" w:rsidRPr="001C351B" w14:paraId="6DB41F51" w14:textId="77777777" w:rsidTr="00EE0921">
        <w:tc>
          <w:tcPr>
            <w:tcW w:w="1405" w:type="pct"/>
          </w:tcPr>
          <w:p w14:paraId="5B884897" w14:textId="77777777" w:rsidR="0095444B" w:rsidRPr="001C351B" w:rsidRDefault="0095444B" w:rsidP="003C3817">
            <w:pPr>
              <w:rPr>
                <w:rFonts w:asciiTheme="majorHAnsi" w:hAnsiTheme="majorHAnsi"/>
              </w:rPr>
            </w:pPr>
            <w:r>
              <w:rPr>
                <w:rFonts w:asciiTheme="majorHAnsi" w:hAnsiTheme="majorHAnsi"/>
              </w:rPr>
              <w:t>FN</w:t>
            </w:r>
          </w:p>
        </w:tc>
        <w:tc>
          <w:tcPr>
            <w:tcW w:w="3595" w:type="pct"/>
          </w:tcPr>
          <w:p w14:paraId="16559EA7" w14:textId="77777777" w:rsidR="0095444B" w:rsidRPr="001C351B" w:rsidRDefault="0095444B" w:rsidP="003C3817">
            <w:pPr>
              <w:rPr>
                <w:rFonts w:asciiTheme="majorHAnsi" w:hAnsiTheme="majorHAnsi"/>
              </w:rPr>
            </w:pPr>
            <w:r>
              <w:rPr>
                <w:rFonts w:asciiTheme="majorHAnsi" w:hAnsiTheme="majorHAnsi"/>
              </w:rPr>
              <w:t>Finanční nástroj/e</w:t>
            </w:r>
          </w:p>
        </w:tc>
      </w:tr>
      <w:tr w:rsidR="006F0768" w:rsidRPr="001C351B" w14:paraId="4A0931F6" w14:textId="77777777" w:rsidTr="00C91FC3">
        <w:tc>
          <w:tcPr>
            <w:tcW w:w="1405" w:type="pct"/>
          </w:tcPr>
          <w:p w14:paraId="32225E89" w14:textId="77777777" w:rsidR="006F0768" w:rsidRDefault="006F0768" w:rsidP="003C3817">
            <w:pPr>
              <w:rPr>
                <w:rFonts w:asciiTheme="majorHAnsi" w:hAnsiTheme="majorHAnsi"/>
              </w:rPr>
            </w:pPr>
            <w:r>
              <w:rPr>
                <w:rFonts w:asciiTheme="majorHAnsi" w:hAnsiTheme="majorHAnsi"/>
              </w:rPr>
              <w:t>FS</w:t>
            </w:r>
          </w:p>
        </w:tc>
        <w:tc>
          <w:tcPr>
            <w:tcW w:w="3595" w:type="pct"/>
          </w:tcPr>
          <w:p w14:paraId="6B918E33" w14:textId="77777777" w:rsidR="006F0768" w:rsidRDefault="006F0768" w:rsidP="003C3817">
            <w:pPr>
              <w:rPr>
                <w:rFonts w:asciiTheme="majorHAnsi" w:hAnsiTheme="majorHAnsi"/>
              </w:rPr>
            </w:pPr>
            <w:r>
              <w:rPr>
                <w:rFonts w:asciiTheme="majorHAnsi" w:hAnsiTheme="majorHAnsi"/>
              </w:rPr>
              <w:t>Fokusní skupina</w:t>
            </w:r>
          </w:p>
        </w:tc>
      </w:tr>
      <w:tr w:rsidR="000126A9" w:rsidRPr="001C351B" w14:paraId="050AA550" w14:textId="77777777" w:rsidTr="00C91FC3">
        <w:tc>
          <w:tcPr>
            <w:tcW w:w="1405" w:type="pct"/>
          </w:tcPr>
          <w:p w14:paraId="5DCE98E3" w14:textId="77777777" w:rsidR="000126A9" w:rsidRDefault="000126A9" w:rsidP="003C3817">
            <w:pPr>
              <w:rPr>
                <w:rFonts w:asciiTheme="majorHAnsi" w:hAnsiTheme="majorHAnsi"/>
              </w:rPr>
            </w:pPr>
            <w:r>
              <w:rPr>
                <w:rFonts w:asciiTheme="majorHAnsi" w:hAnsiTheme="majorHAnsi"/>
              </w:rPr>
              <w:t>IHR</w:t>
            </w:r>
          </w:p>
        </w:tc>
        <w:tc>
          <w:tcPr>
            <w:tcW w:w="3595" w:type="pct"/>
          </w:tcPr>
          <w:p w14:paraId="59CC133B" w14:textId="77777777" w:rsidR="000126A9" w:rsidRDefault="000126A9" w:rsidP="003C3817">
            <w:pPr>
              <w:rPr>
                <w:rFonts w:asciiTheme="majorHAnsi" w:hAnsiTheme="majorHAnsi"/>
              </w:rPr>
            </w:pPr>
            <w:r>
              <w:rPr>
                <w:rFonts w:asciiTheme="majorHAnsi" w:hAnsiTheme="majorHAnsi"/>
              </w:rPr>
              <w:t>Individuální hloubkový rozhovor</w:t>
            </w:r>
          </w:p>
        </w:tc>
      </w:tr>
      <w:tr w:rsidR="00C7039F" w:rsidRPr="001C351B" w14:paraId="3DE96840" w14:textId="77777777" w:rsidTr="00C91FC3">
        <w:tc>
          <w:tcPr>
            <w:tcW w:w="1405" w:type="pct"/>
          </w:tcPr>
          <w:p w14:paraId="0474B09A" w14:textId="77777777" w:rsidR="00C7039F" w:rsidRDefault="00C7039F" w:rsidP="003C3817">
            <w:pPr>
              <w:rPr>
                <w:rFonts w:asciiTheme="majorHAnsi" w:hAnsiTheme="majorHAnsi"/>
              </w:rPr>
            </w:pPr>
            <w:r>
              <w:rPr>
                <w:rFonts w:asciiTheme="majorHAnsi" w:hAnsiTheme="majorHAnsi"/>
              </w:rPr>
              <w:t>MFCR</w:t>
            </w:r>
          </w:p>
        </w:tc>
        <w:tc>
          <w:tcPr>
            <w:tcW w:w="3595" w:type="pct"/>
          </w:tcPr>
          <w:p w14:paraId="0BA7C2D0" w14:textId="77777777" w:rsidR="00C7039F" w:rsidRDefault="00C7039F" w:rsidP="003C3817">
            <w:pPr>
              <w:rPr>
                <w:rFonts w:asciiTheme="majorHAnsi" w:hAnsiTheme="majorHAnsi"/>
              </w:rPr>
            </w:pPr>
            <w:r>
              <w:rPr>
                <w:rFonts w:asciiTheme="majorHAnsi" w:hAnsiTheme="majorHAnsi"/>
              </w:rPr>
              <w:t>Ministerstvo financí ČR</w:t>
            </w:r>
          </w:p>
        </w:tc>
      </w:tr>
      <w:tr w:rsidR="0095444B" w:rsidRPr="001C351B" w14:paraId="520D61F5" w14:textId="77777777" w:rsidTr="00EE0921">
        <w:tc>
          <w:tcPr>
            <w:tcW w:w="1405" w:type="pct"/>
          </w:tcPr>
          <w:p w14:paraId="3E512C0D" w14:textId="77777777" w:rsidR="0095444B" w:rsidRPr="001C351B" w:rsidRDefault="0095444B" w:rsidP="003C3817">
            <w:pPr>
              <w:rPr>
                <w:rFonts w:asciiTheme="majorHAnsi" w:hAnsiTheme="majorHAnsi"/>
              </w:rPr>
            </w:pPr>
            <w:r>
              <w:rPr>
                <w:rFonts w:asciiTheme="majorHAnsi" w:hAnsiTheme="majorHAnsi"/>
              </w:rPr>
              <w:t>MPO nebo Zadavatel</w:t>
            </w:r>
          </w:p>
        </w:tc>
        <w:tc>
          <w:tcPr>
            <w:tcW w:w="3595" w:type="pct"/>
          </w:tcPr>
          <w:p w14:paraId="4B13CF88" w14:textId="77777777" w:rsidR="0095444B" w:rsidRPr="001C351B" w:rsidRDefault="0095444B" w:rsidP="003C3817">
            <w:pPr>
              <w:rPr>
                <w:rFonts w:asciiTheme="majorHAnsi" w:hAnsiTheme="majorHAnsi"/>
              </w:rPr>
            </w:pPr>
            <w:r>
              <w:rPr>
                <w:rFonts w:asciiTheme="majorHAnsi" w:hAnsiTheme="majorHAnsi"/>
              </w:rPr>
              <w:t>Ministerstvo průmyslu a obchodu ČR</w:t>
            </w:r>
          </w:p>
        </w:tc>
      </w:tr>
      <w:tr w:rsidR="003D0207" w:rsidRPr="001C351B" w14:paraId="239B3994" w14:textId="77777777" w:rsidTr="00EE0921">
        <w:tc>
          <w:tcPr>
            <w:tcW w:w="1405" w:type="pct"/>
          </w:tcPr>
          <w:p w14:paraId="6673CDC4" w14:textId="77777777" w:rsidR="003D0207" w:rsidRDefault="003D0207" w:rsidP="003C3817">
            <w:pPr>
              <w:rPr>
                <w:rFonts w:asciiTheme="majorHAnsi" w:hAnsiTheme="majorHAnsi"/>
              </w:rPr>
            </w:pPr>
            <w:r>
              <w:rPr>
                <w:rFonts w:asciiTheme="majorHAnsi" w:hAnsiTheme="majorHAnsi"/>
              </w:rPr>
              <w:t>MS2014+</w:t>
            </w:r>
          </w:p>
        </w:tc>
        <w:tc>
          <w:tcPr>
            <w:tcW w:w="3595" w:type="pct"/>
          </w:tcPr>
          <w:p w14:paraId="03A9C946" w14:textId="77777777" w:rsidR="003D0207" w:rsidRDefault="003D0207" w:rsidP="003C3817">
            <w:pPr>
              <w:rPr>
                <w:rFonts w:asciiTheme="majorHAnsi" w:hAnsiTheme="majorHAnsi"/>
              </w:rPr>
            </w:pPr>
            <w:r>
              <w:rPr>
                <w:rFonts w:asciiTheme="majorHAnsi" w:hAnsiTheme="majorHAnsi"/>
              </w:rPr>
              <w:t>Monitorovací systém ESIF pro programové období 2014 - 2020</w:t>
            </w:r>
          </w:p>
        </w:tc>
      </w:tr>
      <w:tr w:rsidR="00EC34CE" w:rsidRPr="001C351B" w14:paraId="3A25E311" w14:textId="77777777" w:rsidTr="00EE0921">
        <w:tc>
          <w:tcPr>
            <w:tcW w:w="1405" w:type="pct"/>
          </w:tcPr>
          <w:p w14:paraId="14FCB09E" w14:textId="77777777" w:rsidR="00EC34CE" w:rsidRDefault="00EC34CE" w:rsidP="003C3817">
            <w:pPr>
              <w:rPr>
                <w:rFonts w:asciiTheme="majorHAnsi" w:hAnsiTheme="majorHAnsi"/>
              </w:rPr>
            </w:pPr>
            <w:r>
              <w:rPr>
                <w:rFonts w:asciiTheme="majorHAnsi" w:hAnsiTheme="majorHAnsi"/>
              </w:rPr>
              <w:t>NOK - MMR</w:t>
            </w:r>
          </w:p>
        </w:tc>
        <w:tc>
          <w:tcPr>
            <w:tcW w:w="3595" w:type="pct"/>
          </w:tcPr>
          <w:p w14:paraId="3D106CAC" w14:textId="77777777" w:rsidR="00EC34CE" w:rsidRDefault="00EC34CE" w:rsidP="003C3817">
            <w:pPr>
              <w:rPr>
                <w:rFonts w:asciiTheme="majorHAnsi" w:hAnsiTheme="majorHAnsi"/>
              </w:rPr>
            </w:pPr>
            <w:r>
              <w:rPr>
                <w:rFonts w:asciiTheme="majorHAnsi" w:hAnsiTheme="majorHAnsi"/>
              </w:rPr>
              <w:t>Národní orgán pro koordinaci při Ministerstvu pro místní rozvoj ČR</w:t>
            </w:r>
          </w:p>
        </w:tc>
      </w:tr>
      <w:tr w:rsidR="00070549" w:rsidRPr="001C351B" w14:paraId="32489379" w14:textId="77777777" w:rsidTr="00EE0921">
        <w:tc>
          <w:tcPr>
            <w:tcW w:w="1405" w:type="pct"/>
          </w:tcPr>
          <w:p w14:paraId="5A84E22F" w14:textId="77777777" w:rsidR="00070549" w:rsidRDefault="00070549" w:rsidP="003C3817">
            <w:pPr>
              <w:rPr>
                <w:rFonts w:asciiTheme="majorHAnsi" w:hAnsiTheme="majorHAnsi"/>
              </w:rPr>
            </w:pPr>
            <w:r>
              <w:rPr>
                <w:rFonts w:asciiTheme="majorHAnsi" w:hAnsiTheme="majorHAnsi"/>
              </w:rPr>
              <w:t>NKÚ</w:t>
            </w:r>
          </w:p>
        </w:tc>
        <w:tc>
          <w:tcPr>
            <w:tcW w:w="3595" w:type="pct"/>
          </w:tcPr>
          <w:p w14:paraId="36E60B34" w14:textId="77777777" w:rsidR="00070549" w:rsidRDefault="00070549" w:rsidP="003C3817">
            <w:pPr>
              <w:rPr>
                <w:rFonts w:asciiTheme="majorHAnsi" w:hAnsiTheme="majorHAnsi"/>
              </w:rPr>
            </w:pPr>
            <w:r>
              <w:rPr>
                <w:rFonts w:asciiTheme="majorHAnsi" w:hAnsiTheme="majorHAnsi"/>
              </w:rPr>
              <w:t>Nejvyšší kontrolní úřad</w:t>
            </w:r>
          </w:p>
        </w:tc>
      </w:tr>
      <w:tr w:rsidR="0095444B" w:rsidRPr="001C351B" w14:paraId="7CF38A40" w14:textId="77777777" w:rsidTr="00EE0921">
        <w:tc>
          <w:tcPr>
            <w:tcW w:w="1405" w:type="pct"/>
          </w:tcPr>
          <w:p w14:paraId="254E4AAC" w14:textId="77777777" w:rsidR="0095444B" w:rsidRPr="001C351B" w:rsidRDefault="0095444B" w:rsidP="003C3817">
            <w:pPr>
              <w:rPr>
                <w:rFonts w:asciiTheme="majorHAnsi" w:hAnsiTheme="majorHAnsi"/>
              </w:rPr>
            </w:pPr>
            <w:r>
              <w:rPr>
                <w:rFonts w:asciiTheme="majorHAnsi" w:hAnsiTheme="majorHAnsi"/>
              </w:rPr>
              <w:t>OP PIK</w:t>
            </w:r>
          </w:p>
        </w:tc>
        <w:tc>
          <w:tcPr>
            <w:tcW w:w="3595" w:type="pct"/>
          </w:tcPr>
          <w:p w14:paraId="4793676D" w14:textId="77777777" w:rsidR="0095444B" w:rsidRPr="001C351B" w:rsidRDefault="0095444B" w:rsidP="003C3817">
            <w:pPr>
              <w:rPr>
                <w:rFonts w:asciiTheme="majorHAnsi" w:hAnsiTheme="majorHAnsi"/>
              </w:rPr>
            </w:pPr>
            <w:r>
              <w:rPr>
                <w:rFonts w:asciiTheme="majorHAnsi" w:hAnsiTheme="majorHAnsi"/>
              </w:rPr>
              <w:t>Operační program Podnikání a inovace pro konkurenceschopnost</w:t>
            </w:r>
          </w:p>
        </w:tc>
      </w:tr>
      <w:tr w:rsidR="00430C5F" w:rsidRPr="001C351B" w14:paraId="5988D3BB" w14:textId="77777777" w:rsidTr="00EE0921">
        <w:tc>
          <w:tcPr>
            <w:tcW w:w="1405" w:type="pct"/>
          </w:tcPr>
          <w:p w14:paraId="260BA84C" w14:textId="77777777" w:rsidR="00430C5F" w:rsidRDefault="00430C5F" w:rsidP="003C3817">
            <w:pPr>
              <w:rPr>
                <w:rFonts w:asciiTheme="majorHAnsi" w:hAnsiTheme="majorHAnsi"/>
              </w:rPr>
            </w:pPr>
            <w:r>
              <w:rPr>
                <w:rFonts w:asciiTheme="majorHAnsi" w:hAnsiTheme="majorHAnsi"/>
              </w:rPr>
              <w:t>PO1, 2, 3, 4</w:t>
            </w:r>
          </w:p>
        </w:tc>
        <w:tc>
          <w:tcPr>
            <w:tcW w:w="3595" w:type="pct"/>
          </w:tcPr>
          <w:p w14:paraId="28442694" w14:textId="77777777" w:rsidR="00430C5F" w:rsidRDefault="00430C5F" w:rsidP="003C3817">
            <w:pPr>
              <w:rPr>
                <w:rFonts w:asciiTheme="majorHAnsi" w:hAnsiTheme="majorHAnsi"/>
              </w:rPr>
            </w:pPr>
            <w:r>
              <w:rPr>
                <w:rFonts w:asciiTheme="majorHAnsi" w:hAnsiTheme="majorHAnsi"/>
              </w:rPr>
              <w:t>Prioritní osa 1, 2, 3, 4</w:t>
            </w:r>
          </w:p>
        </w:tc>
      </w:tr>
      <w:tr w:rsidR="00070549" w:rsidRPr="001C351B" w14:paraId="7D07AA8E" w14:textId="77777777" w:rsidTr="00EE0921">
        <w:tc>
          <w:tcPr>
            <w:tcW w:w="1405" w:type="pct"/>
          </w:tcPr>
          <w:p w14:paraId="712F9036" w14:textId="77777777" w:rsidR="00070549" w:rsidRDefault="00070549" w:rsidP="003C3817">
            <w:pPr>
              <w:rPr>
                <w:rFonts w:asciiTheme="majorHAnsi" w:hAnsiTheme="majorHAnsi"/>
              </w:rPr>
            </w:pPr>
            <w:r>
              <w:rPr>
                <w:rFonts w:asciiTheme="majorHAnsi" w:hAnsiTheme="majorHAnsi"/>
              </w:rPr>
              <w:t>ŘO</w:t>
            </w:r>
          </w:p>
        </w:tc>
        <w:tc>
          <w:tcPr>
            <w:tcW w:w="3595" w:type="pct"/>
          </w:tcPr>
          <w:p w14:paraId="48BC5B4E" w14:textId="77777777" w:rsidR="00070549" w:rsidRDefault="00070549" w:rsidP="003C3817">
            <w:pPr>
              <w:rPr>
                <w:rFonts w:asciiTheme="majorHAnsi" w:hAnsiTheme="majorHAnsi"/>
              </w:rPr>
            </w:pPr>
            <w:r>
              <w:rPr>
                <w:rFonts w:asciiTheme="majorHAnsi" w:hAnsiTheme="majorHAnsi"/>
              </w:rPr>
              <w:t>Řídící orgán</w:t>
            </w:r>
          </w:p>
        </w:tc>
      </w:tr>
      <w:tr w:rsidR="00430C5F" w:rsidRPr="001C351B" w14:paraId="1043D044" w14:textId="77777777" w:rsidTr="00EE0921">
        <w:tc>
          <w:tcPr>
            <w:tcW w:w="1405" w:type="pct"/>
          </w:tcPr>
          <w:p w14:paraId="2A270704" w14:textId="77777777" w:rsidR="00430C5F" w:rsidRDefault="00430C5F" w:rsidP="003C3817">
            <w:pPr>
              <w:rPr>
                <w:rFonts w:asciiTheme="majorHAnsi" w:hAnsiTheme="majorHAnsi"/>
              </w:rPr>
            </w:pPr>
            <w:r>
              <w:rPr>
                <w:rFonts w:asciiTheme="majorHAnsi" w:hAnsiTheme="majorHAnsi"/>
              </w:rPr>
              <w:t>VaVaI</w:t>
            </w:r>
          </w:p>
        </w:tc>
        <w:tc>
          <w:tcPr>
            <w:tcW w:w="3595" w:type="pct"/>
          </w:tcPr>
          <w:p w14:paraId="364500FE" w14:textId="77777777" w:rsidR="00430C5F" w:rsidRDefault="00430C5F" w:rsidP="003C3817">
            <w:pPr>
              <w:rPr>
                <w:rFonts w:asciiTheme="majorHAnsi" w:hAnsiTheme="majorHAnsi"/>
              </w:rPr>
            </w:pPr>
            <w:r>
              <w:rPr>
                <w:rFonts w:asciiTheme="majorHAnsi" w:hAnsiTheme="majorHAnsi"/>
              </w:rPr>
              <w:t>Věda, výzkum, inovace</w:t>
            </w:r>
          </w:p>
        </w:tc>
      </w:tr>
      <w:tr w:rsidR="00860214" w:rsidRPr="001C351B" w14:paraId="16766037" w14:textId="77777777" w:rsidTr="00C91FC3">
        <w:tc>
          <w:tcPr>
            <w:tcW w:w="1405" w:type="pct"/>
          </w:tcPr>
          <w:p w14:paraId="149978D4" w14:textId="77777777" w:rsidR="00860214" w:rsidRDefault="00860214" w:rsidP="003C3817">
            <w:pPr>
              <w:rPr>
                <w:rFonts w:asciiTheme="majorHAnsi" w:hAnsiTheme="majorHAnsi"/>
              </w:rPr>
            </w:pPr>
            <w:r>
              <w:rPr>
                <w:rFonts w:asciiTheme="majorHAnsi" w:hAnsiTheme="majorHAnsi"/>
              </w:rPr>
              <w:t>VGM</w:t>
            </w:r>
          </w:p>
        </w:tc>
        <w:tc>
          <w:tcPr>
            <w:tcW w:w="3595" w:type="pct"/>
          </w:tcPr>
          <w:p w14:paraId="5EBD125D" w14:textId="77777777" w:rsidR="00860214" w:rsidRDefault="00860214" w:rsidP="003C3817">
            <w:pPr>
              <w:rPr>
                <w:rFonts w:asciiTheme="majorHAnsi" w:hAnsiTheme="majorHAnsi"/>
              </w:rPr>
            </w:pPr>
            <w:r>
              <w:rPr>
                <w:rFonts w:asciiTheme="majorHAnsi" w:hAnsiTheme="majorHAnsi"/>
              </w:rPr>
              <w:t>Vanguard Method</w:t>
            </w:r>
          </w:p>
        </w:tc>
      </w:tr>
      <w:tr w:rsidR="00C91FC3" w:rsidRPr="001C351B" w14:paraId="4EC67FCA" w14:textId="77777777" w:rsidTr="00EE0921">
        <w:tc>
          <w:tcPr>
            <w:tcW w:w="1405" w:type="pct"/>
          </w:tcPr>
          <w:p w14:paraId="5655DD12" w14:textId="77777777" w:rsidR="00C91FC3" w:rsidRDefault="00C91FC3" w:rsidP="003C3817">
            <w:pPr>
              <w:rPr>
                <w:rFonts w:asciiTheme="majorHAnsi" w:hAnsiTheme="majorHAnsi"/>
              </w:rPr>
            </w:pPr>
            <w:r>
              <w:rPr>
                <w:rFonts w:asciiTheme="majorHAnsi" w:hAnsiTheme="majorHAnsi"/>
              </w:rPr>
              <w:t>VZ</w:t>
            </w:r>
          </w:p>
        </w:tc>
        <w:tc>
          <w:tcPr>
            <w:tcW w:w="3595" w:type="pct"/>
          </w:tcPr>
          <w:p w14:paraId="370ED322" w14:textId="77777777" w:rsidR="00C91FC3" w:rsidRDefault="00C91FC3" w:rsidP="003C3817">
            <w:pPr>
              <w:rPr>
                <w:rFonts w:asciiTheme="majorHAnsi" w:hAnsiTheme="majorHAnsi"/>
              </w:rPr>
            </w:pPr>
            <w:r>
              <w:rPr>
                <w:rFonts w:asciiTheme="majorHAnsi" w:hAnsiTheme="majorHAnsi"/>
              </w:rPr>
              <w:t>Vstupní zpráva</w:t>
            </w:r>
          </w:p>
        </w:tc>
      </w:tr>
      <w:tr w:rsidR="00070549" w:rsidRPr="001C351B" w14:paraId="39114CD2" w14:textId="77777777" w:rsidTr="00EE0921">
        <w:tc>
          <w:tcPr>
            <w:tcW w:w="1405" w:type="pct"/>
          </w:tcPr>
          <w:p w14:paraId="30214A51" w14:textId="77777777" w:rsidR="00070549" w:rsidRDefault="00070549" w:rsidP="003C3817">
            <w:pPr>
              <w:rPr>
                <w:rFonts w:asciiTheme="majorHAnsi" w:hAnsiTheme="majorHAnsi"/>
              </w:rPr>
            </w:pPr>
            <w:r>
              <w:rPr>
                <w:rFonts w:asciiTheme="majorHAnsi" w:hAnsiTheme="majorHAnsi"/>
              </w:rPr>
              <w:t>ZS</w:t>
            </w:r>
          </w:p>
        </w:tc>
        <w:tc>
          <w:tcPr>
            <w:tcW w:w="3595" w:type="pct"/>
          </w:tcPr>
          <w:p w14:paraId="082CC86A" w14:textId="77777777" w:rsidR="00070549" w:rsidRDefault="00070549" w:rsidP="003C3817">
            <w:pPr>
              <w:rPr>
                <w:rFonts w:asciiTheme="majorHAnsi" w:hAnsiTheme="majorHAnsi"/>
              </w:rPr>
            </w:pPr>
            <w:r>
              <w:rPr>
                <w:rFonts w:asciiTheme="majorHAnsi" w:hAnsiTheme="majorHAnsi"/>
              </w:rPr>
              <w:t>Zprostředkující subjekt</w:t>
            </w:r>
          </w:p>
        </w:tc>
      </w:tr>
      <w:tr w:rsidR="006D1FA6" w:rsidRPr="001C351B" w14:paraId="5FAA59AB" w14:textId="77777777" w:rsidTr="00EE0921">
        <w:tc>
          <w:tcPr>
            <w:tcW w:w="1405" w:type="pct"/>
          </w:tcPr>
          <w:p w14:paraId="67BCE49C" w14:textId="77777777" w:rsidR="006D1FA6" w:rsidRDefault="006D1FA6" w:rsidP="003C3817">
            <w:pPr>
              <w:rPr>
                <w:rFonts w:asciiTheme="majorHAnsi" w:hAnsiTheme="majorHAnsi"/>
              </w:rPr>
            </w:pPr>
            <w:r>
              <w:rPr>
                <w:rFonts w:asciiTheme="majorHAnsi" w:hAnsiTheme="majorHAnsi"/>
              </w:rPr>
              <w:t>ŽaP</w:t>
            </w:r>
          </w:p>
        </w:tc>
        <w:tc>
          <w:tcPr>
            <w:tcW w:w="3595" w:type="pct"/>
          </w:tcPr>
          <w:p w14:paraId="549B2A15" w14:textId="77777777" w:rsidR="006D1FA6" w:rsidRDefault="006D1FA6" w:rsidP="003C3817">
            <w:pPr>
              <w:rPr>
                <w:rFonts w:asciiTheme="majorHAnsi" w:hAnsiTheme="majorHAnsi"/>
              </w:rPr>
            </w:pPr>
            <w:r>
              <w:rPr>
                <w:rFonts w:asciiTheme="majorHAnsi" w:hAnsiTheme="majorHAnsi"/>
              </w:rPr>
              <w:t>Žadatelé a Příjemci</w:t>
            </w:r>
          </w:p>
        </w:tc>
      </w:tr>
      <w:tr w:rsidR="00070549" w:rsidRPr="001C351B" w14:paraId="76D7746F" w14:textId="77777777" w:rsidTr="00EE0921">
        <w:tc>
          <w:tcPr>
            <w:tcW w:w="1405" w:type="pct"/>
          </w:tcPr>
          <w:p w14:paraId="253EE07F" w14:textId="77777777" w:rsidR="00070549" w:rsidRDefault="00070549" w:rsidP="003C3817">
            <w:pPr>
              <w:rPr>
                <w:rFonts w:asciiTheme="majorHAnsi" w:hAnsiTheme="majorHAnsi"/>
              </w:rPr>
            </w:pPr>
            <w:r>
              <w:rPr>
                <w:rFonts w:asciiTheme="majorHAnsi" w:hAnsiTheme="majorHAnsi"/>
              </w:rPr>
              <w:t>ŽoP</w:t>
            </w:r>
          </w:p>
        </w:tc>
        <w:tc>
          <w:tcPr>
            <w:tcW w:w="3595" w:type="pct"/>
          </w:tcPr>
          <w:p w14:paraId="783726C6" w14:textId="77777777" w:rsidR="00070549" w:rsidRDefault="00070549" w:rsidP="003C3817">
            <w:pPr>
              <w:rPr>
                <w:rFonts w:asciiTheme="majorHAnsi" w:hAnsiTheme="majorHAnsi"/>
              </w:rPr>
            </w:pPr>
            <w:r>
              <w:rPr>
                <w:rFonts w:asciiTheme="majorHAnsi" w:hAnsiTheme="majorHAnsi"/>
              </w:rPr>
              <w:t>Žádost o platbu</w:t>
            </w:r>
          </w:p>
        </w:tc>
      </w:tr>
    </w:tbl>
    <w:p w14:paraId="429AC5ED" w14:textId="77777777" w:rsidR="002E114E" w:rsidRDefault="002E114E">
      <w:pPr>
        <w:rPr>
          <w:rFonts w:asciiTheme="majorHAnsi" w:hAnsiTheme="majorHAnsi"/>
          <w:highlight w:val="yellow"/>
        </w:rPr>
      </w:pPr>
    </w:p>
    <w:p w14:paraId="46A7FBD3" w14:textId="77777777" w:rsidR="005B62B3" w:rsidRDefault="005B62B3">
      <w:pPr>
        <w:rPr>
          <w:rFonts w:ascii="Arial" w:eastAsia="Times New Roman" w:hAnsi="Arial" w:cs="Times New Roman"/>
          <w:b/>
          <w:color w:val="0097A9" w:themeColor="accent5"/>
          <w:sz w:val="20"/>
          <w:szCs w:val="16"/>
        </w:rPr>
      </w:pPr>
      <w:r>
        <w:br w:type="page"/>
      </w:r>
    </w:p>
    <w:p w14:paraId="3574A89E" w14:textId="77777777" w:rsidR="000E5FC1" w:rsidRPr="000E5FC1" w:rsidRDefault="000E5FC1" w:rsidP="000E5FC1">
      <w:pPr>
        <w:pStyle w:val="Highlight1"/>
      </w:pPr>
      <w:r w:rsidRPr="000E5FC1">
        <w:lastRenderedPageBreak/>
        <w:t>Seznam tabulek</w:t>
      </w:r>
    </w:p>
    <w:p w14:paraId="57757C81" w14:textId="77777777" w:rsidR="00B72D0C" w:rsidRDefault="005B62B3">
      <w:pPr>
        <w:pStyle w:val="Seznamobrzk"/>
        <w:tabs>
          <w:tab w:val="right" w:leader="dot" w:pos="10082"/>
        </w:tabs>
        <w:rPr>
          <w:rFonts w:eastAsiaTheme="minorEastAsia"/>
          <w:noProof/>
          <w:sz w:val="22"/>
          <w:lang w:eastAsia="cs-CZ"/>
        </w:rPr>
      </w:pPr>
      <w:r>
        <w:rPr>
          <w:rFonts w:asciiTheme="majorHAnsi" w:hAnsiTheme="majorHAnsi"/>
          <w:highlight w:val="yellow"/>
        </w:rPr>
        <w:fldChar w:fldCharType="begin"/>
      </w:r>
      <w:r>
        <w:rPr>
          <w:rFonts w:asciiTheme="majorHAnsi" w:hAnsiTheme="majorHAnsi"/>
          <w:highlight w:val="yellow"/>
        </w:rPr>
        <w:instrText xml:space="preserve"> TOC \h \z \c "Tabulka" </w:instrText>
      </w:r>
      <w:r>
        <w:rPr>
          <w:rFonts w:asciiTheme="majorHAnsi" w:hAnsiTheme="majorHAnsi"/>
          <w:highlight w:val="yellow"/>
        </w:rPr>
        <w:fldChar w:fldCharType="separate"/>
      </w:r>
      <w:hyperlink w:anchor="_Toc24384727" w:history="1">
        <w:r w:rsidR="00B72D0C" w:rsidRPr="00CE7C9B">
          <w:rPr>
            <w:rStyle w:val="Hypertextovodkaz"/>
            <w:noProof/>
          </w:rPr>
          <w:t>Tabulka 1: Klíčové organizace implementační struktury OP PIK a jejich účel vůči jednotlivým klientům</w:t>
        </w:r>
        <w:r w:rsidR="00B72D0C">
          <w:rPr>
            <w:noProof/>
            <w:webHidden/>
          </w:rPr>
          <w:tab/>
        </w:r>
        <w:r w:rsidR="00B72D0C">
          <w:rPr>
            <w:noProof/>
            <w:webHidden/>
          </w:rPr>
          <w:fldChar w:fldCharType="begin"/>
        </w:r>
        <w:r w:rsidR="00B72D0C">
          <w:rPr>
            <w:noProof/>
            <w:webHidden/>
          </w:rPr>
          <w:instrText xml:space="preserve"> PAGEREF _Toc24384727 \h </w:instrText>
        </w:r>
        <w:r w:rsidR="00B72D0C">
          <w:rPr>
            <w:noProof/>
            <w:webHidden/>
          </w:rPr>
        </w:r>
        <w:r w:rsidR="00B72D0C">
          <w:rPr>
            <w:noProof/>
            <w:webHidden/>
          </w:rPr>
          <w:fldChar w:fldCharType="separate"/>
        </w:r>
        <w:r w:rsidR="00B72D0C">
          <w:rPr>
            <w:noProof/>
            <w:webHidden/>
          </w:rPr>
          <w:t>6</w:t>
        </w:r>
        <w:r w:rsidR="00B72D0C">
          <w:rPr>
            <w:noProof/>
            <w:webHidden/>
          </w:rPr>
          <w:fldChar w:fldCharType="end"/>
        </w:r>
      </w:hyperlink>
    </w:p>
    <w:p w14:paraId="5136492A" w14:textId="77777777" w:rsidR="00B72D0C" w:rsidRDefault="00636534">
      <w:pPr>
        <w:pStyle w:val="Seznamobrzk"/>
        <w:tabs>
          <w:tab w:val="right" w:leader="dot" w:pos="10082"/>
        </w:tabs>
        <w:rPr>
          <w:rFonts w:eastAsiaTheme="minorEastAsia"/>
          <w:noProof/>
          <w:sz w:val="22"/>
          <w:lang w:eastAsia="cs-CZ"/>
        </w:rPr>
      </w:pPr>
      <w:hyperlink w:anchor="_Toc24384728" w:history="1">
        <w:r w:rsidR="00B72D0C" w:rsidRPr="00CE7C9B">
          <w:rPr>
            <w:rStyle w:val="Hypertextovodkaz"/>
            <w:noProof/>
          </w:rPr>
          <w:t>Tabulka 2: Evaluační okruh A: Metodické prostředí OP PIK</w:t>
        </w:r>
        <w:r w:rsidR="00B72D0C">
          <w:rPr>
            <w:noProof/>
            <w:webHidden/>
          </w:rPr>
          <w:tab/>
        </w:r>
        <w:r w:rsidR="00B72D0C">
          <w:rPr>
            <w:noProof/>
            <w:webHidden/>
          </w:rPr>
          <w:fldChar w:fldCharType="begin"/>
        </w:r>
        <w:r w:rsidR="00B72D0C">
          <w:rPr>
            <w:noProof/>
            <w:webHidden/>
          </w:rPr>
          <w:instrText xml:space="preserve"> PAGEREF _Toc24384728 \h </w:instrText>
        </w:r>
        <w:r w:rsidR="00B72D0C">
          <w:rPr>
            <w:noProof/>
            <w:webHidden/>
          </w:rPr>
        </w:r>
        <w:r w:rsidR="00B72D0C">
          <w:rPr>
            <w:noProof/>
            <w:webHidden/>
          </w:rPr>
          <w:fldChar w:fldCharType="separate"/>
        </w:r>
        <w:r w:rsidR="00B72D0C">
          <w:rPr>
            <w:noProof/>
            <w:webHidden/>
          </w:rPr>
          <w:t>11</w:t>
        </w:r>
        <w:r w:rsidR="00B72D0C">
          <w:rPr>
            <w:noProof/>
            <w:webHidden/>
          </w:rPr>
          <w:fldChar w:fldCharType="end"/>
        </w:r>
      </w:hyperlink>
    </w:p>
    <w:p w14:paraId="2AA1A41B" w14:textId="77777777" w:rsidR="00B72D0C" w:rsidRDefault="00636534">
      <w:pPr>
        <w:pStyle w:val="Seznamobrzk"/>
        <w:tabs>
          <w:tab w:val="right" w:leader="dot" w:pos="10082"/>
        </w:tabs>
        <w:rPr>
          <w:rFonts w:eastAsiaTheme="minorEastAsia"/>
          <w:noProof/>
          <w:sz w:val="22"/>
          <w:lang w:eastAsia="cs-CZ"/>
        </w:rPr>
      </w:pPr>
      <w:hyperlink w:anchor="_Toc24384729" w:history="1">
        <w:r w:rsidR="00B72D0C" w:rsidRPr="00CE7C9B">
          <w:rPr>
            <w:rStyle w:val="Hypertextovodkaz"/>
            <w:noProof/>
          </w:rPr>
          <w:t>Tabulka 3: Evaluační okruh B: Implementace</w:t>
        </w:r>
        <w:r w:rsidR="00B72D0C">
          <w:rPr>
            <w:noProof/>
            <w:webHidden/>
          </w:rPr>
          <w:tab/>
        </w:r>
        <w:r w:rsidR="00B72D0C">
          <w:rPr>
            <w:noProof/>
            <w:webHidden/>
          </w:rPr>
          <w:fldChar w:fldCharType="begin"/>
        </w:r>
        <w:r w:rsidR="00B72D0C">
          <w:rPr>
            <w:noProof/>
            <w:webHidden/>
          </w:rPr>
          <w:instrText xml:space="preserve"> PAGEREF _Toc24384729 \h </w:instrText>
        </w:r>
        <w:r w:rsidR="00B72D0C">
          <w:rPr>
            <w:noProof/>
            <w:webHidden/>
          </w:rPr>
        </w:r>
        <w:r w:rsidR="00B72D0C">
          <w:rPr>
            <w:noProof/>
            <w:webHidden/>
          </w:rPr>
          <w:fldChar w:fldCharType="separate"/>
        </w:r>
        <w:r w:rsidR="00B72D0C">
          <w:rPr>
            <w:noProof/>
            <w:webHidden/>
          </w:rPr>
          <w:t>11</w:t>
        </w:r>
        <w:r w:rsidR="00B72D0C">
          <w:rPr>
            <w:noProof/>
            <w:webHidden/>
          </w:rPr>
          <w:fldChar w:fldCharType="end"/>
        </w:r>
      </w:hyperlink>
    </w:p>
    <w:p w14:paraId="16215D1A" w14:textId="77777777" w:rsidR="00B72D0C" w:rsidRDefault="00636534">
      <w:pPr>
        <w:pStyle w:val="Seznamobrzk"/>
        <w:tabs>
          <w:tab w:val="right" w:leader="dot" w:pos="10082"/>
        </w:tabs>
        <w:rPr>
          <w:rFonts w:eastAsiaTheme="minorEastAsia"/>
          <w:noProof/>
          <w:sz w:val="22"/>
          <w:lang w:eastAsia="cs-CZ"/>
        </w:rPr>
      </w:pPr>
      <w:hyperlink w:anchor="_Toc24384730" w:history="1">
        <w:r w:rsidR="00B72D0C" w:rsidRPr="00CE7C9B">
          <w:rPr>
            <w:rStyle w:val="Hypertextovodkaz"/>
            <w:noProof/>
          </w:rPr>
          <w:t>Tabulka 4: Evaluační okruh C: Komunikace</w:t>
        </w:r>
        <w:r w:rsidR="00B72D0C">
          <w:rPr>
            <w:noProof/>
            <w:webHidden/>
          </w:rPr>
          <w:tab/>
        </w:r>
        <w:r w:rsidR="00B72D0C">
          <w:rPr>
            <w:noProof/>
            <w:webHidden/>
          </w:rPr>
          <w:fldChar w:fldCharType="begin"/>
        </w:r>
        <w:r w:rsidR="00B72D0C">
          <w:rPr>
            <w:noProof/>
            <w:webHidden/>
          </w:rPr>
          <w:instrText xml:space="preserve"> PAGEREF _Toc24384730 \h </w:instrText>
        </w:r>
        <w:r w:rsidR="00B72D0C">
          <w:rPr>
            <w:noProof/>
            <w:webHidden/>
          </w:rPr>
        </w:r>
        <w:r w:rsidR="00B72D0C">
          <w:rPr>
            <w:noProof/>
            <w:webHidden/>
          </w:rPr>
          <w:fldChar w:fldCharType="separate"/>
        </w:r>
        <w:r w:rsidR="00B72D0C">
          <w:rPr>
            <w:noProof/>
            <w:webHidden/>
          </w:rPr>
          <w:t>12</w:t>
        </w:r>
        <w:r w:rsidR="00B72D0C">
          <w:rPr>
            <w:noProof/>
            <w:webHidden/>
          </w:rPr>
          <w:fldChar w:fldCharType="end"/>
        </w:r>
      </w:hyperlink>
    </w:p>
    <w:p w14:paraId="18FD7841" w14:textId="77777777" w:rsidR="00B72D0C" w:rsidRDefault="00636534">
      <w:pPr>
        <w:pStyle w:val="Seznamobrzk"/>
        <w:tabs>
          <w:tab w:val="right" w:leader="dot" w:pos="10082"/>
        </w:tabs>
        <w:rPr>
          <w:rFonts w:eastAsiaTheme="minorEastAsia"/>
          <w:noProof/>
          <w:sz w:val="22"/>
          <w:lang w:eastAsia="cs-CZ"/>
        </w:rPr>
      </w:pPr>
      <w:hyperlink w:anchor="_Toc24384731" w:history="1">
        <w:r w:rsidR="00B72D0C" w:rsidRPr="00CE7C9B">
          <w:rPr>
            <w:rStyle w:val="Hypertextovodkaz"/>
            <w:noProof/>
          </w:rPr>
          <w:t>Tabulka 5: Evaluační okruh D: Kontroly a nesrovnalosti</w:t>
        </w:r>
        <w:r w:rsidR="00B72D0C">
          <w:rPr>
            <w:noProof/>
            <w:webHidden/>
          </w:rPr>
          <w:tab/>
        </w:r>
        <w:r w:rsidR="00B72D0C">
          <w:rPr>
            <w:noProof/>
            <w:webHidden/>
          </w:rPr>
          <w:fldChar w:fldCharType="begin"/>
        </w:r>
        <w:r w:rsidR="00B72D0C">
          <w:rPr>
            <w:noProof/>
            <w:webHidden/>
          </w:rPr>
          <w:instrText xml:space="preserve"> PAGEREF _Toc24384731 \h </w:instrText>
        </w:r>
        <w:r w:rsidR="00B72D0C">
          <w:rPr>
            <w:noProof/>
            <w:webHidden/>
          </w:rPr>
        </w:r>
        <w:r w:rsidR="00B72D0C">
          <w:rPr>
            <w:noProof/>
            <w:webHidden/>
          </w:rPr>
          <w:fldChar w:fldCharType="separate"/>
        </w:r>
        <w:r w:rsidR="00B72D0C">
          <w:rPr>
            <w:noProof/>
            <w:webHidden/>
          </w:rPr>
          <w:t>13</w:t>
        </w:r>
        <w:r w:rsidR="00B72D0C">
          <w:rPr>
            <w:noProof/>
            <w:webHidden/>
          </w:rPr>
          <w:fldChar w:fldCharType="end"/>
        </w:r>
      </w:hyperlink>
    </w:p>
    <w:p w14:paraId="4EFB05DE" w14:textId="77777777" w:rsidR="00B72D0C" w:rsidRDefault="00636534">
      <w:pPr>
        <w:pStyle w:val="Seznamobrzk"/>
        <w:tabs>
          <w:tab w:val="right" w:leader="dot" w:pos="10082"/>
        </w:tabs>
        <w:rPr>
          <w:rFonts w:eastAsiaTheme="minorEastAsia"/>
          <w:noProof/>
          <w:sz w:val="22"/>
          <w:lang w:eastAsia="cs-CZ"/>
        </w:rPr>
      </w:pPr>
      <w:hyperlink w:anchor="_Toc24384732" w:history="1">
        <w:r w:rsidR="00B72D0C" w:rsidRPr="00CE7C9B">
          <w:rPr>
            <w:rStyle w:val="Hypertextovodkaz"/>
            <w:noProof/>
          </w:rPr>
          <w:t>Tabulka 6: Zdroje dat poskytnuté Zadavatelem</w:t>
        </w:r>
        <w:r w:rsidR="00B72D0C">
          <w:rPr>
            <w:noProof/>
            <w:webHidden/>
          </w:rPr>
          <w:tab/>
        </w:r>
        <w:r w:rsidR="00B72D0C">
          <w:rPr>
            <w:noProof/>
            <w:webHidden/>
          </w:rPr>
          <w:fldChar w:fldCharType="begin"/>
        </w:r>
        <w:r w:rsidR="00B72D0C">
          <w:rPr>
            <w:noProof/>
            <w:webHidden/>
          </w:rPr>
          <w:instrText xml:space="preserve"> PAGEREF _Toc24384732 \h </w:instrText>
        </w:r>
        <w:r w:rsidR="00B72D0C">
          <w:rPr>
            <w:noProof/>
            <w:webHidden/>
          </w:rPr>
        </w:r>
        <w:r w:rsidR="00B72D0C">
          <w:rPr>
            <w:noProof/>
            <w:webHidden/>
          </w:rPr>
          <w:fldChar w:fldCharType="separate"/>
        </w:r>
        <w:r w:rsidR="00B72D0C">
          <w:rPr>
            <w:noProof/>
            <w:webHidden/>
          </w:rPr>
          <w:t>14</w:t>
        </w:r>
        <w:r w:rsidR="00B72D0C">
          <w:rPr>
            <w:noProof/>
            <w:webHidden/>
          </w:rPr>
          <w:fldChar w:fldCharType="end"/>
        </w:r>
      </w:hyperlink>
    </w:p>
    <w:p w14:paraId="0F1CEE97" w14:textId="77777777" w:rsidR="00B72D0C" w:rsidRDefault="00636534">
      <w:pPr>
        <w:pStyle w:val="Seznamobrzk"/>
        <w:tabs>
          <w:tab w:val="right" w:leader="dot" w:pos="10082"/>
        </w:tabs>
        <w:rPr>
          <w:rFonts w:eastAsiaTheme="minorEastAsia"/>
          <w:noProof/>
          <w:sz w:val="22"/>
          <w:lang w:eastAsia="cs-CZ"/>
        </w:rPr>
      </w:pPr>
      <w:hyperlink w:anchor="_Toc24384733" w:history="1">
        <w:r w:rsidR="00B72D0C" w:rsidRPr="00CE7C9B">
          <w:rPr>
            <w:rStyle w:val="Hypertextovodkaz"/>
            <w:noProof/>
          </w:rPr>
          <w:t>Tabulka 7: Harmonogram analýzy zdrojů dat a dokumentů</w:t>
        </w:r>
        <w:r w:rsidR="00B72D0C">
          <w:rPr>
            <w:noProof/>
            <w:webHidden/>
          </w:rPr>
          <w:tab/>
        </w:r>
        <w:r w:rsidR="00B72D0C">
          <w:rPr>
            <w:noProof/>
            <w:webHidden/>
          </w:rPr>
          <w:fldChar w:fldCharType="begin"/>
        </w:r>
        <w:r w:rsidR="00B72D0C">
          <w:rPr>
            <w:noProof/>
            <w:webHidden/>
          </w:rPr>
          <w:instrText xml:space="preserve"> PAGEREF _Toc24384733 \h </w:instrText>
        </w:r>
        <w:r w:rsidR="00B72D0C">
          <w:rPr>
            <w:noProof/>
            <w:webHidden/>
          </w:rPr>
        </w:r>
        <w:r w:rsidR="00B72D0C">
          <w:rPr>
            <w:noProof/>
            <w:webHidden/>
          </w:rPr>
          <w:fldChar w:fldCharType="separate"/>
        </w:r>
        <w:r w:rsidR="00B72D0C">
          <w:rPr>
            <w:noProof/>
            <w:webHidden/>
          </w:rPr>
          <w:t>15</w:t>
        </w:r>
        <w:r w:rsidR="00B72D0C">
          <w:rPr>
            <w:noProof/>
            <w:webHidden/>
          </w:rPr>
          <w:fldChar w:fldCharType="end"/>
        </w:r>
      </w:hyperlink>
    </w:p>
    <w:p w14:paraId="63F9E1A2" w14:textId="77777777" w:rsidR="00B72D0C" w:rsidRDefault="00636534">
      <w:pPr>
        <w:pStyle w:val="Seznamobrzk"/>
        <w:tabs>
          <w:tab w:val="right" w:leader="dot" w:pos="10082"/>
        </w:tabs>
        <w:rPr>
          <w:rFonts w:eastAsiaTheme="minorEastAsia"/>
          <w:noProof/>
          <w:sz w:val="22"/>
          <w:lang w:eastAsia="cs-CZ"/>
        </w:rPr>
      </w:pPr>
      <w:hyperlink w:anchor="_Toc24384734" w:history="1">
        <w:r w:rsidR="00B72D0C" w:rsidRPr="00CE7C9B">
          <w:rPr>
            <w:rStyle w:val="Hypertextovodkaz"/>
            <w:noProof/>
          </w:rPr>
          <w:t>Tabulka 8: Velikost vzorku dotazníkového šetření</w:t>
        </w:r>
        <w:r w:rsidR="00B72D0C">
          <w:rPr>
            <w:noProof/>
            <w:webHidden/>
          </w:rPr>
          <w:tab/>
        </w:r>
        <w:r w:rsidR="00B72D0C">
          <w:rPr>
            <w:noProof/>
            <w:webHidden/>
          </w:rPr>
          <w:fldChar w:fldCharType="begin"/>
        </w:r>
        <w:r w:rsidR="00B72D0C">
          <w:rPr>
            <w:noProof/>
            <w:webHidden/>
          </w:rPr>
          <w:instrText xml:space="preserve"> PAGEREF _Toc24384734 \h </w:instrText>
        </w:r>
        <w:r w:rsidR="00B72D0C">
          <w:rPr>
            <w:noProof/>
            <w:webHidden/>
          </w:rPr>
        </w:r>
        <w:r w:rsidR="00B72D0C">
          <w:rPr>
            <w:noProof/>
            <w:webHidden/>
          </w:rPr>
          <w:fldChar w:fldCharType="separate"/>
        </w:r>
        <w:r w:rsidR="00B72D0C">
          <w:rPr>
            <w:noProof/>
            <w:webHidden/>
          </w:rPr>
          <w:t>16</w:t>
        </w:r>
        <w:r w:rsidR="00B72D0C">
          <w:rPr>
            <w:noProof/>
            <w:webHidden/>
          </w:rPr>
          <w:fldChar w:fldCharType="end"/>
        </w:r>
      </w:hyperlink>
    </w:p>
    <w:p w14:paraId="0451E856" w14:textId="77777777" w:rsidR="00B72D0C" w:rsidRDefault="00636534">
      <w:pPr>
        <w:pStyle w:val="Seznamobrzk"/>
        <w:tabs>
          <w:tab w:val="right" w:leader="dot" w:pos="10082"/>
        </w:tabs>
        <w:rPr>
          <w:rFonts w:eastAsiaTheme="minorEastAsia"/>
          <w:noProof/>
          <w:sz w:val="22"/>
          <w:lang w:eastAsia="cs-CZ"/>
        </w:rPr>
      </w:pPr>
      <w:hyperlink w:anchor="_Toc24384735" w:history="1">
        <w:r w:rsidR="00B72D0C" w:rsidRPr="00CE7C9B">
          <w:rPr>
            <w:rStyle w:val="Hypertextovodkaz"/>
            <w:noProof/>
          </w:rPr>
          <w:t>Tabulka 9: Harmonogram dotazníkového šetření</w:t>
        </w:r>
        <w:r w:rsidR="00B72D0C">
          <w:rPr>
            <w:noProof/>
            <w:webHidden/>
          </w:rPr>
          <w:tab/>
        </w:r>
        <w:r w:rsidR="00B72D0C">
          <w:rPr>
            <w:noProof/>
            <w:webHidden/>
          </w:rPr>
          <w:fldChar w:fldCharType="begin"/>
        </w:r>
        <w:r w:rsidR="00B72D0C">
          <w:rPr>
            <w:noProof/>
            <w:webHidden/>
          </w:rPr>
          <w:instrText xml:space="preserve"> PAGEREF _Toc24384735 \h </w:instrText>
        </w:r>
        <w:r w:rsidR="00B72D0C">
          <w:rPr>
            <w:noProof/>
            <w:webHidden/>
          </w:rPr>
        </w:r>
        <w:r w:rsidR="00B72D0C">
          <w:rPr>
            <w:noProof/>
            <w:webHidden/>
          </w:rPr>
          <w:fldChar w:fldCharType="separate"/>
        </w:r>
        <w:r w:rsidR="00B72D0C">
          <w:rPr>
            <w:noProof/>
            <w:webHidden/>
          </w:rPr>
          <w:t>17</w:t>
        </w:r>
        <w:r w:rsidR="00B72D0C">
          <w:rPr>
            <w:noProof/>
            <w:webHidden/>
          </w:rPr>
          <w:fldChar w:fldCharType="end"/>
        </w:r>
      </w:hyperlink>
    </w:p>
    <w:p w14:paraId="554ACE9B" w14:textId="77777777" w:rsidR="00B72D0C" w:rsidRDefault="00636534">
      <w:pPr>
        <w:pStyle w:val="Seznamobrzk"/>
        <w:tabs>
          <w:tab w:val="right" w:leader="dot" w:pos="10082"/>
        </w:tabs>
        <w:rPr>
          <w:rFonts w:eastAsiaTheme="minorEastAsia"/>
          <w:noProof/>
          <w:sz w:val="22"/>
          <w:lang w:eastAsia="cs-CZ"/>
        </w:rPr>
      </w:pPr>
      <w:hyperlink w:anchor="_Toc24384736" w:history="1">
        <w:r w:rsidR="00B72D0C" w:rsidRPr="00CE7C9B">
          <w:rPr>
            <w:rStyle w:val="Hypertextovodkaz"/>
            <w:noProof/>
          </w:rPr>
          <w:t>Tabulka 10: Harmonogram hloubkových rozhovorů</w:t>
        </w:r>
        <w:r w:rsidR="00B72D0C">
          <w:rPr>
            <w:noProof/>
            <w:webHidden/>
          </w:rPr>
          <w:tab/>
        </w:r>
        <w:r w:rsidR="00B72D0C">
          <w:rPr>
            <w:noProof/>
            <w:webHidden/>
          </w:rPr>
          <w:fldChar w:fldCharType="begin"/>
        </w:r>
        <w:r w:rsidR="00B72D0C">
          <w:rPr>
            <w:noProof/>
            <w:webHidden/>
          </w:rPr>
          <w:instrText xml:space="preserve"> PAGEREF _Toc24384736 \h </w:instrText>
        </w:r>
        <w:r w:rsidR="00B72D0C">
          <w:rPr>
            <w:noProof/>
            <w:webHidden/>
          </w:rPr>
        </w:r>
        <w:r w:rsidR="00B72D0C">
          <w:rPr>
            <w:noProof/>
            <w:webHidden/>
          </w:rPr>
          <w:fldChar w:fldCharType="separate"/>
        </w:r>
        <w:r w:rsidR="00B72D0C">
          <w:rPr>
            <w:noProof/>
            <w:webHidden/>
          </w:rPr>
          <w:t>18</w:t>
        </w:r>
        <w:r w:rsidR="00B72D0C">
          <w:rPr>
            <w:noProof/>
            <w:webHidden/>
          </w:rPr>
          <w:fldChar w:fldCharType="end"/>
        </w:r>
      </w:hyperlink>
    </w:p>
    <w:p w14:paraId="31E50652" w14:textId="77777777" w:rsidR="00B72D0C" w:rsidRDefault="00636534">
      <w:pPr>
        <w:pStyle w:val="Seznamobrzk"/>
        <w:tabs>
          <w:tab w:val="right" w:leader="dot" w:pos="10082"/>
        </w:tabs>
        <w:rPr>
          <w:rFonts w:eastAsiaTheme="minorEastAsia"/>
          <w:noProof/>
          <w:sz w:val="22"/>
          <w:lang w:eastAsia="cs-CZ"/>
        </w:rPr>
      </w:pPr>
      <w:hyperlink w:anchor="_Toc24384737" w:history="1">
        <w:r w:rsidR="00B72D0C" w:rsidRPr="00CE7C9B">
          <w:rPr>
            <w:rStyle w:val="Hypertextovodkaz"/>
            <w:noProof/>
          </w:rPr>
          <w:t>Tabulka 11: Harmonogram fokusní skupiny</w:t>
        </w:r>
        <w:r w:rsidR="00B72D0C">
          <w:rPr>
            <w:noProof/>
            <w:webHidden/>
          </w:rPr>
          <w:tab/>
        </w:r>
        <w:r w:rsidR="00B72D0C">
          <w:rPr>
            <w:noProof/>
            <w:webHidden/>
          </w:rPr>
          <w:fldChar w:fldCharType="begin"/>
        </w:r>
        <w:r w:rsidR="00B72D0C">
          <w:rPr>
            <w:noProof/>
            <w:webHidden/>
          </w:rPr>
          <w:instrText xml:space="preserve"> PAGEREF _Toc24384737 \h </w:instrText>
        </w:r>
        <w:r w:rsidR="00B72D0C">
          <w:rPr>
            <w:noProof/>
            <w:webHidden/>
          </w:rPr>
        </w:r>
        <w:r w:rsidR="00B72D0C">
          <w:rPr>
            <w:noProof/>
            <w:webHidden/>
          </w:rPr>
          <w:fldChar w:fldCharType="separate"/>
        </w:r>
        <w:r w:rsidR="00B72D0C">
          <w:rPr>
            <w:noProof/>
            <w:webHidden/>
          </w:rPr>
          <w:t>19</w:t>
        </w:r>
        <w:r w:rsidR="00B72D0C">
          <w:rPr>
            <w:noProof/>
            <w:webHidden/>
          </w:rPr>
          <w:fldChar w:fldCharType="end"/>
        </w:r>
      </w:hyperlink>
    </w:p>
    <w:p w14:paraId="3A3054DA" w14:textId="77777777" w:rsidR="00B72D0C" w:rsidRDefault="00636534">
      <w:pPr>
        <w:pStyle w:val="Seznamobrzk"/>
        <w:tabs>
          <w:tab w:val="right" w:leader="dot" w:pos="10082"/>
        </w:tabs>
        <w:rPr>
          <w:rFonts w:eastAsiaTheme="minorEastAsia"/>
          <w:noProof/>
          <w:sz w:val="22"/>
          <w:lang w:eastAsia="cs-CZ"/>
        </w:rPr>
      </w:pPr>
      <w:hyperlink w:anchor="_Toc24384738" w:history="1">
        <w:r w:rsidR="00B72D0C" w:rsidRPr="00CE7C9B">
          <w:rPr>
            <w:rStyle w:val="Hypertextovodkaz"/>
            <w:noProof/>
          </w:rPr>
          <w:t>Tabulka 12: Harmonogram expertního panelu</w:t>
        </w:r>
        <w:r w:rsidR="00B72D0C">
          <w:rPr>
            <w:noProof/>
            <w:webHidden/>
          </w:rPr>
          <w:tab/>
        </w:r>
        <w:r w:rsidR="00B72D0C">
          <w:rPr>
            <w:noProof/>
            <w:webHidden/>
          </w:rPr>
          <w:fldChar w:fldCharType="begin"/>
        </w:r>
        <w:r w:rsidR="00B72D0C">
          <w:rPr>
            <w:noProof/>
            <w:webHidden/>
          </w:rPr>
          <w:instrText xml:space="preserve"> PAGEREF _Toc24384738 \h </w:instrText>
        </w:r>
        <w:r w:rsidR="00B72D0C">
          <w:rPr>
            <w:noProof/>
            <w:webHidden/>
          </w:rPr>
        </w:r>
        <w:r w:rsidR="00B72D0C">
          <w:rPr>
            <w:noProof/>
            <w:webHidden/>
          </w:rPr>
          <w:fldChar w:fldCharType="separate"/>
        </w:r>
        <w:r w:rsidR="00B72D0C">
          <w:rPr>
            <w:noProof/>
            <w:webHidden/>
          </w:rPr>
          <w:t>20</w:t>
        </w:r>
        <w:r w:rsidR="00B72D0C">
          <w:rPr>
            <w:noProof/>
            <w:webHidden/>
          </w:rPr>
          <w:fldChar w:fldCharType="end"/>
        </w:r>
      </w:hyperlink>
    </w:p>
    <w:p w14:paraId="6B33F999" w14:textId="77777777" w:rsidR="00B72D0C" w:rsidRDefault="00636534">
      <w:pPr>
        <w:pStyle w:val="Seznamobrzk"/>
        <w:tabs>
          <w:tab w:val="right" w:leader="dot" w:pos="10082"/>
        </w:tabs>
        <w:rPr>
          <w:rFonts w:eastAsiaTheme="minorEastAsia"/>
          <w:noProof/>
          <w:sz w:val="22"/>
          <w:lang w:eastAsia="cs-CZ"/>
        </w:rPr>
      </w:pPr>
      <w:hyperlink w:anchor="_Toc24384739" w:history="1">
        <w:r w:rsidR="00B72D0C" w:rsidRPr="00CE7C9B">
          <w:rPr>
            <w:rStyle w:val="Hypertextovodkaz"/>
            <w:noProof/>
          </w:rPr>
          <w:t>Tabulka 13: Termíny odevzdání dílčích výstupů</w:t>
        </w:r>
        <w:r w:rsidR="00B72D0C">
          <w:rPr>
            <w:noProof/>
            <w:webHidden/>
          </w:rPr>
          <w:tab/>
        </w:r>
        <w:r w:rsidR="00B72D0C">
          <w:rPr>
            <w:noProof/>
            <w:webHidden/>
          </w:rPr>
          <w:fldChar w:fldCharType="begin"/>
        </w:r>
        <w:r w:rsidR="00B72D0C">
          <w:rPr>
            <w:noProof/>
            <w:webHidden/>
          </w:rPr>
          <w:instrText xml:space="preserve"> PAGEREF _Toc24384739 \h </w:instrText>
        </w:r>
        <w:r w:rsidR="00B72D0C">
          <w:rPr>
            <w:noProof/>
            <w:webHidden/>
          </w:rPr>
        </w:r>
        <w:r w:rsidR="00B72D0C">
          <w:rPr>
            <w:noProof/>
            <w:webHidden/>
          </w:rPr>
          <w:fldChar w:fldCharType="separate"/>
        </w:r>
        <w:r w:rsidR="00B72D0C">
          <w:rPr>
            <w:noProof/>
            <w:webHidden/>
          </w:rPr>
          <w:t>22</w:t>
        </w:r>
        <w:r w:rsidR="00B72D0C">
          <w:rPr>
            <w:noProof/>
            <w:webHidden/>
          </w:rPr>
          <w:fldChar w:fldCharType="end"/>
        </w:r>
      </w:hyperlink>
    </w:p>
    <w:p w14:paraId="43FB4A95" w14:textId="77777777" w:rsidR="00B72D0C" w:rsidRDefault="00636534">
      <w:pPr>
        <w:pStyle w:val="Seznamobrzk"/>
        <w:tabs>
          <w:tab w:val="right" w:leader="dot" w:pos="10082"/>
        </w:tabs>
        <w:rPr>
          <w:rFonts w:eastAsiaTheme="minorEastAsia"/>
          <w:noProof/>
          <w:sz w:val="22"/>
          <w:lang w:eastAsia="cs-CZ"/>
        </w:rPr>
      </w:pPr>
      <w:hyperlink w:anchor="_Toc24384740" w:history="1">
        <w:r w:rsidR="00B72D0C" w:rsidRPr="00CE7C9B">
          <w:rPr>
            <w:rStyle w:val="Hypertextovodkaz"/>
            <w:noProof/>
          </w:rPr>
          <w:t>Tabulka 14: Seznam dokumentů a zdrojů dat</w:t>
        </w:r>
        <w:r w:rsidR="00B72D0C">
          <w:rPr>
            <w:noProof/>
            <w:webHidden/>
          </w:rPr>
          <w:tab/>
        </w:r>
        <w:r w:rsidR="00B72D0C">
          <w:rPr>
            <w:noProof/>
            <w:webHidden/>
          </w:rPr>
          <w:fldChar w:fldCharType="begin"/>
        </w:r>
        <w:r w:rsidR="00B72D0C">
          <w:rPr>
            <w:noProof/>
            <w:webHidden/>
          </w:rPr>
          <w:instrText xml:space="preserve"> PAGEREF _Toc24384740 \h </w:instrText>
        </w:r>
        <w:r w:rsidR="00B72D0C">
          <w:rPr>
            <w:noProof/>
            <w:webHidden/>
          </w:rPr>
        </w:r>
        <w:r w:rsidR="00B72D0C">
          <w:rPr>
            <w:noProof/>
            <w:webHidden/>
          </w:rPr>
          <w:fldChar w:fldCharType="separate"/>
        </w:r>
        <w:r w:rsidR="00B72D0C">
          <w:rPr>
            <w:noProof/>
            <w:webHidden/>
          </w:rPr>
          <w:t>27</w:t>
        </w:r>
        <w:r w:rsidR="00B72D0C">
          <w:rPr>
            <w:noProof/>
            <w:webHidden/>
          </w:rPr>
          <w:fldChar w:fldCharType="end"/>
        </w:r>
      </w:hyperlink>
    </w:p>
    <w:p w14:paraId="1A691477" w14:textId="77777777" w:rsidR="00B72D0C" w:rsidRDefault="00636534">
      <w:pPr>
        <w:pStyle w:val="Seznamobrzk"/>
        <w:tabs>
          <w:tab w:val="right" w:leader="dot" w:pos="10082"/>
        </w:tabs>
        <w:rPr>
          <w:rFonts w:eastAsiaTheme="minorEastAsia"/>
          <w:noProof/>
          <w:sz w:val="22"/>
          <w:lang w:eastAsia="cs-CZ"/>
        </w:rPr>
      </w:pPr>
      <w:hyperlink w:anchor="_Toc24384741" w:history="1">
        <w:r w:rsidR="00B72D0C" w:rsidRPr="00CE7C9B">
          <w:rPr>
            <w:rStyle w:val="Hypertextovodkaz"/>
            <w:noProof/>
          </w:rPr>
          <w:t>Tabulka 15: Okruh otázek dotazníkového šetření</w:t>
        </w:r>
        <w:r w:rsidR="00B72D0C">
          <w:rPr>
            <w:noProof/>
            <w:webHidden/>
          </w:rPr>
          <w:tab/>
        </w:r>
        <w:r w:rsidR="00B72D0C">
          <w:rPr>
            <w:noProof/>
            <w:webHidden/>
          </w:rPr>
          <w:fldChar w:fldCharType="begin"/>
        </w:r>
        <w:r w:rsidR="00B72D0C">
          <w:rPr>
            <w:noProof/>
            <w:webHidden/>
          </w:rPr>
          <w:instrText xml:space="preserve"> PAGEREF _Toc24384741 \h </w:instrText>
        </w:r>
        <w:r w:rsidR="00B72D0C">
          <w:rPr>
            <w:noProof/>
            <w:webHidden/>
          </w:rPr>
        </w:r>
        <w:r w:rsidR="00B72D0C">
          <w:rPr>
            <w:noProof/>
            <w:webHidden/>
          </w:rPr>
          <w:fldChar w:fldCharType="separate"/>
        </w:r>
        <w:r w:rsidR="00B72D0C">
          <w:rPr>
            <w:noProof/>
            <w:webHidden/>
          </w:rPr>
          <w:t>29</w:t>
        </w:r>
        <w:r w:rsidR="00B72D0C">
          <w:rPr>
            <w:noProof/>
            <w:webHidden/>
          </w:rPr>
          <w:fldChar w:fldCharType="end"/>
        </w:r>
      </w:hyperlink>
    </w:p>
    <w:p w14:paraId="4C42E701" w14:textId="77777777" w:rsidR="00B72D0C" w:rsidRDefault="00636534">
      <w:pPr>
        <w:pStyle w:val="Seznamobrzk"/>
        <w:tabs>
          <w:tab w:val="right" w:leader="dot" w:pos="10082"/>
        </w:tabs>
        <w:rPr>
          <w:rFonts w:eastAsiaTheme="minorEastAsia"/>
          <w:noProof/>
          <w:sz w:val="22"/>
          <w:lang w:eastAsia="cs-CZ"/>
        </w:rPr>
      </w:pPr>
      <w:hyperlink w:anchor="_Toc24384742" w:history="1">
        <w:r w:rsidR="00B72D0C" w:rsidRPr="00CE7C9B">
          <w:rPr>
            <w:rStyle w:val="Hypertextovodkaz"/>
            <w:noProof/>
          </w:rPr>
          <w:t>Tabulka 16: Okruh otázek pro fokusní skupinu se žadateli a příjemci OP PIK</w:t>
        </w:r>
        <w:r w:rsidR="00B72D0C">
          <w:rPr>
            <w:noProof/>
            <w:webHidden/>
          </w:rPr>
          <w:tab/>
        </w:r>
        <w:r w:rsidR="00B72D0C">
          <w:rPr>
            <w:noProof/>
            <w:webHidden/>
          </w:rPr>
          <w:fldChar w:fldCharType="begin"/>
        </w:r>
        <w:r w:rsidR="00B72D0C">
          <w:rPr>
            <w:noProof/>
            <w:webHidden/>
          </w:rPr>
          <w:instrText xml:space="preserve"> PAGEREF _Toc24384742 \h </w:instrText>
        </w:r>
        <w:r w:rsidR="00B72D0C">
          <w:rPr>
            <w:noProof/>
            <w:webHidden/>
          </w:rPr>
        </w:r>
        <w:r w:rsidR="00B72D0C">
          <w:rPr>
            <w:noProof/>
            <w:webHidden/>
          </w:rPr>
          <w:fldChar w:fldCharType="separate"/>
        </w:r>
        <w:r w:rsidR="00B72D0C">
          <w:rPr>
            <w:noProof/>
            <w:webHidden/>
          </w:rPr>
          <w:t>30</w:t>
        </w:r>
        <w:r w:rsidR="00B72D0C">
          <w:rPr>
            <w:noProof/>
            <w:webHidden/>
          </w:rPr>
          <w:fldChar w:fldCharType="end"/>
        </w:r>
      </w:hyperlink>
    </w:p>
    <w:p w14:paraId="3DA50008" w14:textId="77777777" w:rsidR="00B72D0C" w:rsidRDefault="00636534">
      <w:pPr>
        <w:pStyle w:val="Seznamobrzk"/>
        <w:tabs>
          <w:tab w:val="right" w:leader="dot" w:pos="10082"/>
        </w:tabs>
        <w:rPr>
          <w:rFonts w:eastAsiaTheme="minorEastAsia"/>
          <w:noProof/>
          <w:sz w:val="22"/>
          <w:lang w:eastAsia="cs-CZ"/>
        </w:rPr>
      </w:pPr>
      <w:hyperlink w:anchor="_Toc24384743" w:history="1">
        <w:r w:rsidR="00B72D0C" w:rsidRPr="00CE7C9B">
          <w:rPr>
            <w:rStyle w:val="Hypertextovodkaz"/>
            <w:noProof/>
          </w:rPr>
          <w:t>Tabulka 17: Navrhované evaluační metody a jejich výhody a omezení</w:t>
        </w:r>
        <w:r w:rsidR="00B72D0C">
          <w:rPr>
            <w:noProof/>
            <w:webHidden/>
          </w:rPr>
          <w:tab/>
        </w:r>
        <w:r w:rsidR="00B72D0C">
          <w:rPr>
            <w:noProof/>
            <w:webHidden/>
          </w:rPr>
          <w:fldChar w:fldCharType="begin"/>
        </w:r>
        <w:r w:rsidR="00B72D0C">
          <w:rPr>
            <w:noProof/>
            <w:webHidden/>
          </w:rPr>
          <w:instrText xml:space="preserve"> PAGEREF _Toc24384743 \h </w:instrText>
        </w:r>
        <w:r w:rsidR="00B72D0C">
          <w:rPr>
            <w:noProof/>
            <w:webHidden/>
          </w:rPr>
        </w:r>
        <w:r w:rsidR="00B72D0C">
          <w:rPr>
            <w:noProof/>
            <w:webHidden/>
          </w:rPr>
          <w:fldChar w:fldCharType="separate"/>
        </w:r>
        <w:r w:rsidR="00B72D0C">
          <w:rPr>
            <w:noProof/>
            <w:webHidden/>
          </w:rPr>
          <w:t>32</w:t>
        </w:r>
        <w:r w:rsidR="00B72D0C">
          <w:rPr>
            <w:noProof/>
            <w:webHidden/>
          </w:rPr>
          <w:fldChar w:fldCharType="end"/>
        </w:r>
      </w:hyperlink>
    </w:p>
    <w:p w14:paraId="7DFF179B" w14:textId="77777777" w:rsidR="00B72D0C" w:rsidRDefault="00636534">
      <w:pPr>
        <w:pStyle w:val="Seznamobrzk"/>
        <w:tabs>
          <w:tab w:val="right" w:leader="dot" w:pos="10082"/>
        </w:tabs>
        <w:rPr>
          <w:rFonts w:eastAsiaTheme="minorEastAsia"/>
          <w:noProof/>
          <w:sz w:val="22"/>
          <w:lang w:eastAsia="cs-CZ"/>
        </w:rPr>
      </w:pPr>
      <w:hyperlink w:anchor="_Toc24384744" w:history="1">
        <w:r w:rsidR="00B72D0C" w:rsidRPr="00CE7C9B">
          <w:rPr>
            <w:rStyle w:val="Hypertextovodkaz"/>
            <w:noProof/>
          </w:rPr>
          <w:t>Tabulka 18: Přehled proměnných a jejich definic</w:t>
        </w:r>
        <w:r w:rsidR="00B72D0C">
          <w:rPr>
            <w:noProof/>
            <w:webHidden/>
          </w:rPr>
          <w:tab/>
        </w:r>
        <w:r w:rsidR="00B72D0C">
          <w:rPr>
            <w:noProof/>
            <w:webHidden/>
          </w:rPr>
          <w:fldChar w:fldCharType="begin"/>
        </w:r>
        <w:r w:rsidR="00B72D0C">
          <w:rPr>
            <w:noProof/>
            <w:webHidden/>
          </w:rPr>
          <w:instrText xml:space="preserve"> PAGEREF _Toc24384744 \h </w:instrText>
        </w:r>
        <w:r w:rsidR="00B72D0C">
          <w:rPr>
            <w:noProof/>
            <w:webHidden/>
          </w:rPr>
        </w:r>
        <w:r w:rsidR="00B72D0C">
          <w:rPr>
            <w:noProof/>
            <w:webHidden/>
          </w:rPr>
          <w:fldChar w:fldCharType="separate"/>
        </w:r>
        <w:r w:rsidR="00B72D0C">
          <w:rPr>
            <w:noProof/>
            <w:webHidden/>
          </w:rPr>
          <w:t>35</w:t>
        </w:r>
        <w:r w:rsidR="00B72D0C">
          <w:rPr>
            <w:noProof/>
            <w:webHidden/>
          </w:rPr>
          <w:fldChar w:fldCharType="end"/>
        </w:r>
      </w:hyperlink>
    </w:p>
    <w:p w14:paraId="3E399A4F" w14:textId="77777777" w:rsidR="00B72D0C" w:rsidRDefault="00636534">
      <w:pPr>
        <w:pStyle w:val="Seznamobrzk"/>
        <w:tabs>
          <w:tab w:val="right" w:leader="dot" w:pos="10082"/>
        </w:tabs>
        <w:rPr>
          <w:rFonts w:eastAsiaTheme="minorEastAsia"/>
          <w:noProof/>
          <w:sz w:val="22"/>
          <w:lang w:eastAsia="cs-CZ"/>
        </w:rPr>
      </w:pPr>
      <w:hyperlink w:anchor="_Toc24384745" w:history="1">
        <w:r w:rsidR="00B72D0C" w:rsidRPr="00CE7C9B">
          <w:rPr>
            <w:rStyle w:val="Hypertextovodkaz"/>
            <w:noProof/>
          </w:rPr>
          <w:t>Tabulka 19: Postup pro stanovení hypotéz</w:t>
        </w:r>
        <w:r w:rsidR="00B72D0C">
          <w:rPr>
            <w:noProof/>
            <w:webHidden/>
          </w:rPr>
          <w:tab/>
        </w:r>
        <w:r w:rsidR="00B72D0C">
          <w:rPr>
            <w:noProof/>
            <w:webHidden/>
          </w:rPr>
          <w:fldChar w:fldCharType="begin"/>
        </w:r>
        <w:r w:rsidR="00B72D0C">
          <w:rPr>
            <w:noProof/>
            <w:webHidden/>
          </w:rPr>
          <w:instrText xml:space="preserve"> PAGEREF _Toc24384745 \h </w:instrText>
        </w:r>
        <w:r w:rsidR="00B72D0C">
          <w:rPr>
            <w:noProof/>
            <w:webHidden/>
          </w:rPr>
        </w:r>
        <w:r w:rsidR="00B72D0C">
          <w:rPr>
            <w:noProof/>
            <w:webHidden/>
          </w:rPr>
          <w:fldChar w:fldCharType="separate"/>
        </w:r>
        <w:r w:rsidR="00B72D0C">
          <w:rPr>
            <w:noProof/>
            <w:webHidden/>
          </w:rPr>
          <w:t>36</w:t>
        </w:r>
        <w:r w:rsidR="00B72D0C">
          <w:rPr>
            <w:noProof/>
            <w:webHidden/>
          </w:rPr>
          <w:fldChar w:fldCharType="end"/>
        </w:r>
      </w:hyperlink>
    </w:p>
    <w:p w14:paraId="42E18C0F" w14:textId="77777777" w:rsidR="000E5FC1" w:rsidRDefault="005B62B3">
      <w:pPr>
        <w:rPr>
          <w:rFonts w:asciiTheme="majorHAnsi" w:hAnsiTheme="majorHAnsi"/>
          <w:highlight w:val="yellow"/>
        </w:rPr>
      </w:pPr>
      <w:r>
        <w:rPr>
          <w:rFonts w:asciiTheme="majorHAnsi" w:hAnsiTheme="majorHAnsi"/>
          <w:highlight w:val="yellow"/>
        </w:rPr>
        <w:fldChar w:fldCharType="end"/>
      </w:r>
    </w:p>
    <w:p w14:paraId="61C7009A" w14:textId="77777777" w:rsidR="000E5FC1" w:rsidRPr="000E5FC1" w:rsidRDefault="000E5FC1" w:rsidP="000E5FC1">
      <w:pPr>
        <w:pStyle w:val="Highlight1"/>
      </w:pPr>
      <w:r w:rsidRPr="000E5FC1">
        <w:t>Seznam obrázků</w:t>
      </w:r>
    </w:p>
    <w:p w14:paraId="2A6EF607" w14:textId="77777777" w:rsidR="00B72D0C" w:rsidRDefault="005B62B3">
      <w:pPr>
        <w:pStyle w:val="Seznamobrzk"/>
        <w:tabs>
          <w:tab w:val="right" w:leader="dot" w:pos="10082"/>
        </w:tabs>
        <w:rPr>
          <w:rFonts w:eastAsiaTheme="minorEastAsia"/>
          <w:noProof/>
          <w:sz w:val="22"/>
          <w:lang w:eastAsia="cs-CZ"/>
        </w:rPr>
      </w:pPr>
      <w:r>
        <w:rPr>
          <w:rFonts w:asciiTheme="majorHAnsi" w:hAnsiTheme="majorHAnsi"/>
          <w:highlight w:val="yellow"/>
        </w:rPr>
        <w:fldChar w:fldCharType="begin"/>
      </w:r>
      <w:r>
        <w:rPr>
          <w:rFonts w:asciiTheme="majorHAnsi" w:hAnsiTheme="majorHAnsi"/>
          <w:highlight w:val="yellow"/>
        </w:rPr>
        <w:instrText xml:space="preserve"> TOC \h \z \c "Obrázek" </w:instrText>
      </w:r>
      <w:r>
        <w:rPr>
          <w:rFonts w:asciiTheme="majorHAnsi" w:hAnsiTheme="majorHAnsi"/>
          <w:highlight w:val="yellow"/>
        </w:rPr>
        <w:fldChar w:fldCharType="separate"/>
      </w:r>
      <w:hyperlink w:anchor="_Toc24384746" w:history="1">
        <w:r w:rsidR="00B72D0C" w:rsidRPr="00057B01">
          <w:rPr>
            <w:rStyle w:val="Hypertextovodkaz"/>
            <w:noProof/>
          </w:rPr>
          <w:t>Obrázek 1: Přístup k realizaci Projektu</w:t>
        </w:r>
        <w:r w:rsidR="00B72D0C">
          <w:rPr>
            <w:noProof/>
            <w:webHidden/>
          </w:rPr>
          <w:tab/>
        </w:r>
        <w:r w:rsidR="00B72D0C">
          <w:rPr>
            <w:noProof/>
            <w:webHidden/>
          </w:rPr>
          <w:fldChar w:fldCharType="begin"/>
        </w:r>
        <w:r w:rsidR="00B72D0C">
          <w:rPr>
            <w:noProof/>
            <w:webHidden/>
          </w:rPr>
          <w:instrText xml:space="preserve"> PAGEREF _Toc24384746 \h </w:instrText>
        </w:r>
        <w:r w:rsidR="00B72D0C">
          <w:rPr>
            <w:noProof/>
            <w:webHidden/>
          </w:rPr>
        </w:r>
        <w:r w:rsidR="00B72D0C">
          <w:rPr>
            <w:noProof/>
            <w:webHidden/>
          </w:rPr>
          <w:fldChar w:fldCharType="separate"/>
        </w:r>
        <w:r w:rsidR="00B72D0C">
          <w:rPr>
            <w:noProof/>
            <w:webHidden/>
          </w:rPr>
          <w:t>7</w:t>
        </w:r>
        <w:r w:rsidR="00B72D0C">
          <w:rPr>
            <w:noProof/>
            <w:webHidden/>
          </w:rPr>
          <w:fldChar w:fldCharType="end"/>
        </w:r>
      </w:hyperlink>
    </w:p>
    <w:p w14:paraId="7DE13B76" w14:textId="77777777" w:rsidR="00B72D0C" w:rsidRDefault="00636534">
      <w:pPr>
        <w:pStyle w:val="Seznamobrzk"/>
        <w:tabs>
          <w:tab w:val="right" w:leader="dot" w:pos="10082"/>
        </w:tabs>
        <w:rPr>
          <w:rFonts w:eastAsiaTheme="minorEastAsia"/>
          <w:noProof/>
          <w:sz w:val="22"/>
          <w:lang w:eastAsia="cs-CZ"/>
        </w:rPr>
      </w:pPr>
      <w:hyperlink w:anchor="_Toc24384747" w:history="1">
        <w:r w:rsidR="00B72D0C" w:rsidRPr="00057B01">
          <w:rPr>
            <w:rStyle w:val="Hypertextovodkaz"/>
            <w:noProof/>
          </w:rPr>
          <w:t>Obrázek 2: Ukázka procesní mapy v nástroji Aris Express</w:t>
        </w:r>
        <w:r w:rsidR="00B72D0C">
          <w:rPr>
            <w:noProof/>
            <w:webHidden/>
          </w:rPr>
          <w:tab/>
        </w:r>
        <w:r w:rsidR="00B72D0C">
          <w:rPr>
            <w:noProof/>
            <w:webHidden/>
          </w:rPr>
          <w:fldChar w:fldCharType="begin"/>
        </w:r>
        <w:r w:rsidR="00B72D0C">
          <w:rPr>
            <w:noProof/>
            <w:webHidden/>
          </w:rPr>
          <w:instrText xml:space="preserve"> PAGEREF _Toc24384747 \h </w:instrText>
        </w:r>
        <w:r w:rsidR="00B72D0C">
          <w:rPr>
            <w:noProof/>
            <w:webHidden/>
          </w:rPr>
        </w:r>
        <w:r w:rsidR="00B72D0C">
          <w:rPr>
            <w:noProof/>
            <w:webHidden/>
          </w:rPr>
          <w:fldChar w:fldCharType="separate"/>
        </w:r>
        <w:r w:rsidR="00B72D0C">
          <w:rPr>
            <w:noProof/>
            <w:webHidden/>
          </w:rPr>
          <w:t>9</w:t>
        </w:r>
        <w:r w:rsidR="00B72D0C">
          <w:rPr>
            <w:noProof/>
            <w:webHidden/>
          </w:rPr>
          <w:fldChar w:fldCharType="end"/>
        </w:r>
      </w:hyperlink>
    </w:p>
    <w:p w14:paraId="44B324AA" w14:textId="77777777" w:rsidR="00B72D0C" w:rsidRDefault="00636534">
      <w:pPr>
        <w:pStyle w:val="Seznamobrzk"/>
        <w:tabs>
          <w:tab w:val="right" w:leader="dot" w:pos="10082"/>
        </w:tabs>
        <w:rPr>
          <w:rFonts w:eastAsiaTheme="minorEastAsia"/>
          <w:noProof/>
          <w:sz w:val="22"/>
          <w:lang w:eastAsia="cs-CZ"/>
        </w:rPr>
      </w:pPr>
      <w:hyperlink w:anchor="_Toc24384748" w:history="1">
        <w:r w:rsidR="00B72D0C" w:rsidRPr="00057B01">
          <w:rPr>
            <w:rStyle w:val="Hypertextovodkaz"/>
            <w:noProof/>
          </w:rPr>
          <w:t>Obrázek 3: Harmonogram postupu prací Projektu</w:t>
        </w:r>
        <w:r w:rsidR="00B72D0C">
          <w:rPr>
            <w:noProof/>
            <w:webHidden/>
          </w:rPr>
          <w:tab/>
        </w:r>
        <w:r w:rsidR="00B72D0C">
          <w:rPr>
            <w:noProof/>
            <w:webHidden/>
          </w:rPr>
          <w:fldChar w:fldCharType="begin"/>
        </w:r>
        <w:r w:rsidR="00B72D0C">
          <w:rPr>
            <w:noProof/>
            <w:webHidden/>
          </w:rPr>
          <w:instrText xml:space="preserve"> PAGEREF _Toc24384748 \h </w:instrText>
        </w:r>
        <w:r w:rsidR="00B72D0C">
          <w:rPr>
            <w:noProof/>
            <w:webHidden/>
          </w:rPr>
        </w:r>
        <w:r w:rsidR="00B72D0C">
          <w:rPr>
            <w:noProof/>
            <w:webHidden/>
          </w:rPr>
          <w:fldChar w:fldCharType="separate"/>
        </w:r>
        <w:r w:rsidR="00B72D0C">
          <w:rPr>
            <w:noProof/>
            <w:webHidden/>
          </w:rPr>
          <w:t>21</w:t>
        </w:r>
        <w:r w:rsidR="00B72D0C">
          <w:rPr>
            <w:noProof/>
            <w:webHidden/>
          </w:rPr>
          <w:fldChar w:fldCharType="end"/>
        </w:r>
      </w:hyperlink>
    </w:p>
    <w:p w14:paraId="27925EE8" w14:textId="77777777" w:rsidR="002E114E" w:rsidRPr="001C351B" w:rsidRDefault="005B62B3">
      <w:pPr>
        <w:rPr>
          <w:rFonts w:asciiTheme="majorHAnsi" w:hAnsiTheme="majorHAnsi"/>
          <w:highlight w:val="yellow"/>
        </w:rPr>
      </w:pPr>
      <w:r>
        <w:rPr>
          <w:rFonts w:asciiTheme="majorHAnsi" w:hAnsiTheme="majorHAnsi"/>
          <w:highlight w:val="yellow"/>
        </w:rPr>
        <w:fldChar w:fldCharType="end"/>
      </w:r>
    </w:p>
    <w:p w14:paraId="354FB942" w14:textId="77777777" w:rsidR="002E114E" w:rsidRPr="001C351B" w:rsidRDefault="002E114E">
      <w:pPr>
        <w:rPr>
          <w:rFonts w:asciiTheme="majorHAnsi" w:hAnsiTheme="majorHAnsi"/>
          <w:highlight w:val="yellow"/>
        </w:rPr>
      </w:pPr>
      <w:r w:rsidRPr="001C351B">
        <w:rPr>
          <w:rFonts w:asciiTheme="majorHAnsi" w:hAnsiTheme="majorHAnsi"/>
          <w:highlight w:val="yellow"/>
        </w:rPr>
        <w:br w:type="page"/>
      </w:r>
    </w:p>
    <w:p w14:paraId="4E82DDAF" w14:textId="77777777" w:rsidR="002E114E" w:rsidRPr="00281C0C" w:rsidRDefault="002E114E" w:rsidP="000E1076">
      <w:pPr>
        <w:pStyle w:val="Nadpis1"/>
      </w:pPr>
      <w:bookmarkStart w:id="3" w:name="_Toc23859664"/>
      <w:bookmarkStart w:id="4" w:name="_Toc25228644"/>
      <w:r w:rsidRPr="00214F05">
        <w:lastRenderedPageBreak/>
        <w:t>Předmět</w:t>
      </w:r>
      <w:r w:rsidRPr="00281C0C">
        <w:t xml:space="preserve"> zprávy</w:t>
      </w:r>
      <w:bookmarkEnd w:id="3"/>
      <w:bookmarkEnd w:id="4"/>
    </w:p>
    <w:p w14:paraId="0D7F7212" w14:textId="77777777" w:rsidR="00C93ED5" w:rsidRDefault="00933261" w:rsidP="00D82EF1">
      <w:pPr>
        <w:spacing w:after="120" w:line="240" w:lineRule="auto"/>
        <w:jc w:val="both"/>
      </w:pPr>
      <w:r w:rsidRPr="006062A2">
        <w:t xml:space="preserve">Společnost Deloitte Advisory s.r.o. (dále jen „Deloitte“ nebo „Dodavatel“) </w:t>
      </w:r>
      <w:r>
        <w:t>byla v rámci veřejné soutěže</w:t>
      </w:r>
      <w:r w:rsidRPr="006062A2">
        <w:t xml:space="preserve"> </w:t>
      </w:r>
      <w:r>
        <w:t>vy</w:t>
      </w:r>
      <w:r w:rsidR="0068070D">
        <w:t>brána jako D</w:t>
      </w:r>
      <w:r>
        <w:t>odavatel</w:t>
      </w:r>
      <w:r w:rsidRPr="006062A2">
        <w:t xml:space="preserve"> zakázky</w:t>
      </w:r>
      <w:r>
        <w:t xml:space="preserve"> s </w:t>
      </w:r>
      <w:r w:rsidRPr="006062A2">
        <w:t>názvem „</w:t>
      </w:r>
      <w:r w:rsidR="00C93ED5" w:rsidRPr="00C93ED5">
        <w:rPr>
          <w:b/>
        </w:rPr>
        <w:t>Evaluace administrativních postupů implementační struktury OP PIK</w:t>
      </w:r>
      <w:r>
        <w:t>“ (dále také „Projekt“) pro Ministerstvo</w:t>
      </w:r>
      <w:r w:rsidRPr="006062A2">
        <w:t xml:space="preserve"> </w:t>
      </w:r>
      <w:r>
        <w:t>průmyslu a obchodu</w:t>
      </w:r>
      <w:r w:rsidRPr="006062A2">
        <w:t xml:space="preserve"> (dále také „</w:t>
      </w:r>
      <w:r>
        <w:t>MPO“ nebo „Zadavatel“).</w:t>
      </w:r>
    </w:p>
    <w:p w14:paraId="6D47DACD" w14:textId="77777777" w:rsidR="00C93ED5" w:rsidRDefault="00C93ED5" w:rsidP="00EE0921">
      <w:pPr>
        <w:spacing w:after="120" w:line="240" w:lineRule="auto"/>
        <w:jc w:val="both"/>
      </w:pPr>
      <w:r w:rsidRPr="00214F05">
        <w:rPr>
          <w:b/>
        </w:rPr>
        <w:t>Cílem</w:t>
      </w:r>
      <w:r>
        <w:t xml:space="preserve"> evaluace je </w:t>
      </w:r>
      <w:r w:rsidRPr="00EE0921">
        <w:rPr>
          <w:b/>
        </w:rPr>
        <w:t>zjistit nedostatky a navrhnout optimalizaci procesů</w:t>
      </w:r>
      <w:r w:rsidR="00AE66FC">
        <w:t xml:space="preserve"> uplatňovaných při řízení a </w:t>
      </w:r>
      <w:r>
        <w:t xml:space="preserve">implementaci programů podpory Operačního programu podnikání a inovace pro konkurenceschopnost </w:t>
      </w:r>
      <w:r w:rsidR="00AE66FC">
        <w:br/>
      </w:r>
      <w:r>
        <w:t>2014-2020 (dále jen „OP PIK“) – programů podpory realizovaných formou dotací i finančními nástroji (</w:t>
      </w:r>
      <w:r w:rsidR="00B044C5">
        <w:t>dále jen „</w:t>
      </w:r>
      <w:r>
        <w:t>FN</w:t>
      </w:r>
      <w:r w:rsidR="00B044C5">
        <w:t>“</w:t>
      </w:r>
      <w:r>
        <w:t>). Evaluace bude zahrnovat vyhodnocení procesů</w:t>
      </w:r>
      <w:r w:rsidR="00AE66FC">
        <w:t xml:space="preserve"> v rámci čtyř okruhů: Metodika, Implementace, Komunikace a Kontroly</w:t>
      </w:r>
      <w:r>
        <w:t xml:space="preserve">. </w:t>
      </w:r>
      <w:r w:rsidRPr="00EE0921">
        <w:rPr>
          <w:b/>
        </w:rPr>
        <w:t>Výstupem</w:t>
      </w:r>
      <w:r>
        <w:t xml:space="preserve"> z evaluace </w:t>
      </w:r>
      <w:r w:rsidRPr="00EE0921">
        <w:rPr>
          <w:b/>
        </w:rPr>
        <w:t>budou doporučení, jejichž výsledným efektem by mělo být</w:t>
      </w:r>
      <w:r>
        <w:t xml:space="preserve"> – v případě jejich implementace ze strany Řídicího orgánu OP PIK – </w:t>
      </w:r>
      <w:r w:rsidR="00AE66FC">
        <w:rPr>
          <w:b/>
        </w:rPr>
        <w:t xml:space="preserve">zefektivnění procesů přispívající ke zvýšení spokojenosti žadatelů / příjemců i zaměstnanců ŘO a </w:t>
      </w:r>
      <w:r w:rsidR="00070549">
        <w:rPr>
          <w:b/>
        </w:rPr>
        <w:t>zprostředkujícího subjektu (dále také „</w:t>
      </w:r>
      <w:r w:rsidR="00AE66FC">
        <w:rPr>
          <w:b/>
        </w:rPr>
        <w:t>ZS</w:t>
      </w:r>
      <w:r w:rsidR="00070549">
        <w:rPr>
          <w:b/>
        </w:rPr>
        <w:t>“)</w:t>
      </w:r>
      <w:r w:rsidR="00AE66FC">
        <w:rPr>
          <w:b/>
        </w:rPr>
        <w:t>; a</w:t>
      </w:r>
      <w:r w:rsidR="00E93151">
        <w:rPr>
          <w:b/>
        </w:rPr>
        <w:t xml:space="preserve"> </w:t>
      </w:r>
      <w:r w:rsidRPr="00EE0921">
        <w:rPr>
          <w:rFonts w:cs="Calibri"/>
          <w:b/>
        </w:rPr>
        <w:t>zrychlení certifikace prostředků OP PIK</w:t>
      </w:r>
      <w:r>
        <w:rPr>
          <w:rFonts w:cs="Calibri"/>
        </w:rPr>
        <w:t>.</w:t>
      </w:r>
      <w:r>
        <w:t xml:space="preserve"> </w:t>
      </w:r>
    </w:p>
    <w:p w14:paraId="78A1E880" w14:textId="77777777" w:rsidR="00AE66FC" w:rsidRDefault="00AE66FC" w:rsidP="00EE0921">
      <w:pPr>
        <w:jc w:val="both"/>
      </w:pPr>
      <w:r>
        <w:t xml:space="preserve">Tato </w:t>
      </w:r>
      <w:r w:rsidR="00D82EF1">
        <w:t>Vstupní zpráva</w:t>
      </w:r>
      <w:r w:rsidR="00C91FC3">
        <w:t xml:space="preserve"> (dále také jen „VZ“)</w:t>
      </w:r>
      <w:r w:rsidR="00D82EF1">
        <w:t xml:space="preserve"> obsahuje zejména </w:t>
      </w:r>
      <w:r w:rsidR="002F1A82" w:rsidRPr="00EE0921">
        <w:rPr>
          <w:b/>
        </w:rPr>
        <w:t xml:space="preserve">detailní popis postupu </w:t>
      </w:r>
      <w:r>
        <w:rPr>
          <w:b/>
        </w:rPr>
        <w:t xml:space="preserve">realizace zakázky nastíněného již v nabídce Dodavatele. </w:t>
      </w:r>
      <w:r>
        <w:t xml:space="preserve">Detailní návrh postupu validovaný se Zadavatelem v úvodní fázi zakázky přispěje k </w:t>
      </w:r>
      <w:r w:rsidR="002F1A82" w:rsidRPr="00AE66FC">
        <w:t>efektivní</w:t>
      </w:r>
      <w:r w:rsidRPr="00AE66FC">
        <w:t>mu</w:t>
      </w:r>
      <w:r w:rsidR="002F1A82" w:rsidRPr="00AE66FC">
        <w:t xml:space="preserve"> zajištění sběru všech dat potřebných pro </w:t>
      </w:r>
      <w:r w:rsidR="0068070D" w:rsidRPr="00AE66FC">
        <w:t xml:space="preserve">evaluaci </w:t>
      </w:r>
      <w:r w:rsidR="002F1A82" w:rsidRPr="00AE66FC">
        <w:t>a formulaci případných doporučení.</w:t>
      </w:r>
      <w:r w:rsidR="002F1A82">
        <w:t xml:space="preserve"> </w:t>
      </w:r>
    </w:p>
    <w:p w14:paraId="7661646B" w14:textId="77777777" w:rsidR="002F1A82" w:rsidRPr="0068070D" w:rsidRDefault="00AE66FC" w:rsidP="00EE0921">
      <w:pPr>
        <w:jc w:val="both"/>
      </w:pPr>
      <w:r>
        <w:t xml:space="preserve">Následující kapitoly obsahují detailní popis postupu </w:t>
      </w:r>
      <w:r w:rsidR="002F1A82">
        <w:t>navržených evaluačních metod včetně harmonog</w:t>
      </w:r>
      <w:r w:rsidR="0068070D">
        <w:t>ramu jejich realizace a</w:t>
      </w:r>
      <w:r w:rsidR="002F1A82">
        <w:t xml:space="preserve"> po</w:t>
      </w:r>
      <w:r w:rsidR="00D56217">
        <w:t>ž</w:t>
      </w:r>
      <w:r w:rsidR="0068070D">
        <w:t xml:space="preserve">adované součinnosti Zadavatele. </w:t>
      </w:r>
      <w:r w:rsidR="00D56217">
        <w:t xml:space="preserve">Na základě dohody se Zadavatelem </w:t>
      </w:r>
      <w:r w:rsidR="0068070D">
        <w:t>na kick-off jednání Dodavatel v této</w:t>
      </w:r>
      <w:r w:rsidR="00D56217">
        <w:t xml:space="preserve"> zprávě také </w:t>
      </w:r>
      <w:r w:rsidR="00D56217" w:rsidRPr="00AE66FC">
        <w:rPr>
          <w:b/>
        </w:rPr>
        <w:t xml:space="preserve">vymezuje vnímaný účel implementační struktury </w:t>
      </w:r>
      <w:r w:rsidR="0068070D" w:rsidRPr="00AE66FC">
        <w:rPr>
          <w:b/>
        </w:rPr>
        <w:t>OP PIK a její klíčové klienty</w:t>
      </w:r>
      <w:r w:rsidR="0068070D">
        <w:t>. Toto vymezení bude validováno</w:t>
      </w:r>
      <w:r>
        <w:t xml:space="preserve"> a upřesněno s klíčovými aktéry na ŘO a ZS</w:t>
      </w:r>
      <w:r w:rsidR="0068070D">
        <w:t xml:space="preserve"> v další fázi </w:t>
      </w:r>
      <w:r w:rsidR="00382726">
        <w:t>P</w:t>
      </w:r>
      <w:r w:rsidR="0068070D">
        <w:t xml:space="preserve">rojektu. </w:t>
      </w:r>
    </w:p>
    <w:p w14:paraId="115648B2" w14:textId="77777777" w:rsidR="002945DE" w:rsidRDefault="002945DE">
      <w:pPr>
        <w:rPr>
          <w:rFonts w:asciiTheme="majorHAnsi" w:hAnsiTheme="majorHAnsi"/>
          <w:highlight w:val="yellow"/>
        </w:rPr>
      </w:pPr>
    </w:p>
    <w:p w14:paraId="362F96D4" w14:textId="77777777" w:rsidR="00ED77C9" w:rsidRDefault="00ED77C9" w:rsidP="00ED77C9">
      <w:pPr>
        <w:pStyle w:val="Nadpis1"/>
      </w:pPr>
      <w:bookmarkStart w:id="5" w:name="_Toc24017279"/>
      <w:bookmarkStart w:id="6" w:name="_Toc25228645"/>
      <w:r>
        <w:lastRenderedPageBreak/>
        <w:t>Návrh účelu implementační struktury a klíčových klientů organizace</w:t>
      </w:r>
      <w:bookmarkEnd w:id="5"/>
      <w:bookmarkEnd w:id="6"/>
    </w:p>
    <w:p w14:paraId="5ABA0567" w14:textId="39E22AB5" w:rsidR="0028578A" w:rsidRDefault="0028578A" w:rsidP="0028578A">
      <w:pPr>
        <w:spacing w:after="120"/>
        <w:rPr>
          <w:rFonts w:asciiTheme="majorHAnsi" w:hAnsiTheme="majorHAnsi"/>
        </w:rPr>
      </w:pPr>
      <w:bookmarkStart w:id="7" w:name="_Toc23859666"/>
      <w:r w:rsidRPr="00D3477B">
        <w:rPr>
          <w:rFonts w:asciiTheme="majorHAnsi" w:hAnsiTheme="majorHAnsi"/>
        </w:rPr>
        <w:t>Následující kapitola shrnuje popis účel</w:t>
      </w:r>
      <w:r>
        <w:rPr>
          <w:rFonts w:asciiTheme="majorHAnsi" w:hAnsiTheme="majorHAnsi"/>
        </w:rPr>
        <w:t>u</w:t>
      </w:r>
      <w:r w:rsidRPr="00D3477B">
        <w:rPr>
          <w:rFonts w:asciiTheme="majorHAnsi" w:hAnsiTheme="majorHAnsi"/>
        </w:rPr>
        <w:t xml:space="preserve"> </w:t>
      </w:r>
      <w:r>
        <w:rPr>
          <w:rFonts w:asciiTheme="majorHAnsi" w:hAnsiTheme="majorHAnsi"/>
        </w:rPr>
        <w:t xml:space="preserve">implementační struktury OP PIK v rámci ŘO a ZS </w:t>
      </w:r>
      <w:r w:rsidRPr="00D3477B">
        <w:rPr>
          <w:rFonts w:asciiTheme="majorHAnsi" w:hAnsiTheme="majorHAnsi"/>
        </w:rPr>
        <w:t>v souladu s metodou Vanguard</w:t>
      </w:r>
      <w:r>
        <w:rPr>
          <w:rFonts w:asciiTheme="majorHAnsi" w:hAnsiTheme="majorHAnsi"/>
        </w:rPr>
        <w:t xml:space="preserve"> z pohledu klíčových klientů</w:t>
      </w:r>
      <w:r w:rsidRPr="00D3477B">
        <w:rPr>
          <w:rFonts w:asciiTheme="majorHAnsi" w:hAnsiTheme="majorHAnsi"/>
        </w:rPr>
        <w:t xml:space="preserve">. </w:t>
      </w:r>
    </w:p>
    <w:p w14:paraId="2D6E17B6" w14:textId="77777777" w:rsidR="0028578A" w:rsidRDefault="0028578A" w:rsidP="0028578A">
      <w:pPr>
        <w:spacing w:after="120"/>
        <w:rPr>
          <w:rFonts w:asciiTheme="majorHAnsi" w:hAnsiTheme="majorHAnsi"/>
        </w:rPr>
      </w:pPr>
      <w:r>
        <w:rPr>
          <w:rFonts w:asciiTheme="majorHAnsi" w:hAnsiTheme="majorHAnsi"/>
        </w:rPr>
        <w:t xml:space="preserve">Definice účelu organizace je kontinuální proces permanentní reflexe potřeb klientů a jejich změn. Při definování účelu organizace je možné postupovat dvěma způsoby: </w:t>
      </w:r>
    </w:p>
    <w:p w14:paraId="73906C0B" w14:textId="77777777" w:rsidR="0028578A" w:rsidRDefault="0028578A" w:rsidP="0028578A">
      <w:pPr>
        <w:pStyle w:val="Odstavecseseznamem"/>
        <w:numPr>
          <w:ilvl w:val="0"/>
          <w:numId w:val="66"/>
        </w:numPr>
        <w:spacing w:after="120"/>
        <w:ind w:left="714" w:hanging="357"/>
        <w:contextualSpacing w:val="0"/>
        <w:rPr>
          <w:rFonts w:asciiTheme="majorHAnsi" w:hAnsiTheme="majorHAnsi"/>
        </w:rPr>
      </w:pPr>
      <w:r>
        <w:rPr>
          <w:rFonts w:asciiTheme="majorHAnsi" w:hAnsiTheme="majorHAnsi"/>
        </w:rPr>
        <w:t>Na základě analýzy</w:t>
      </w:r>
      <w:r w:rsidRPr="00D3477B">
        <w:rPr>
          <w:rFonts w:asciiTheme="majorHAnsi" w:hAnsiTheme="majorHAnsi"/>
        </w:rPr>
        <w:t xml:space="preserve"> dostupných zákonů, veřejnoprávních smluv upravující vzájemné vztahy a funkce organizací, zakládací listiny a programové a strategické dokumenty. </w:t>
      </w:r>
    </w:p>
    <w:p w14:paraId="068DD46A" w14:textId="77777777" w:rsidR="0028578A" w:rsidRPr="00D3477B" w:rsidRDefault="0028578A" w:rsidP="0028578A">
      <w:pPr>
        <w:pStyle w:val="Odstavecseseznamem"/>
        <w:numPr>
          <w:ilvl w:val="0"/>
          <w:numId w:val="66"/>
        </w:numPr>
        <w:spacing w:after="120"/>
        <w:ind w:left="714" w:hanging="357"/>
        <w:contextualSpacing w:val="0"/>
        <w:rPr>
          <w:rFonts w:asciiTheme="majorHAnsi" w:hAnsiTheme="majorHAnsi"/>
        </w:rPr>
      </w:pPr>
      <w:r>
        <w:rPr>
          <w:rFonts w:asciiTheme="majorHAnsi" w:hAnsiTheme="majorHAnsi"/>
        </w:rPr>
        <w:t>R</w:t>
      </w:r>
      <w:r w:rsidRPr="00D3477B">
        <w:rPr>
          <w:rFonts w:asciiTheme="majorHAnsi" w:hAnsiTheme="majorHAnsi"/>
        </w:rPr>
        <w:t>eflex</w:t>
      </w:r>
      <w:r>
        <w:rPr>
          <w:rFonts w:asciiTheme="majorHAnsi" w:hAnsiTheme="majorHAnsi"/>
        </w:rPr>
        <w:t>í</w:t>
      </w:r>
      <w:r w:rsidRPr="00D3477B">
        <w:rPr>
          <w:rFonts w:asciiTheme="majorHAnsi" w:hAnsiTheme="majorHAnsi"/>
        </w:rPr>
        <w:t xml:space="preserve"> účelu z pohledu zaměstnanců a zaměstnankyň dané organizace a jejich samotných klientů. </w:t>
      </w:r>
    </w:p>
    <w:p w14:paraId="0A1AA813" w14:textId="45B899DE" w:rsidR="0028578A" w:rsidRPr="00D3477B" w:rsidRDefault="0028578A" w:rsidP="0028578A">
      <w:pPr>
        <w:spacing w:after="120"/>
        <w:rPr>
          <w:rFonts w:asciiTheme="majorHAnsi" w:hAnsiTheme="majorHAnsi"/>
        </w:rPr>
      </w:pPr>
      <w:r w:rsidRPr="00D3477B">
        <w:rPr>
          <w:rFonts w:asciiTheme="majorHAnsi" w:hAnsiTheme="majorHAnsi"/>
        </w:rPr>
        <w:t>Komplexní organizace</w:t>
      </w:r>
      <w:r w:rsidR="002B7196">
        <w:rPr>
          <w:rFonts w:asciiTheme="majorHAnsi" w:hAnsiTheme="majorHAnsi"/>
        </w:rPr>
        <w:t>,</w:t>
      </w:r>
      <w:r w:rsidRPr="00D3477B">
        <w:rPr>
          <w:rFonts w:asciiTheme="majorHAnsi" w:hAnsiTheme="majorHAnsi"/>
        </w:rPr>
        <w:t xml:space="preserve"> jakými jsou </w:t>
      </w:r>
      <w:r>
        <w:rPr>
          <w:rFonts w:asciiTheme="majorHAnsi" w:hAnsiTheme="majorHAnsi"/>
        </w:rPr>
        <w:t>implementační struktury</w:t>
      </w:r>
      <w:r w:rsidRPr="00D3477B">
        <w:rPr>
          <w:rFonts w:asciiTheme="majorHAnsi" w:hAnsiTheme="majorHAnsi"/>
        </w:rPr>
        <w:t xml:space="preserve"> ESIF</w:t>
      </w:r>
      <w:r w:rsidR="002B7196">
        <w:rPr>
          <w:rFonts w:asciiTheme="majorHAnsi" w:hAnsiTheme="majorHAnsi"/>
        </w:rPr>
        <w:t>,</w:t>
      </w:r>
      <w:r w:rsidRPr="00D3477B">
        <w:rPr>
          <w:rFonts w:asciiTheme="majorHAnsi" w:hAnsiTheme="majorHAnsi"/>
        </w:rPr>
        <w:t xml:space="preserve"> sledují se svou komplexní strukturou širokou škálu účelů. V případě Ministerstva průmyslu a obchodu může </w:t>
      </w:r>
      <w:r w:rsidR="00405DA8">
        <w:rPr>
          <w:rFonts w:asciiTheme="majorHAnsi" w:hAnsiTheme="majorHAnsi"/>
        </w:rPr>
        <w:t>být účel organizace definován a </w:t>
      </w:r>
      <w:r w:rsidRPr="00D3477B">
        <w:rPr>
          <w:rFonts w:asciiTheme="majorHAnsi" w:hAnsiTheme="majorHAnsi"/>
        </w:rPr>
        <w:t xml:space="preserve">reflektován odlišně napříč jednotlivými sekcemi a odbory. </w:t>
      </w:r>
    </w:p>
    <w:p w14:paraId="3BAE91E8" w14:textId="77777777" w:rsidR="0028578A" w:rsidRDefault="0028578A" w:rsidP="0028578A">
      <w:pPr>
        <w:spacing w:after="120"/>
      </w:pPr>
      <w:r w:rsidRPr="00D3477B">
        <w:rPr>
          <w:rFonts w:asciiTheme="majorHAnsi" w:hAnsiTheme="majorHAnsi"/>
        </w:rPr>
        <w:t xml:space="preserve">Pro efektivnost implementace ESI fondů je klíčové </w:t>
      </w:r>
      <w:r w:rsidRPr="00D3477B">
        <w:rPr>
          <w:rFonts w:asciiTheme="majorHAnsi" w:hAnsiTheme="majorHAnsi"/>
          <w:b/>
        </w:rPr>
        <w:t>definovat jednotlivé složky implementační struktury</w:t>
      </w:r>
      <w:r w:rsidRPr="00D3477B">
        <w:rPr>
          <w:rFonts w:asciiTheme="majorHAnsi" w:hAnsiTheme="majorHAnsi"/>
        </w:rPr>
        <w:t xml:space="preserve">, </w:t>
      </w:r>
      <w:r>
        <w:rPr>
          <w:rFonts w:asciiTheme="majorHAnsi" w:hAnsiTheme="majorHAnsi"/>
        </w:rPr>
        <w:t xml:space="preserve">jejich </w:t>
      </w:r>
      <w:r w:rsidRPr="00D3477B">
        <w:rPr>
          <w:rFonts w:asciiTheme="majorHAnsi" w:hAnsiTheme="majorHAnsi"/>
          <w:b/>
        </w:rPr>
        <w:t>klienty a</w:t>
      </w:r>
      <w:r>
        <w:rPr>
          <w:rFonts w:asciiTheme="majorHAnsi" w:hAnsiTheme="majorHAnsi"/>
        </w:rPr>
        <w:t xml:space="preserve"> </w:t>
      </w:r>
      <w:r w:rsidRPr="00D3477B">
        <w:rPr>
          <w:rFonts w:asciiTheme="majorHAnsi" w:hAnsiTheme="majorHAnsi"/>
          <w:b/>
        </w:rPr>
        <w:t>účel</w:t>
      </w:r>
      <w:r>
        <w:rPr>
          <w:rFonts w:asciiTheme="majorHAnsi" w:hAnsiTheme="majorHAnsi"/>
        </w:rPr>
        <w:t xml:space="preserve">, </w:t>
      </w:r>
      <w:r w:rsidRPr="00D3477B">
        <w:rPr>
          <w:rFonts w:asciiTheme="majorHAnsi" w:hAnsiTheme="majorHAnsi"/>
        </w:rPr>
        <w:t xml:space="preserve">jejich </w:t>
      </w:r>
      <w:r w:rsidRPr="00D3477B">
        <w:rPr>
          <w:rFonts w:asciiTheme="majorHAnsi" w:hAnsiTheme="majorHAnsi"/>
          <w:b/>
        </w:rPr>
        <w:t>vzájemné vztahy</w:t>
      </w:r>
      <w:r w:rsidRPr="00D3477B">
        <w:rPr>
          <w:rFonts w:asciiTheme="majorHAnsi" w:hAnsiTheme="majorHAnsi"/>
        </w:rPr>
        <w:t xml:space="preserve"> a</w:t>
      </w:r>
      <w:r>
        <w:rPr>
          <w:rFonts w:asciiTheme="majorHAnsi" w:hAnsiTheme="majorHAnsi"/>
        </w:rPr>
        <w:t> </w:t>
      </w:r>
      <w:r w:rsidRPr="00D3477B">
        <w:rPr>
          <w:rFonts w:asciiTheme="majorHAnsi" w:hAnsiTheme="majorHAnsi"/>
          <w:b/>
        </w:rPr>
        <w:t>porovnat soulad obsahu a formy poskytovaných služeb s jejich účelem</w:t>
      </w:r>
      <w:r w:rsidR="002B7196">
        <w:rPr>
          <w:rFonts w:asciiTheme="majorHAnsi" w:hAnsiTheme="majorHAnsi"/>
          <w:b/>
        </w:rPr>
        <w:t>.</w:t>
      </w:r>
    </w:p>
    <w:p w14:paraId="3320432E" w14:textId="77777777" w:rsidR="0028578A" w:rsidRDefault="0028578A" w:rsidP="0028578A">
      <w:pPr>
        <w:spacing w:after="120"/>
      </w:pPr>
      <w:r>
        <w:t>Implementační struktura OP PIK se skládá především z primárního okruhu implementujících organizací:</w:t>
      </w:r>
    </w:p>
    <w:p w14:paraId="77BE03A4" w14:textId="77777777" w:rsidR="0028578A" w:rsidRDefault="0028578A" w:rsidP="0028578A">
      <w:pPr>
        <w:pStyle w:val="Odstavecseseznamem"/>
        <w:numPr>
          <w:ilvl w:val="0"/>
          <w:numId w:val="64"/>
        </w:numPr>
        <w:spacing w:after="120"/>
        <w:ind w:left="714" w:hanging="357"/>
        <w:contextualSpacing w:val="0"/>
      </w:pPr>
      <w:r w:rsidRPr="00864843">
        <w:rPr>
          <w:b/>
        </w:rPr>
        <w:t>Řídícího orgánu</w:t>
      </w:r>
      <w:r>
        <w:t xml:space="preserve"> – Ministerstva průmyslu a obchodu ČR (Dále jen „MPO“)</w:t>
      </w:r>
    </w:p>
    <w:p w14:paraId="4F9E92CE" w14:textId="77777777" w:rsidR="0028578A" w:rsidRDefault="0028578A" w:rsidP="0028578A">
      <w:pPr>
        <w:pStyle w:val="Odstavecseseznamem"/>
        <w:numPr>
          <w:ilvl w:val="0"/>
          <w:numId w:val="64"/>
        </w:numPr>
        <w:spacing w:after="120"/>
        <w:ind w:left="714" w:hanging="357"/>
        <w:contextualSpacing w:val="0"/>
      </w:pPr>
      <w:r w:rsidRPr="00864843">
        <w:rPr>
          <w:b/>
        </w:rPr>
        <w:t xml:space="preserve">Zprostředkujícího subjektu </w:t>
      </w:r>
      <w:r w:rsidRPr="00864843">
        <w:t xml:space="preserve">– </w:t>
      </w:r>
      <w:r>
        <w:t>Agentury pro podnikání a inovace (dále jen „API“)</w:t>
      </w:r>
    </w:p>
    <w:p w14:paraId="1172B5CA" w14:textId="77777777" w:rsidR="0028578A" w:rsidRDefault="0028578A" w:rsidP="0028578A">
      <w:pPr>
        <w:pStyle w:val="Odstavecseseznamem"/>
        <w:numPr>
          <w:ilvl w:val="0"/>
          <w:numId w:val="64"/>
        </w:numPr>
        <w:spacing w:after="120"/>
        <w:ind w:left="714" w:hanging="357"/>
        <w:contextualSpacing w:val="0"/>
      </w:pPr>
      <w:r w:rsidRPr="00864843">
        <w:rPr>
          <w:b/>
        </w:rPr>
        <w:t>Správce finančních nástrojů</w:t>
      </w:r>
      <w:r>
        <w:t xml:space="preserve"> – Českomoravské záruční a rozvojové banky (dále jen „ČMZRB“)</w:t>
      </w:r>
      <w:r>
        <w:rPr>
          <w:rStyle w:val="Znakapoznpodarou"/>
        </w:rPr>
        <w:footnoteReference w:id="1"/>
      </w:r>
    </w:p>
    <w:p w14:paraId="78B4CEC3" w14:textId="77777777" w:rsidR="0028578A" w:rsidRDefault="0028578A" w:rsidP="0028578A">
      <w:pPr>
        <w:spacing w:after="120"/>
      </w:pPr>
      <w:r>
        <w:t xml:space="preserve">Za účelem stanovení účelu organizace Dodavatel v souladu s metodou Vanguard vymezuje následující hlavní typy klientů: </w:t>
      </w:r>
    </w:p>
    <w:p w14:paraId="4B6CFA83" w14:textId="77777777" w:rsidR="0028578A" w:rsidRPr="00BC335C" w:rsidRDefault="0028578A" w:rsidP="0028578A">
      <w:pPr>
        <w:pStyle w:val="Odstavecseseznamem"/>
        <w:numPr>
          <w:ilvl w:val="0"/>
          <w:numId w:val="65"/>
        </w:numPr>
        <w:spacing w:after="120"/>
        <w:ind w:left="714" w:hanging="357"/>
        <w:contextualSpacing w:val="0"/>
        <w:rPr>
          <w:b/>
        </w:rPr>
      </w:pPr>
      <w:r w:rsidRPr="00BC335C">
        <w:rPr>
          <w:b/>
        </w:rPr>
        <w:t>Podnikatelské subjekty</w:t>
      </w:r>
    </w:p>
    <w:p w14:paraId="2ED34E2E" w14:textId="77777777" w:rsidR="0028578A" w:rsidRDefault="0028578A" w:rsidP="0028578A">
      <w:pPr>
        <w:pStyle w:val="Odstavecseseznamem"/>
        <w:numPr>
          <w:ilvl w:val="1"/>
          <w:numId w:val="65"/>
        </w:numPr>
        <w:spacing w:after="120"/>
        <w:contextualSpacing w:val="0"/>
      </w:pPr>
      <w:r>
        <w:t>Všechny podnikatelské subjekty, coby potenciální žadatelé a jejich zastupitelské organizace</w:t>
      </w:r>
    </w:p>
    <w:p w14:paraId="7B6B0556" w14:textId="77777777" w:rsidR="0028578A" w:rsidRDefault="0028578A" w:rsidP="0028578A">
      <w:pPr>
        <w:pStyle w:val="Odstavecseseznamem"/>
        <w:numPr>
          <w:ilvl w:val="1"/>
          <w:numId w:val="65"/>
        </w:numPr>
        <w:spacing w:after="120"/>
        <w:contextualSpacing w:val="0"/>
      </w:pPr>
      <w:r>
        <w:t>Žadatelé o podporu</w:t>
      </w:r>
    </w:p>
    <w:p w14:paraId="53B8B126" w14:textId="77777777" w:rsidR="0028578A" w:rsidRDefault="0028578A" w:rsidP="0028578A">
      <w:pPr>
        <w:pStyle w:val="Odstavecseseznamem"/>
        <w:numPr>
          <w:ilvl w:val="1"/>
          <w:numId w:val="65"/>
        </w:numPr>
        <w:spacing w:after="120"/>
        <w:contextualSpacing w:val="0"/>
      </w:pPr>
      <w:r>
        <w:t>Příjemci dotačních i nedotačních forem podpory</w:t>
      </w:r>
    </w:p>
    <w:p w14:paraId="6F70D0D9" w14:textId="77777777" w:rsidR="0028578A" w:rsidRDefault="0028578A" w:rsidP="0028578A">
      <w:pPr>
        <w:pStyle w:val="Odstavecseseznamem"/>
        <w:numPr>
          <w:ilvl w:val="0"/>
          <w:numId w:val="65"/>
        </w:numPr>
        <w:spacing w:after="120"/>
        <w:ind w:left="714" w:hanging="357"/>
        <w:contextualSpacing w:val="0"/>
      </w:pPr>
      <w:r w:rsidRPr="00BC335C">
        <w:rPr>
          <w:b/>
        </w:rPr>
        <w:t>Široká veřejnost</w:t>
      </w:r>
    </w:p>
    <w:p w14:paraId="56091110" w14:textId="302D84EF" w:rsidR="0028578A" w:rsidRDefault="0028578A" w:rsidP="0028578A">
      <w:pPr>
        <w:pStyle w:val="Odstavecseseznamem"/>
        <w:numPr>
          <w:ilvl w:val="1"/>
          <w:numId w:val="65"/>
        </w:numPr>
        <w:spacing w:after="120"/>
        <w:contextualSpacing w:val="0"/>
      </w:pPr>
      <w:r>
        <w:t>Koncoví uživatelé služeb a produktů podnikatelských subjektů</w:t>
      </w:r>
      <w:r w:rsidR="00405DA8">
        <w:t>, kteří těží z dopadů podpory a </w:t>
      </w:r>
      <w:r>
        <w:t>podpořených služeb</w:t>
      </w:r>
    </w:p>
    <w:p w14:paraId="34E072F2" w14:textId="77777777" w:rsidR="0028578A" w:rsidRDefault="0028578A" w:rsidP="0028578A">
      <w:pPr>
        <w:pStyle w:val="Odstavecseseznamem"/>
        <w:numPr>
          <w:ilvl w:val="0"/>
          <w:numId w:val="65"/>
        </w:numPr>
        <w:spacing w:after="120"/>
        <w:ind w:left="714" w:hanging="357"/>
        <w:contextualSpacing w:val="0"/>
      </w:pPr>
      <w:r>
        <w:rPr>
          <w:b/>
        </w:rPr>
        <w:t xml:space="preserve">Dotčené </w:t>
      </w:r>
      <w:r w:rsidRPr="00BC335C">
        <w:rPr>
          <w:b/>
        </w:rPr>
        <w:t>orgány na národní úrovni</w:t>
      </w:r>
    </w:p>
    <w:p w14:paraId="21A6897B" w14:textId="77777777" w:rsidR="0028578A" w:rsidRDefault="0028578A" w:rsidP="0028578A">
      <w:pPr>
        <w:pStyle w:val="Odstavecseseznamem"/>
        <w:numPr>
          <w:ilvl w:val="1"/>
          <w:numId w:val="65"/>
        </w:numPr>
        <w:spacing w:after="120"/>
        <w:contextualSpacing w:val="0"/>
      </w:pPr>
      <w:r>
        <w:t>Národní orgán pro koordinaci ESI fondů na Ministerstvu místního rozvoje ČR (dále jen „MMR – NOK“) coby koordinační jednotka ESI fondů v ČR</w:t>
      </w:r>
    </w:p>
    <w:p w14:paraId="0CF4E5D0" w14:textId="77777777" w:rsidR="0028578A" w:rsidRDefault="0028578A" w:rsidP="0028578A">
      <w:pPr>
        <w:pStyle w:val="Odstavecseseznamem"/>
        <w:numPr>
          <w:ilvl w:val="1"/>
          <w:numId w:val="65"/>
        </w:numPr>
        <w:spacing w:after="120"/>
        <w:contextualSpacing w:val="0"/>
      </w:pPr>
      <w:r>
        <w:lastRenderedPageBreak/>
        <w:t>Ministerstvo financí ČR (dále jen „MFCR“) coby auditní, certifikační a platební orgán</w:t>
      </w:r>
    </w:p>
    <w:p w14:paraId="2A2123E5" w14:textId="77777777" w:rsidR="0028578A" w:rsidRDefault="0028578A" w:rsidP="0028578A">
      <w:pPr>
        <w:pStyle w:val="Odstavecseseznamem"/>
        <w:numPr>
          <w:ilvl w:val="1"/>
          <w:numId w:val="65"/>
        </w:numPr>
        <w:spacing w:after="120"/>
        <w:contextualSpacing w:val="0"/>
      </w:pPr>
      <w:r>
        <w:t>Nejvyšší kontrolní úřad ČR (dále jen „NKÚ“) coby kontrolní orgán, případně další kontrolní orgány</w:t>
      </w:r>
    </w:p>
    <w:p w14:paraId="546ADF08" w14:textId="77777777" w:rsidR="0028578A" w:rsidRPr="0028578A" w:rsidRDefault="0028578A" w:rsidP="0028578A">
      <w:pPr>
        <w:pStyle w:val="Odstavecseseznamem"/>
        <w:numPr>
          <w:ilvl w:val="0"/>
          <w:numId w:val="65"/>
        </w:numPr>
        <w:spacing w:after="120"/>
        <w:ind w:left="714" w:hanging="357"/>
        <w:contextualSpacing w:val="0"/>
      </w:pPr>
      <w:r w:rsidRPr="00275A78">
        <w:rPr>
          <w:b/>
        </w:rPr>
        <w:t>Evropská komise</w:t>
      </w:r>
      <w:r>
        <w:rPr>
          <w:b/>
        </w:rPr>
        <w:t xml:space="preserve"> </w:t>
      </w:r>
      <w:r w:rsidRPr="0028578A">
        <w:t>(dále jen „EK“)</w:t>
      </w:r>
    </w:p>
    <w:p w14:paraId="22FB23C1" w14:textId="77777777" w:rsidR="0028578A" w:rsidRDefault="0028578A" w:rsidP="0028578A">
      <w:pPr>
        <w:spacing w:after="120"/>
      </w:pPr>
      <w:r>
        <w:t>Oblast ESIF je specifická, neboť ačkoli jsou konečnými klienty (tzv. beneficiaries) občané ČR</w:t>
      </w:r>
      <w:r>
        <w:rPr>
          <w:rStyle w:val="Znakapoznpodarou"/>
        </w:rPr>
        <w:footnoteReference w:id="2"/>
      </w:r>
      <w:r>
        <w:t xml:space="preserve">, služby řídících nebo zprostředkujících subjektů na tuto cílovou skupinu přímo zaměřeny nejsou. Přímými klienty služeb jsou podnikatelské subjekty, které se stávají příjemci podpory a realizátory projektů. Služby občanům pak mají zprostředkovaný charakter v podobě přidané hodnoty podpořených služeb a produktů. </w:t>
      </w:r>
    </w:p>
    <w:p w14:paraId="17976188" w14:textId="7F273344" w:rsidR="0028578A" w:rsidRDefault="0028578A" w:rsidP="0028578A">
      <w:r>
        <w:t xml:space="preserve">Následující tabulka shrnuje základní typy klientů organizací implementační struktury OP PIK a účelu organizací z pohledu jednotlivých klientů dle návrhu Dodavatele. </w:t>
      </w:r>
      <w:r w:rsidR="006154D3">
        <w:t xml:space="preserve">Sloupce </w:t>
      </w:r>
      <w:r>
        <w:t xml:space="preserve">Klienti a </w:t>
      </w:r>
      <w:r w:rsidR="006154D3">
        <w:t xml:space="preserve">Účel </w:t>
      </w:r>
      <w:r>
        <w:t xml:space="preserve">implementační struktury </w:t>
      </w:r>
      <w:r w:rsidR="006154D3">
        <w:t xml:space="preserve">v Tabulce č. 1 níže </w:t>
      </w:r>
      <w:r>
        <w:t>bud</w:t>
      </w:r>
      <w:r w:rsidR="006154D3">
        <w:t>ou</w:t>
      </w:r>
      <w:r>
        <w:t xml:space="preserve"> validován</w:t>
      </w:r>
      <w:r w:rsidR="006154D3">
        <w:t>y</w:t>
      </w:r>
      <w:r>
        <w:t>, upraven</w:t>
      </w:r>
      <w:r w:rsidR="006154D3">
        <w:t>y</w:t>
      </w:r>
      <w:r>
        <w:t xml:space="preserve"> a doplněn</w:t>
      </w:r>
      <w:r w:rsidR="006154D3">
        <w:t>y</w:t>
      </w:r>
      <w:r>
        <w:t xml:space="preserve"> v další fázi projektu na základě vstupů od zaměstnanců a klientů implementační struktury. </w:t>
      </w:r>
    </w:p>
    <w:p w14:paraId="25855DA6" w14:textId="77777777" w:rsidR="0028578A" w:rsidRDefault="0028578A" w:rsidP="0028578A">
      <w:pPr>
        <w:pStyle w:val="Titulek"/>
      </w:pPr>
      <w:bookmarkStart w:id="8" w:name="_Toc24384727"/>
      <w:r>
        <w:t xml:space="preserve">Tabulka </w:t>
      </w:r>
      <w:r>
        <w:fldChar w:fldCharType="begin"/>
      </w:r>
      <w:r>
        <w:instrText xml:space="preserve"> SEQ Tabulka \* ARABIC </w:instrText>
      </w:r>
      <w:r>
        <w:fldChar w:fldCharType="separate"/>
      </w:r>
      <w:r>
        <w:rPr>
          <w:noProof/>
        </w:rPr>
        <w:t>1</w:t>
      </w:r>
      <w:r>
        <w:fldChar w:fldCharType="end"/>
      </w:r>
      <w:r>
        <w:t xml:space="preserve">: </w:t>
      </w:r>
      <w:r w:rsidRPr="00DE0C1D">
        <w:t>Klíčové organizace implementační struktury OP PIK a jejich účel vůči jednotlivým klientům</w:t>
      </w:r>
      <w:bookmarkEnd w:id="8"/>
    </w:p>
    <w:tbl>
      <w:tblPr>
        <w:tblStyle w:val="Deloittetable11"/>
        <w:tblW w:w="5000" w:type="pct"/>
        <w:tblBorders>
          <w:insideV w:val="single" w:sz="4" w:space="0" w:color="86BC25" w:themeColor="accent1"/>
        </w:tblBorders>
        <w:tblLook w:val="04A0" w:firstRow="1" w:lastRow="0" w:firstColumn="1" w:lastColumn="0" w:noHBand="0" w:noVBand="1"/>
      </w:tblPr>
      <w:tblGrid>
        <w:gridCol w:w="1697"/>
        <w:gridCol w:w="1492"/>
        <w:gridCol w:w="6903"/>
      </w:tblGrid>
      <w:tr w:rsidR="0028578A" w:rsidRPr="009059A1" w14:paraId="54022B23" w14:textId="77777777" w:rsidTr="002857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1" w:type="pct"/>
          </w:tcPr>
          <w:p w14:paraId="08666879" w14:textId="77777777" w:rsidR="0028578A" w:rsidRPr="00FD10BF" w:rsidRDefault="0028578A" w:rsidP="0028578A">
            <w:pPr>
              <w:spacing w:after="120"/>
              <w:rPr>
                <w:sz w:val="16"/>
                <w:szCs w:val="16"/>
              </w:rPr>
            </w:pPr>
            <w:r w:rsidRPr="009059A1">
              <w:rPr>
                <w:sz w:val="16"/>
                <w:szCs w:val="16"/>
              </w:rPr>
              <w:t>Organizace</w:t>
            </w:r>
          </w:p>
        </w:tc>
        <w:tc>
          <w:tcPr>
            <w:tcW w:w="739" w:type="pct"/>
          </w:tcPr>
          <w:p w14:paraId="5BC2A227" w14:textId="77777777" w:rsidR="0028578A" w:rsidRPr="00FD10BF" w:rsidRDefault="0028578A" w:rsidP="0028578A">
            <w:pPr>
              <w:spacing w:after="120"/>
              <w:cnfStyle w:val="100000000000" w:firstRow="1" w:lastRow="0" w:firstColumn="0" w:lastColumn="0" w:oddVBand="0" w:evenVBand="0" w:oddHBand="0" w:evenHBand="0" w:firstRowFirstColumn="0" w:firstRowLastColumn="0" w:lastRowFirstColumn="0" w:lastRowLastColumn="0"/>
              <w:rPr>
                <w:sz w:val="16"/>
                <w:szCs w:val="16"/>
              </w:rPr>
            </w:pPr>
            <w:r w:rsidRPr="009059A1">
              <w:rPr>
                <w:sz w:val="16"/>
                <w:szCs w:val="16"/>
              </w:rPr>
              <w:t>Klienti</w:t>
            </w:r>
          </w:p>
        </w:tc>
        <w:tc>
          <w:tcPr>
            <w:tcW w:w="3420" w:type="pct"/>
          </w:tcPr>
          <w:p w14:paraId="54D394D9" w14:textId="77777777" w:rsidR="0028578A" w:rsidRPr="00FD10BF" w:rsidRDefault="0028578A" w:rsidP="0028578A">
            <w:pPr>
              <w:spacing w:after="120"/>
              <w:cnfStyle w:val="100000000000" w:firstRow="1" w:lastRow="0" w:firstColumn="0" w:lastColumn="0" w:oddVBand="0" w:evenVBand="0" w:oddHBand="0" w:evenHBand="0" w:firstRowFirstColumn="0" w:firstRowLastColumn="0" w:lastRowFirstColumn="0" w:lastRowLastColumn="0"/>
              <w:rPr>
                <w:sz w:val="16"/>
                <w:szCs w:val="16"/>
              </w:rPr>
            </w:pPr>
            <w:r w:rsidRPr="009059A1">
              <w:rPr>
                <w:sz w:val="16"/>
                <w:szCs w:val="16"/>
              </w:rPr>
              <w:t>Účel</w:t>
            </w:r>
          </w:p>
        </w:tc>
      </w:tr>
      <w:tr w:rsidR="00405DA8" w:rsidRPr="009059A1" w14:paraId="4A8AA18F" w14:textId="77777777" w:rsidTr="0028578A">
        <w:tc>
          <w:tcPr>
            <w:cnfStyle w:val="001000000000" w:firstRow="0" w:lastRow="0" w:firstColumn="1" w:lastColumn="0" w:oddVBand="0" w:evenVBand="0" w:oddHBand="0" w:evenHBand="0" w:firstRowFirstColumn="0" w:firstRowLastColumn="0" w:lastRowFirstColumn="0" w:lastRowLastColumn="0"/>
            <w:tcW w:w="841" w:type="pct"/>
            <w:vMerge w:val="restart"/>
          </w:tcPr>
          <w:p w14:paraId="723DC38A" w14:textId="77777777" w:rsidR="00405DA8" w:rsidRPr="00FD10BF" w:rsidRDefault="00405DA8" w:rsidP="0028578A">
            <w:pPr>
              <w:spacing w:after="120"/>
              <w:rPr>
                <w:b/>
                <w:sz w:val="16"/>
                <w:szCs w:val="16"/>
              </w:rPr>
            </w:pPr>
            <w:r w:rsidRPr="002A0257">
              <w:rPr>
                <w:b/>
                <w:sz w:val="16"/>
                <w:szCs w:val="16"/>
              </w:rPr>
              <w:t xml:space="preserve">Řídící orgán </w:t>
            </w:r>
            <w:r>
              <w:rPr>
                <w:b/>
                <w:sz w:val="16"/>
                <w:szCs w:val="16"/>
              </w:rPr>
              <w:t xml:space="preserve">– </w:t>
            </w:r>
            <w:r w:rsidRPr="002A0257">
              <w:rPr>
                <w:b/>
                <w:sz w:val="16"/>
                <w:szCs w:val="16"/>
              </w:rPr>
              <w:t>MPO</w:t>
            </w:r>
          </w:p>
        </w:tc>
        <w:tc>
          <w:tcPr>
            <w:tcW w:w="739" w:type="pct"/>
          </w:tcPr>
          <w:p w14:paraId="46837F91" w14:textId="77777777" w:rsidR="00405DA8" w:rsidRPr="00FD10BF" w:rsidRDefault="00405DA8" w:rsidP="0028578A">
            <w:pPr>
              <w:cnfStyle w:val="000000000000" w:firstRow="0" w:lastRow="0" w:firstColumn="0" w:lastColumn="0" w:oddVBand="0" w:evenVBand="0" w:oddHBand="0" w:evenHBand="0" w:firstRowFirstColumn="0" w:firstRowLastColumn="0" w:lastRowFirstColumn="0" w:lastRowLastColumn="0"/>
              <w:rPr>
                <w:sz w:val="16"/>
                <w:szCs w:val="16"/>
              </w:rPr>
            </w:pPr>
            <w:r w:rsidRPr="009059A1">
              <w:rPr>
                <w:sz w:val="16"/>
                <w:szCs w:val="16"/>
              </w:rPr>
              <w:t>Podnikatelské subjekty</w:t>
            </w:r>
          </w:p>
        </w:tc>
        <w:tc>
          <w:tcPr>
            <w:tcW w:w="3420" w:type="pct"/>
          </w:tcPr>
          <w:p w14:paraId="3DC1B006" w14:textId="77777777" w:rsidR="00405DA8" w:rsidRPr="00FD10BF" w:rsidRDefault="00405DA8" w:rsidP="0028578A">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Podpora technologického a inovačního rozvoje podnikatelských subjektů. </w:t>
            </w:r>
            <w:r w:rsidRPr="002A0257">
              <w:rPr>
                <w:sz w:val="16"/>
                <w:szCs w:val="16"/>
              </w:rPr>
              <w:t xml:space="preserve">Vytvoření podmínek pro rozvoj konkurenceschopné a udržitelné ekonomiky založené na znalostech a inovacích. </w:t>
            </w:r>
          </w:p>
        </w:tc>
      </w:tr>
      <w:tr w:rsidR="00405DA8" w:rsidRPr="009059A1" w14:paraId="443DA790" w14:textId="77777777" w:rsidTr="0028578A">
        <w:tc>
          <w:tcPr>
            <w:cnfStyle w:val="001000000000" w:firstRow="0" w:lastRow="0" w:firstColumn="1" w:lastColumn="0" w:oddVBand="0" w:evenVBand="0" w:oddHBand="0" w:evenHBand="0" w:firstRowFirstColumn="0" w:firstRowLastColumn="0" w:lastRowFirstColumn="0" w:lastRowLastColumn="0"/>
            <w:tcW w:w="841" w:type="pct"/>
            <w:vMerge/>
          </w:tcPr>
          <w:p w14:paraId="4364BA73" w14:textId="77777777" w:rsidR="00405DA8" w:rsidRPr="00FD10BF" w:rsidRDefault="00405DA8" w:rsidP="0028578A">
            <w:pPr>
              <w:spacing w:after="120"/>
              <w:rPr>
                <w:b/>
                <w:sz w:val="16"/>
                <w:szCs w:val="16"/>
              </w:rPr>
            </w:pPr>
          </w:p>
        </w:tc>
        <w:tc>
          <w:tcPr>
            <w:tcW w:w="739" w:type="pct"/>
          </w:tcPr>
          <w:p w14:paraId="0A519CE8" w14:textId="77777777" w:rsidR="00405DA8" w:rsidRPr="009059A1" w:rsidRDefault="00405DA8" w:rsidP="0028578A">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Žadatelé a příjemci podpory</w:t>
            </w:r>
          </w:p>
        </w:tc>
        <w:tc>
          <w:tcPr>
            <w:tcW w:w="3420" w:type="pct"/>
          </w:tcPr>
          <w:p w14:paraId="77FD1C90" w14:textId="77777777" w:rsidR="00405DA8" w:rsidRPr="002A0257" w:rsidRDefault="00405DA8" w:rsidP="0028578A">
            <w:pPr>
              <w:cnfStyle w:val="000000000000" w:firstRow="0" w:lastRow="0" w:firstColumn="0" w:lastColumn="0" w:oddVBand="0" w:evenVBand="0" w:oddHBand="0" w:evenHBand="0" w:firstRowFirstColumn="0" w:firstRowLastColumn="0" w:lastRowFirstColumn="0" w:lastRowLastColumn="0"/>
              <w:rPr>
                <w:sz w:val="16"/>
                <w:szCs w:val="16"/>
              </w:rPr>
            </w:pPr>
            <w:r w:rsidRPr="002A0257">
              <w:rPr>
                <w:sz w:val="16"/>
                <w:szCs w:val="16"/>
              </w:rPr>
              <w:t>Rozvíjení podnikání českých podnikatelských subjektů spolufinancováním jejich projektů v oblasti zpracovatelského průmyslu a souvisejících služeb.</w:t>
            </w:r>
            <w:r>
              <w:rPr>
                <w:sz w:val="16"/>
                <w:szCs w:val="16"/>
              </w:rPr>
              <w:t xml:space="preserve"> Včasné informování žadatelů o možnostech, podmínkách a harmonogramu podpory. </w:t>
            </w:r>
          </w:p>
        </w:tc>
      </w:tr>
      <w:tr w:rsidR="00405DA8" w:rsidRPr="009059A1" w14:paraId="491410FE" w14:textId="77777777" w:rsidTr="0028578A">
        <w:tc>
          <w:tcPr>
            <w:cnfStyle w:val="001000000000" w:firstRow="0" w:lastRow="0" w:firstColumn="1" w:lastColumn="0" w:oddVBand="0" w:evenVBand="0" w:oddHBand="0" w:evenHBand="0" w:firstRowFirstColumn="0" w:firstRowLastColumn="0" w:lastRowFirstColumn="0" w:lastRowLastColumn="0"/>
            <w:tcW w:w="841" w:type="pct"/>
            <w:vMerge/>
          </w:tcPr>
          <w:p w14:paraId="0C5224D8" w14:textId="77777777" w:rsidR="00405DA8" w:rsidRPr="00FD10BF" w:rsidRDefault="00405DA8" w:rsidP="0028578A">
            <w:pPr>
              <w:spacing w:after="120"/>
              <w:rPr>
                <w:b/>
                <w:sz w:val="16"/>
                <w:szCs w:val="16"/>
              </w:rPr>
            </w:pPr>
          </w:p>
        </w:tc>
        <w:tc>
          <w:tcPr>
            <w:tcW w:w="739" w:type="pct"/>
          </w:tcPr>
          <w:p w14:paraId="465C2AAA" w14:textId="77777777" w:rsidR="00405DA8" w:rsidRPr="00D54524" w:rsidRDefault="00405DA8" w:rsidP="0028578A">
            <w:pPr>
              <w:cnfStyle w:val="000000000000" w:firstRow="0" w:lastRow="0" w:firstColumn="0" w:lastColumn="0" w:oddVBand="0" w:evenVBand="0" w:oddHBand="0" w:evenHBand="0" w:firstRowFirstColumn="0" w:firstRowLastColumn="0" w:lastRowFirstColumn="0" w:lastRowLastColumn="0"/>
              <w:rPr>
                <w:b/>
                <w:sz w:val="16"/>
                <w:szCs w:val="16"/>
              </w:rPr>
            </w:pPr>
            <w:r w:rsidRPr="009059A1">
              <w:rPr>
                <w:sz w:val="16"/>
                <w:szCs w:val="16"/>
              </w:rPr>
              <w:t>Široká veřejnost – občané ČR</w:t>
            </w:r>
          </w:p>
        </w:tc>
        <w:tc>
          <w:tcPr>
            <w:tcW w:w="3420" w:type="pct"/>
          </w:tcPr>
          <w:p w14:paraId="58DD9E70" w14:textId="77777777" w:rsidR="00405DA8" w:rsidRPr="002A0257" w:rsidRDefault="00405DA8" w:rsidP="0028578A">
            <w:pPr>
              <w:cnfStyle w:val="000000000000" w:firstRow="0" w:lastRow="0" w:firstColumn="0" w:lastColumn="0" w:oddVBand="0" w:evenVBand="0" w:oddHBand="0" w:evenHBand="0" w:firstRowFirstColumn="0" w:firstRowLastColumn="0" w:lastRowFirstColumn="0" w:lastRowLastColumn="0"/>
              <w:rPr>
                <w:sz w:val="16"/>
                <w:szCs w:val="16"/>
              </w:rPr>
            </w:pPr>
            <w:r w:rsidRPr="002A0257">
              <w:rPr>
                <w:sz w:val="16"/>
                <w:szCs w:val="16"/>
              </w:rPr>
              <w:t>Zvýšení dostupnosti kvalitních, technologicky vyspělých inovativních a šetrných produktů a služeb s cílem zvýšení životní úrovně obyvatel.</w:t>
            </w:r>
          </w:p>
        </w:tc>
      </w:tr>
      <w:tr w:rsidR="00405DA8" w:rsidRPr="009059A1" w14:paraId="427CA69C" w14:textId="77777777" w:rsidTr="0028578A">
        <w:tc>
          <w:tcPr>
            <w:cnfStyle w:val="001000000000" w:firstRow="0" w:lastRow="0" w:firstColumn="1" w:lastColumn="0" w:oddVBand="0" w:evenVBand="0" w:oddHBand="0" w:evenHBand="0" w:firstRowFirstColumn="0" w:firstRowLastColumn="0" w:lastRowFirstColumn="0" w:lastRowLastColumn="0"/>
            <w:tcW w:w="841" w:type="pct"/>
            <w:vMerge/>
          </w:tcPr>
          <w:p w14:paraId="21DCC61A" w14:textId="77777777" w:rsidR="00405DA8" w:rsidRPr="00FD10BF" w:rsidRDefault="00405DA8" w:rsidP="0028578A">
            <w:pPr>
              <w:spacing w:after="120"/>
              <w:rPr>
                <w:b/>
                <w:sz w:val="16"/>
                <w:szCs w:val="16"/>
              </w:rPr>
            </w:pPr>
          </w:p>
        </w:tc>
        <w:tc>
          <w:tcPr>
            <w:tcW w:w="739" w:type="pct"/>
          </w:tcPr>
          <w:p w14:paraId="2DA8A784" w14:textId="77777777" w:rsidR="00405DA8" w:rsidRPr="00FD10BF" w:rsidRDefault="00405DA8" w:rsidP="0028578A">
            <w:pPr>
              <w:cnfStyle w:val="000000000000" w:firstRow="0" w:lastRow="0" w:firstColumn="0" w:lastColumn="0" w:oddVBand="0" w:evenVBand="0" w:oddHBand="0" w:evenHBand="0" w:firstRowFirstColumn="0" w:firstRowLastColumn="0" w:lastRowFirstColumn="0" w:lastRowLastColumn="0"/>
              <w:rPr>
                <w:sz w:val="16"/>
                <w:szCs w:val="16"/>
              </w:rPr>
            </w:pPr>
            <w:r w:rsidRPr="009059A1">
              <w:rPr>
                <w:sz w:val="16"/>
                <w:szCs w:val="16"/>
              </w:rPr>
              <w:t>Agentura pro podnikání a inovace</w:t>
            </w:r>
          </w:p>
        </w:tc>
        <w:tc>
          <w:tcPr>
            <w:tcW w:w="3420" w:type="pct"/>
          </w:tcPr>
          <w:p w14:paraId="3A2F4526" w14:textId="77777777" w:rsidR="00405DA8" w:rsidRPr="00FD10BF" w:rsidRDefault="00405DA8" w:rsidP="0028578A">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Metodická podpora a schvalování aktivit</w:t>
            </w:r>
            <w:r w:rsidRPr="002A0257">
              <w:rPr>
                <w:sz w:val="16"/>
                <w:szCs w:val="16"/>
              </w:rPr>
              <w:t xml:space="preserve"> zprostředkující</w:t>
            </w:r>
            <w:r>
              <w:rPr>
                <w:sz w:val="16"/>
                <w:szCs w:val="16"/>
              </w:rPr>
              <w:t>ho</w:t>
            </w:r>
            <w:r w:rsidRPr="002A0257">
              <w:rPr>
                <w:sz w:val="16"/>
                <w:szCs w:val="16"/>
              </w:rPr>
              <w:t xml:space="preserve"> subjektu při poskytování podpory podnikatelům z pozice gestora program OP PIK. </w:t>
            </w:r>
          </w:p>
        </w:tc>
      </w:tr>
      <w:tr w:rsidR="00405DA8" w:rsidRPr="009059A1" w14:paraId="5BC6788E" w14:textId="77777777" w:rsidTr="0028578A">
        <w:tc>
          <w:tcPr>
            <w:cnfStyle w:val="001000000000" w:firstRow="0" w:lastRow="0" w:firstColumn="1" w:lastColumn="0" w:oddVBand="0" w:evenVBand="0" w:oddHBand="0" w:evenHBand="0" w:firstRowFirstColumn="0" w:firstRowLastColumn="0" w:lastRowFirstColumn="0" w:lastRowLastColumn="0"/>
            <w:tcW w:w="841" w:type="pct"/>
            <w:vMerge/>
          </w:tcPr>
          <w:p w14:paraId="4310866A" w14:textId="77777777" w:rsidR="00405DA8" w:rsidRPr="00FD10BF" w:rsidRDefault="00405DA8" w:rsidP="0028578A">
            <w:pPr>
              <w:spacing w:after="120"/>
              <w:rPr>
                <w:b/>
                <w:sz w:val="16"/>
                <w:szCs w:val="16"/>
              </w:rPr>
            </w:pPr>
          </w:p>
        </w:tc>
        <w:tc>
          <w:tcPr>
            <w:tcW w:w="739" w:type="pct"/>
          </w:tcPr>
          <w:p w14:paraId="6C015EE1" w14:textId="77777777" w:rsidR="00405DA8" w:rsidRPr="002A0257" w:rsidRDefault="00405DA8" w:rsidP="0028578A">
            <w:pPr>
              <w:cnfStyle w:val="000000000000" w:firstRow="0" w:lastRow="0" w:firstColumn="0" w:lastColumn="0" w:oddVBand="0" w:evenVBand="0" w:oddHBand="0" w:evenHBand="0" w:firstRowFirstColumn="0" w:firstRowLastColumn="0" w:lastRowFirstColumn="0" w:lastRowLastColumn="0"/>
              <w:rPr>
                <w:sz w:val="16"/>
                <w:szCs w:val="16"/>
                <w:lang w:val="de-DE"/>
              </w:rPr>
            </w:pPr>
            <w:r>
              <w:rPr>
                <w:sz w:val="16"/>
                <w:szCs w:val="16"/>
              </w:rPr>
              <w:t>Evropská komise</w:t>
            </w:r>
          </w:p>
        </w:tc>
        <w:tc>
          <w:tcPr>
            <w:tcW w:w="3420" w:type="pct"/>
          </w:tcPr>
          <w:p w14:paraId="0BA1DDCB" w14:textId="77777777" w:rsidR="00405DA8" w:rsidRPr="002A0257" w:rsidRDefault="00405DA8" w:rsidP="0028578A">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Zajištění implementace OP PIK v souladu s cíli Dohody o partnerství. Poskytování informací o stavu čerpání a naplňování indikátorů a jejich milníků a součinnosti při kontrolách. </w:t>
            </w:r>
          </w:p>
        </w:tc>
      </w:tr>
      <w:tr w:rsidR="00405DA8" w:rsidRPr="009059A1" w14:paraId="01D5BAAE" w14:textId="77777777" w:rsidTr="0028578A">
        <w:tc>
          <w:tcPr>
            <w:cnfStyle w:val="001000000000" w:firstRow="0" w:lastRow="0" w:firstColumn="1" w:lastColumn="0" w:oddVBand="0" w:evenVBand="0" w:oddHBand="0" w:evenHBand="0" w:firstRowFirstColumn="0" w:firstRowLastColumn="0" w:lastRowFirstColumn="0" w:lastRowLastColumn="0"/>
            <w:tcW w:w="841" w:type="pct"/>
            <w:vMerge/>
          </w:tcPr>
          <w:p w14:paraId="680BC82F" w14:textId="77777777" w:rsidR="00405DA8" w:rsidRPr="00FD10BF" w:rsidRDefault="00405DA8" w:rsidP="0028578A">
            <w:pPr>
              <w:spacing w:after="120"/>
              <w:rPr>
                <w:b/>
                <w:sz w:val="16"/>
                <w:szCs w:val="16"/>
              </w:rPr>
            </w:pPr>
          </w:p>
        </w:tc>
        <w:tc>
          <w:tcPr>
            <w:tcW w:w="739" w:type="pct"/>
          </w:tcPr>
          <w:p w14:paraId="270BA2CB" w14:textId="77777777" w:rsidR="00405DA8" w:rsidRPr="00FD10BF" w:rsidRDefault="00405DA8" w:rsidP="0028578A">
            <w:pPr>
              <w:cnfStyle w:val="000000000000" w:firstRow="0" w:lastRow="0" w:firstColumn="0" w:lastColumn="0" w:oddVBand="0" w:evenVBand="0" w:oddHBand="0" w:evenHBand="0" w:firstRowFirstColumn="0" w:firstRowLastColumn="0" w:lastRowFirstColumn="0" w:lastRowLastColumn="0"/>
              <w:rPr>
                <w:sz w:val="16"/>
                <w:szCs w:val="16"/>
              </w:rPr>
            </w:pPr>
            <w:r w:rsidRPr="002A0257">
              <w:rPr>
                <w:sz w:val="16"/>
                <w:szCs w:val="16"/>
                <w:lang w:val="de-DE"/>
              </w:rPr>
              <w:t xml:space="preserve">MMR </w:t>
            </w:r>
            <w:r>
              <w:rPr>
                <w:sz w:val="16"/>
                <w:szCs w:val="16"/>
                <w:lang w:val="de-DE"/>
              </w:rPr>
              <w:t>– NOK</w:t>
            </w:r>
          </w:p>
        </w:tc>
        <w:tc>
          <w:tcPr>
            <w:tcW w:w="3420" w:type="pct"/>
          </w:tcPr>
          <w:p w14:paraId="047118EC" w14:textId="77777777" w:rsidR="00405DA8" w:rsidRPr="00FD10BF" w:rsidRDefault="00405DA8" w:rsidP="0028578A">
            <w:pPr>
              <w:cnfStyle w:val="000000000000" w:firstRow="0" w:lastRow="0" w:firstColumn="0" w:lastColumn="0" w:oddVBand="0" w:evenVBand="0" w:oddHBand="0" w:evenHBand="0" w:firstRowFirstColumn="0" w:firstRowLastColumn="0" w:lastRowFirstColumn="0" w:lastRowLastColumn="0"/>
              <w:rPr>
                <w:sz w:val="16"/>
                <w:szCs w:val="16"/>
              </w:rPr>
            </w:pPr>
            <w:r w:rsidRPr="002A0257">
              <w:rPr>
                <w:sz w:val="16"/>
                <w:szCs w:val="16"/>
              </w:rPr>
              <w:t xml:space="preserve">Poskytování součinnosti při koordinaci implementace ESI fondů na celonárodní úrovni. </w:t>
            </w:r>
          </w:p>
        </w:tc>
      </w:tr>
      <w:tr w:rsidR="00405DA8" w:rsidRPr="009059A1" w14:paraId="7321907E" w14:textId="77777777" w:rsidTr="0028578A">
        <w:tc>
          <w:tcPr>
            <w:cnfStyle w:val="001000000000" w:firstRow="0" w:lastRow="0" w:firstColumn="1" w:lastColumn="0" w:oddVBand="0" w:evenVBand="0" w:oddHBand="0" w:evenHBand="0" w:firstRowFirstColumn="0" w:firstRowLastColumn="0" w:lastRowFirstColumn="0" w:lastRowLastColumn="0"/>
            <w:tcW w:w="841" w:type="pct"/>
            <w:vMerge/>
          </w:tcPr>
          <w:p w14:paraId="7F674760" w14:textId="77777777" w:rsidR="00405DA8" w:rsidRPr="00FD10BF" w:rsidRDefault="00405DA8" w:rsidP="0028578A">
            <w:pPr>
              <w:spacing w:after="120"/>
              <w:rPr>
                <w:b/>
                <w:sz w:val="16"/>
                <w:szCs w:val="16"/>
              </w:rPr>
            </w:pPr>
          </w:p>
        </w:tc>
        <w:tc>
          <w:tcPr>
            <w:tcW w:w="739" w:type="pct"/>
          </w:tcPr>
          <w:p w14:paraId="382A277D" w14:textId="77777777" w:rsidR="00405DA8" w:rsidRPr="00FD10BF" w:rsidRDefault="00405DA8" w:rsidP="0028578A">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MF</w:t>
            </w:r>
            <w:r w:rsidRPr="009059A1">
              <w:rPr>
                <w:sz w:val="16"/>
                <w:szCs w:val="16"/>
              </w:rPr>
              <w:t xml:space="preserve"> ČR</w:t>
            </w:r>
          </w:p>
        </w:tc>
        <w:tc>
          <w:tcPr>
            <w:tcW w:w="3420" w:type="pct"/>
          </w:tcPr>
          <w:p w14:paraId="4439A952" w14:textId="77777777" w:rsidR="00405DA8" w:rsidRPr="00FD10BF" w:rsidRDefault="00405DA8" w:rsidP="0028578A">
            <w:pPr>
              <w:cnfStyle w:val="000000000000" w:firstRow="0" w:lastRow="0" w:firstColumn="0" w:lastColumn="0" w:oddVBand="0" w:evenVBand="0" w:oddHBand="0" w:evenHBand="0" w:firstRowFirstColumn="0" w:firstRowLastColumn="0" w:lastRowFirstColumn="0" w:lastRowLastColumn="0"/>
              <w:rPr>
                <w:sz w:val="16"/>
                <w:szCs w:val="16"/>
              </w:rPr>
            </w:pPr>
            <w:r w:rsidRPr="002A0257">
              <w:rPr>
                <w:sz w:val="16"/>
                <w:szCs w:val="16"/>
              </w:rPr>
              <w:t>Poskytování podkladů a veškeré spolupráce pro uvolňo</w:t>
            </w:r>
            <w:r>
              <w:rPr>
                <w:sz w:val="16"/>
                <w:szCs w:val="16"/>
              </w:rPr>
              <w:t>vání plateb, realizaci auditů a </w:t>
            </w:r>
            <w:r w:rsidRPr="002A0257">
              <w:rPr>
                <w:sz w:val="16"/>
                <w:szCs w:val="16"/>
              </w:rPr>
              <w:t>certifikac</w:t>
            </w:r>
            <w:r>
              <w:rPr>
                <w:sz w:val="16"/>
                <w:szCs w:val="16"/>
              </w:rPr>
              <w:t xml:space="preserve">e prostředků alokovaných na OP PIK. </w:t>
            </w:r>
          </w:p>
        </w:tc>
      </w:tr>
      <w:tr w:rsidR="00405DA8" w:rsidRPr="009059A1" w14:paraId="3F8C60C6" w14:textId="77777777" w:rsidTr="0028578A">
        <w:trPr>
          <w:trHeight w:val="387"/>
        </w:trPr>
        <w:tc>
          <w:tcPr>
            <w:cnfStyle w:val="001000000000" w:firstRow="0" w:lastRow="0" w:firstColumn="1" w:lastColumn="0" w:oddVBand="0" w:evenVBand="0" w:oddHBand="0" w:evenHBand="0" w:firstRowFirstColumn="0" w:firstRowLastColumn="0" w:lastRowFirstColumn="0" w:lastRowLastColumn="0"/>
            <w:tcW w:w="841" w:type="pct"/>
            <w:vMerge/>
          </w:tcPr>
          <w:p w14:paraId="69B12C94" w14:textId="77777777" w:rsidR="00405DA8" w:rsidRPr="00FD10BF" w:rsidRDefault="00405DA8" w:rsidP="0028578A">
            <w:pPr>
              <w:spacing w:after="120"/>
              <w:rPr>
                <w:b/>
                <w:sz w:val="16"/>
                <w:szCs w:val="16"/>
              </w:rPr>
            </w:pPr>
          </w:p>
        </w:tc>
        <w:tc>
          <w:tcPr>
            <w:tcW w:w="739" w:type="pct"/>
          </w:tcPr>
          <w:p w14:paraId="4D081EE1" w14:textId="77777777" w:rsidR="00405DA8" w:rsidRPr="009059A1" w:rsidRDefault="00405DA8" w:rsidP="0028578A">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Kontrolní orgány (např. NKÚ)</w:t>
            </w:r>
          </w:p>
        </w:tc>
        <w:tc>
          <w:tcPr>
            <w:tcW w:w="3420" w:type="pct"/>
          </w:tcPr>
          <w:p w14:paraId="4B9573E8" w14:textId="77777777" w:rsidR="00405DA8" w:rsidRPr="002A0257" w:rsidRDefault="00405DA8" w:rsidP="0028578A">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Poskytování součinnosti při realizaci kontrolních šetření. </w:t>
            </w:r>
          </w:p>
        </w:tc>
      </w:tr>
      <w:tr w:rsidR="00405DA8" w:rsidRPr="009059A1" w14:paraId="19918AC2" w14:textId="77777777" w:rsidTr="0028578A">
        <w:trPr>
          <w:trHeight w:val="387"/>
        </w:trPr>
        <w:tc>
          <w:tcPr>
            <w:cnfStyle w:val="001000000000" w:firstRow="0" w:lastRow="0" w:firstColumn="1" w:lastColumn="0" w:oddVBand="0" w:evenVBand="0" w:oddHBand="0" w:evenHBand="0" w:firstRowFirstColumn="0" w:firstRowLastColumn="0" w:lastRowFirstColumn="0" w:lastRowLastColumn="0"/>
            <w:tcW w:w="841" w:type="pct"/>
            <w:vMerge/>
          </w:tcPr>
          <w:p w14:paraId="07696F70" w14:textId="77777777" w:rsidR="00405DA8" w:rsidRPr="00FD10BF" w:rsidRDefault="00405DA8" w:rsidP="0028578A">
            <w:pPr>
              <w:spacing w:after="120"/>
              <w:rPr>
                <w:b/>
                <w:sz w:val="16"/>
                <w:szCs w:val="16"/>
              </w:rPr>
            </w:pPr>
          </w:p>
        </w:tc>
        <w:tc>
          <w:tcPr>
            <w:tcW w:w="739" w:type="pct"/>
          </w:tcPr>
          <w:p w14:paraId="72E4D78D" w14:textId="77777777" w:rsidR="00405DA8" w:rsidRDefault="00405DA8" w:rsidP="0028578A">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Monitorovací výbor OP PIK</w:t>
            </w:r>
          </w:p>
        </w:tc>
        <w:tc>
          <w:tcPr>
            <w:tcW w:w="3420" w:type="pct"/>
          </w:tcPr>
          <w:p w14:paraId="502E4172" w14:textId="3138C76F" w:rsidR="00405DA8" w:rsidRDefault="00405DA8" w:rsidP="0028578A">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Poskytování součinnosti pro průběžné vyhodnocování provádění programu a pokroku při plnění jeho cílů. </w:t>
            </w:r>
          </w:p>
        </w:tc>
      </w:tr>
      <w:tr w:rsidR="00405DA8" w:rsidRPr="009059A1" w14:paraId="4BA80341" w14:textId="77777777" w:rsidTr="0028578A">
        <w:trPr>
          <w:trHeight w:val="387"/>
        </w:trPr>
        <w:tc>
          <w:tcPr>
            <w:cnfStyle w:val="001000000000" w:firstRow="0" w:lastRow="0" w:firstColumn="1" w:lastColumn="0" w:oddVBand="0" w:evenVBand="0" w:oddHBand="0" w:evenHBand="0" w:firstRowFirstColumn="0" w:firstRowLastColumn="0" w:lastRowFirstColumn="0" w:lastRowLastColumn="0"/>
            <w:tcW w:w="841" w:type="pct"/>
            <w:vMerge/>
          </w:tcPr>
          <w:p w14:paraId="7F84EDDE" w14:textId="77777777" w:rsidR="00405DA8" w:rsidRPr="00FD10BF" w:rsidRDefault="00405DA8" w:rsidP="0028578A">
            <w:pPr>
              <w:spacing w:after="120"/>
              <w:rPr>
                <w:b/>
                <w:sz w:val="16"/>
                <w:szCs w:val="16"/>
              </w:rPr>
            </w:pPr>
          </w:p>
        </w:tc>
        <w:tc>
          <w:tcPr>
            <w:tcW w:w="739" w:type="pct"/>
          </w:tcPr>
          <w:p w14:paraId="29A66319" w14:textId="77777777" w:rsidR="00405DA8" w:rsidRDefault="00405DA8" w:rsidP="0028578A">
            <w:pPr>
              <w:cnfStyle w:val="000000000000" w:firstRow="0" w:lastRow="0" w:firstColumn="0" w:lastColumn="0" w:oddVBand="0" w:evenVBand="0" w:oddHBand="0" w:evenHBand="0" w:firstRowFirstColumn="0" w:firstRowLastColumn="0" w:lastRowFirstColumn="0" w:lastRowLastColumn="0"/>
              <w:rPr>
                <w:sz w:val="16"/>
                <w:szCs w:val="16"/>
              </w:rPr>
            </w:pPr>
            <w:r w:rsidRPr="008D0179">
              <w:rPr>
                <w:sz w:val="16"/>
                <w:szCs w:val="16"/>
              </w:rPr>
              <w:t>Rada pro ESI fondy</w:t>
            </w:r>
          </w:p>
        </w:tc>
        <w:tc>
          <w:tcPr>
            <w:tcW w:w="3420" w:type="pct"/>
          </w:tcPr>
          <w:p w14:paraId="6F347CE3" w14:textId="77777777" w:rsidR="00405DA8" w:rsidRDefault="00405DA8" w:rsidP="0028578A">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Poskytování součinnosti pro naplnění působnosti Rady v oblasti koordinace pomoci poskytované EU ze všech ESI fondů.</w:t>
            </w:r>
          </w:p>
        </w:tc>
      </w:tr>
      <w:tr w:rsidR="00405DA8" w:rsidRPr="009059A1" w14:paraId="0E1DD393" w14:textId="77777777" w:rsidTr="0028578A">
        <w:trPr>
          <w:trHeight w:val="387"/>
        </w:trPr>
        <w:tc>
          <w:tcPr>
            <w:cnfStyle w:val="001000000000" w:firstRow="0" w:lastRow="0" w:firstColumn="1" w:lastColumn="0" w:oddVBand="0" w:evenVBand="0" w:oddHBand="0" w:evenHBand="0" w:firstRowFirstColumn="0" w:firstRowLastColumn="0" w:lastRowFirstColumn="0" w:lastRowLastColumn="0"/>
            <w:tcW w:w="841" w:type="pct"/>
            <w:vMerge/>
          </w:tcPr>
          <w:p w14:paraId="0D57DDBA" w14:textId="77777777" w:rsidR="00405DA8" w:rsidRPr="00FD10BF" w:rsidRDefault="00405DA8" w:rsidP="0028578A">
            <w:pPr>
              <w:spacing w:after="120"/>
              <w:rPr>
                <w:b/>
                <w:sz w:val="16"/>
                <w:szCs w:val="16"/>
              </w:rPr>
            </w:pPr>
          </w:p>
        </w:tc>
        <w:tc>
          <w:tcPr>
            <w:tcW w:w="739" w:type="pct"/>
          </w:tcPr>
          <w:p w14:paraId="7EE1D034" w14:textId="3F85CE23" w:rsidR="00405DA8" w:rsidRPr="008D0179" w:rsidRDefault="00405DA8" w:rsidP="00AC4A0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Další subjekty zapojené do hodnocení OP</w:t>
            </w:r>
          </w:p>
        </w:tc>
        <w:tc>
          <w:tcPr>
            <w:tcW w:w="3420" w:type="pct"/>
          </w:tcPr>
          <w:p w14:paraId="37FD5E77" w14:textId="2E21E7BF" w:rsidR="00405DA8" w:rsidRDefault="00405DA8" w:rsidP="00AC4A0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Poskytování součinnost</w:t>
            </w:r>
            <w:r w:rsidR="00AC4A07">
              <w:rPr>
                <w:sz w:val="16"/>
                <w:szCs w:val="16"/>
              </w:rPr>
              <w:t>i</w:t>
            </w:r>
            <w:r>
              <w:rPr>
                <w:sz w:val="16"/>
                <w:szCs w:val="16"/>
              </w:rPr>
              <w:t xml:space="preserve"> při vyhodnocování OP, případně další spolupráce. </w:t>
            </w:r>
          </w:p>
        </w:tc>
      </w:tr>
      <w:tr w:rsidR="00475B4B" w:rsidRPr="009059A1" w14:paraId="53A82054" w14:textId="77777777" w:rsidTr="0028578A">
        <w:tc>
          <w:tcPr>
            <w:cnfStyle w:val="001000000000" w:firstRow="0" w:lastRow="0" w:firstColumn="1" w:lastColumn="0" w:oddVBand="0" w:evenVBand="0" w:oddHBand="0" w:evenHBand="0" w:firstRowFirstColumn="0" w:firstRowLastColumn="0" w:lastRowFirstColumn="0" w:lastRowLastColumn="0"/>
            <w:tcW w:w="841" w:type="pct"/>
            <w:vMerge w:val="restart"/>
          </w:tcPr>
          <w:p w14:paraId="0791B8F2" w14:textId="77777777" w:rsidR="00475B4B" w:rsidRPr="009059A1" w:rsidRDefault="00475B4B" w:rsidP="0028578A">
            <w:pPr>
              <w:spacing w:after="120"/>
              <w:rPr>
                <w:b/>
                <w:sz w:val="16"/>
                <w:szCs w:val="16"/>
              </w:rPr>
            </w:pPr>
            <w:r w:rsidRPr="009059A1">
              <w:rPr>
                <w:b/>
                <w:sz w:val="16"/>
                <w:szCs w:val="16"/>
              </w:rPr>
              <w:t xml:space="preserve">Zprostředkující subjekt  </w:t>
            </w:r>
            <w:r>
              <w:rPr>
                <w:b/>
                <w:sz w:val="16"/>
                <w:szCs w:val="16"/>
              </w:rPr>
              <w:t>- API</w:t>
            </w:r>
          </w:p>
        </w:tc>
        <w:tc>
          <w:tcPr>
            <w:tcW w:w="739" w:type="pct"/>
          </w:tcPr>
          <w:p w14:paraId="7C70D7B4" w14:textId="77777777" w:rsidR="00475B4B" w:rsidRPr="009059A1" w:rsidRDefault="00475B4B" w:rsidP="0028578A">
            <w:pPr>
              <w:cnfStyle w:val="000000000000" w:firstRow="0" w:lastRow="0" w:firstColumn="0" w:lastColumn="0" w:oddVBand="0" w:evenVBand="0" w:oddHBand="0" w:evenHBand="0" w:firstRowFirstColumn="0" w:firstRowLastColumn="0" w:lastRowFirstColumn="0" w:lastRowLastColumn="0"/>
              <w:rPr>
                <w:sz w:val="16"/>
                <w:szCs w:val="16"/>
              </w:rPr>
            </w:pPr>
            <w:r w:rsidRPr="009059A1">
              <w:rPr>
                <w:sz w:val="16"/>
                <w:szCs w:val="16"/>
              </w:rPr>
              <w:t>Podnikatelské subjekty</w:t>
            </w:r>
          </w:p>
        </w:tc>
        <w:tc>
          <w:tcPr>
            <w:tcW w:w="3420" w:type="pct"/>
          </w:tcPr>
          <w:p w14:paraId="101012A6" w14:textId="77777777" w:rsidR="00475B4B" w:rsidRPr="002A0257" w:rsidRDefault="00475B4B" w:rsidP="0028578A">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Podpora</w:t>
            </w:r>
            <w:r w:rsidRPr="00650AB8">
              <w:rPr>
                <w:sz w:val="16"/>
                <w:szCs w:val="16"/>
              </w:rPr>
              <w:t xml:space="preserve"> rozvoj</w:t>
            </w:r>
            <w:r>
              <w:rPr>
                <w:sz w:val="16"/>
                <w:szCs w:val="16"/>
              </w:rPr>
              <w:t>e</w:t>
            </w:r>
            <w:r w:rsidRPr="00650AB8">
              <w:rPr>
                <w:sz w:val="16"/>
                <w:szCs w:val="16"/>
              </w:rPr>
              <w:t xml:space="preserve"> podnikatelského prostředí v ČR formou poskytování poradenských</w:t>
            </w:r>
            <w:r>
              <w:rPr>
                <w:sz w:val="16"/>
                <w:szCs w:val="16"/>
              </w:rPr>
              <w:t xml:space="preserve"> </w:t>
            </w:r>
            <w:r w:rsidRPr="00650AB8">
              <w:rPr>
                <w:sz w:val="16"/>
                <w:szCs w:val="16"/>
              </w:rPr>
              <w:t>a informačních služeb.</w:t>
            </w:r>
          </w:p>
        </w:tc>
      </w:tr>
      <w:tr w:rsidR="00475B4B" w:rsidRPr="009059A1" w14:paraId="4EEF9165" w14:textId="77777777" w:rsidTr="0028578A">
        <w:tc>
          <w:tcPr>
            <w:cnfStyle w:val="001000000000" w:firstRow="0" w:lastRow="0" w:firstColumn="1" w:lastColumn="0" w:oddVBand="0" w:evenVBand="0" w:oddHBand="0" w:evenHBand="0" w:firstRowFirstColumn="0" w:firstRowLastColumn="0" w:lastRowFirstColumn="0" w:lastRowLastColumn="0"/>
            <w:tcW w:w="841" w:type="pct"/>
            <w:vMerge/>
          </w:tcPr>
          <w:p w14:paraId="73ED0EEE" w14:textId="77777777" w:rsidR="00475B4B" w:rsidRPr="00FD10BF" w:rsidRDefault="00475B4B" w:rsidP="0028578A">
            <w:pPr>
              <w:spacing w:after="120"/>
              <w:rPr>
                <w:b/>
                <w:sz w:val="16"/>
                <w:szCs w:val="16"/>
              </w:rPr>
            </w:pPr>
          </w:p>
        </w:tc>
        <w:tc>
          <w:tcPr>
            <w:tcW w:w="739" w:type="pct"/>
          </w:tcPr>
          <w:p w14:paraId="6862A72F" w14:textId="77777777" w:rsidR="00475B4B" w:rsidRPr="00FD10BF" w:rsidRDefault="00475B4B" w:rsidP="0028578A">
            <w:pPr>
              <w:cnfStyle w:val="000000000000" w:firstRow="0" w:lastRow="0" w:firstColumn="0" w:lastColumn="0" w:oddVBand="0" w:evenVBand="0" w:oddHBand="0" w:evenHBand="0" w:firstRowFirstColumn="0" w:firstRowLastColumn="0" w:lastRowFirstColumn="0" w:lastRowLastColumn="0"/>
              <w:rPr>
                <w:sz w:val="16"/>
                <w:szCs w:val="16"/>
              </w:rPr>
            </w:pPr>
            <w:r w:rsidRPr="009059A1">
              <w:rPr>
                <w:sz w:val="16"/>
                <w:szCs w:val="16"/>
              </w:rPr>
              <w:t>Žadatelé o podporu</w:t>
            </w:r>
          </w:p>
        </w:tc>
        <w:tc>
          <w:tcPr>
            <w:tcW w:w="3420" w:type="pct"/>
          </w:tcPr>
          <w:p w14:paraId="2BB4B77A" w14:textId="1DE6A806" w:rsidR="00475B4B" w:rsidRPr="00FD10BF" w:rsidRDefault="00475B4B" w:rsidP="0028578A">
            <w:pPr>
              <w:cnfStyle w:val="000000000000" w:firstRow="0" w:lastRow="0" w:firstColumn="0" w:lastColumn="0" w:oddVBand="0" w:evenVBand="0" w:oddHBand="0" w:evenHBand="0" w:firstRowFirstColumn="0" w:firstRowLastColumn="0" w:lastRowFirstColumn="0" w:lastRowLastColumn="0"/>
              <w:rPr>
                <w:sz w:val="16"/>
                <w:szCs w:val="16"/>
              </w:rPr>
            </w:pPr>
            <w:r w:rsidRPr="002A0257">
              <w:rPr>
                <w:sz w:val="16"/>
                <w:szCs w:val="16"/>
              </w:rPr>
              <w:t>Včasné a úplné informování o příležitostech dotačního spolufinancování podnikatelských aktivit a jejich podpora v průběhu podávání žádostí</w:t>
            </w:r>
          </w:p>
        </w:tc>
      </w:tr>
      <w:tr w:rsidR="00475B4B" w:rsidRPr="009059A1" w14:paraId="7B2B073C" w14:textId="77777777" w:rsidTr="0028578A">
        <w:tc>
          <w:tcPr>
            <w:cnfStyle w:val="001000000000" w:firstRow="0" w:lastRow="0" w:firstColumn="1" w:lastColumn="0" w:oddVBand="0" w:evenVBand="0" w:oddHBand="0" w:evenHBand="0" w:firstRowFirstColumn="0" w:firstRowLastColumn="0" w:lastRowFirstColumn="0" w:lastRowLastColumn="0"/>
            <w:tcW w:w="841" w:type="pct"/>
            <w:vMerge/>
          </w:tcPr>
          <w:p w14:paraId="57A9B3DF" w14:textId="77777777" w:rsidR="00475B4B" w:rsidRPr="00FD10BF" w:rsidRDefault="00475B4B" w:rsidP="0028578A">
            <w:pPr>
              <w:spacing w:after="120"/>
              <w:rPr>
                <w:b/>
                <w:sz w:val="16"/>
                <w:szCs w:val="16"/>
              </w:rPr>
            </w:pPr>
          </w:p>
        </w:tc>
        <w:tc>
          <w:tcPr>
            <w:tcW w:w="739" w:type="pct"/>
          </w:tcPr>
          <w:p w14:paraId="2466463C" w14:textId="77777777" w:rsidR="00475B4B" w:rsidRPr="00FD10BF" w:rsidRDefault="00475B4B" w:rsidP="0028578A">
            <w:pPr>
              <w:cnfStyle w:val="000000000000" w:firstRow="0" w:lastRow="0" w:firstColumn="0" w:lastColumn="0" w:oddVBand="0" w:evenVBand="0" w:oddHBand="0" w:evenHBand="0" w:firstRowFirstColumn="0" w:firstRowLastColumn="0" w:lastRowFirstColumn="0" w:lastRowLastColumn="0"/>
              <w:rPr>
                <w:sz w:val="16"/>
                <w:szCs w:val="16"/>
              </w:rPr>
            </w:pPr>
            <w:r w:rsidRPr="009059A1">
              <w:rPr>
                <w:sz w:val="16"/>
                <w:szCs w:val="16"/>
              </w:rPr>
              <w:t>Příjemci podpory</w:t>
            </w:r>
          </w:p>
        </w:tc>
        <w:tc>
          <w:tcPr>
            <w:tcW w:w="3420" w:type="pct"/>
          </w:tcPr>
          <w:p w14:paraId="02A12592" w14:textId="77777777" w:rsidR="00475B4B" w:rsidRPr="00FD10BF" w:rsidRDefault="00475B4B" w:rsidP="0028578A">
            <w:pPr>
              <w:cnfStyle w:val="000000000000" w:firstRow="0" w:lastRow="0" w:firstColumn="0" w:lastColumn="0" w:oddVBand="0" w:evenVBand="0" w:oddHBand="0" w:evenHBand="0" w:firstRowFirstColumn="0" w:firstRowLastColumn="0" w:lastRowFirstColumn="0" w:lastRowLastColumn="0"/>
              <w:rPr>
                <w:sz w:val="16"/>
                <w:szCs w:val="16"/>
              </w:rPr>
            </w:pPr>
            <w:r w:rsidRPr="00C95AD1">
              <w:rPr>
                <w:sz w:val="16"/>
                <w:szCs w:val="16"/>
              </w:rPr>
              <w:t>Podpora při administraci projektů v rámci OP PIK vedoucí k úspěšné realizaci projektu přispívající k rozvoji podnikání českých podnikatelských subjektů.</w:t>
            </w:r>
          </w:p>
        </w:tc>
      </w:tr>
      <w:tr w:rsidR="00475B4B" w:rsidRPr="009059A1" w14:paraId="27104163" w14:textId="77777777" w:rsidTr="0028578A">
        <w:tc>
          <w:tcPr>
            <w:cnfStyle w:val="001000000000" w:firstRow="0" w:lastRow="0" w:firstColumn="1" w:lastColumn="0" w:oddVBand="0" w:evenVBand="0" w:oddHBand="0" w:evenHBand="0" w:firstRowFirstColumn="0" w:firstRowLastColumn="0" w:lastRowFirstColumn="0" w:lastRowLastColumn="0"/>
            <w:tcW w:w="841" w:type="pct"/>
            <w:vMerge/>
          </w:tcPr>
          <w:p w14:paraId="3CC187A7" w14:textId="77777777" w:rsidR="00475B4B" w:rsidRPr="00FD10BF" w:rsidRDefault="00475B4B" w:rsidP="0028578A">
            <w:pPr>
              <w:spacing w:after="120"/>
              <w:rPr>
                <w:b/>
                <w:sz w:val="16"/>
                <w:szCs w:val="16"/>
              </w:rPr>
            </w:pPr>
          </w:p>
        </w:tc>
        <w:tc>
          <w:tcPr>
            <w:tcW w:w="739" w:type="pct"/>
          </w:tcPr>
          <w:p w14:paraId="677DF000" w14:textId="77777777" w:rsidR="00475B4B" w:rsidRPr="00FD10BF" w:rsidRDefault="00475B4B" w:rsidP="0028578A">
            <w:pPr>
              <w:cnfStyle w:val="000000000000" w:firstRow="0" w:lastRow="0" w:firstColumn="0" w:lastColumn="0" w:oddVBand="0" w:evenVBand="0" w:oddHBand="0" w:evenHBand="0" w:firstRowFirstColumn="0" w:firstRowLastColumn="0" w:lastRowFirstColumn="0" w:lastRowLastColumn="0"/>
              <w:rPr>
                <w:sz w:val="16"/>
                <w:szCs w:val="16"/>
              </w:rPr>
            </w:pPr>
            <w:r w:rsidRPr="009059A1">
              <w:rPr>
                <w:sz w:val="16"/>
                <w:szCs w:val="16"/>
              </w:rPr>
              <w:t>Řídící orgán - MPO</w:t>
            </w:r>
          </w:p>
        </w:tc>
        <w:tc>
          <w:tcPr>
            <w:tcW w:w="3420" w:type="pct"/>
          </w:tcPr>
          <w:p w14:paraId="656D2423" w14:textId="34C8AC72" w:rsidR="00475B4B" w:rsidRPr="00FD10BF" w:rsidRDefault="00475B4B" w:rsidP="0028578A">
            <w:pPr>
              <w:cnfStyle w:val="000000000000" w:firstRow="0" w:lastRow="0" w:firstColumn="0" w:lastColumn="0" w:oddVBand="0" w:evenVBand="0" w:oddHBand="0" w:evenHBand="0" w:firstRowFirstColumn="0" w:firstRowLastColumn="0" w:lastRowFirstColumn="0" w:lastRowLastColumn="0"/>
              <w:rPr>
                <w:sz w:val="16"/>
                <w:szCs w:val="16"/>
              </w:rPr>
            </w:pPr>
            <w:r w:rsidRPr="009059A1">
              <w:rPr>
                <w:sz w:val="16"/>
                <w:szCs w:val="16"/>
              </w:rPr>
              <w:t xml:space="preserve">Koordinace a operacionalizace poskytování dotační podpory v rámci OP PIK </w:t>
            </w:r>
            <w:r>
              <w:rPr>
                <w:sz w:val="16"/>
                <w:szCs w:val="16"/>
              </w:rPr>
              <w:t>s</w:t>
            </w:r>
            <w:r w:rsidRPr="00C95AD1">
              <w:rPr>
                <w:sz w:val="16"/>
                <w:szCs w:val="16"/>
              </w:rPr>
              <w:t xml:space="preserve"> cílem zajištění úspěšného čerpání programu v souladu se strategickými cíli a definovanými standardy kvality.</w:t>
            </w:r>
            <w:r>
              <w:rPr>
                <w:sz w:val="16"/>
                <w:szCs w:val="16"/>
              </w:rPr>
              <w:t xml:space="preserve"> Zajištění informovanosti ŘO o využívání dotačních forem podpory.</w:t>
            </w:r>
          </w:p>
        </w:tc>
      </w:tr>
      <w:tr w:rsidR="00475B4B" w:rsidRPr="009059A1" w14:paraId="61DFB135" w14:textId="77777777" w:rsidTr="0028578A">
        <w:tc>
          <w:tcPr>
            <w:cnfStyle w:val="001000000000" w:firstRow="0" w:lastRow="0" w:firstColumn="1" w:lastColumn="0" w:oddVBand="0" w:evenVBand="0" w:oddHBand="0" w:evenHBand="0" w:firstRowFirstColumn="0" w:firstRowLastColumn="0" w:lastRowFirstColumn="0" w:lastRowLastColumn="0"/>
            <w:tcW w:w="841" w:type="pct"/>
            <w:vMerge/>
          </w:tcPr>
          <w:p w14:paraId="35A9314E" w14:textId="77777777" w:rsidR="00475B4B" w:rsidRPr="00FD10BF" w:rsidRDefault="00475B4B" w:rsidP="00475B4B">
            <w:pPr>
              <w:spacing w:after="120"/>
              <w:rPr>
                <w:b/>
                <w:sz w:val="16"/>
                <w:szCs w:val="16"/>
              </w:rPr>
            </w:pPr>
          </w:p>
        </w:tc>
        <w:tc>
          <w:tcPr>
            <w:tcW w:w="739" w:type="pct"/>
          </w:tcPr>
          <w:p w14:paraId="36D55BF9" w14:textId="77777777" w:rsidR="00475B4B" w:rsidRPr="009059A1" w:rsidRDefault="00475B4B" w:rsidP="00475B4B">
            <w:pPr>
              <w:cnfStyle w:val="000000000000" w:firstRow="0" w:lastRow="0" w:firstColumn="0" w:lastColumn="0" w:oddVBand="0" w:evenVBand="0" w:oddHBand="0" w:evenHBand="0" w:firstRowFirstColumn="0" w:firstRowLastColumn="0" w:lastRowFirstColumn="0" w:lastRowLastColumn="0"/>
              <w:rPr>
                <w:sz w:val="16"/>
                <w:szCs w:val="16"/>
              </w:rPr>
            </w:pPr>
            <w:r w:rsidRPr="009059A1">
              <w:rPr>
                <w:sz w:val="16"/>
                <w:szCs w:val="16"/>
              </w:rPr>
              <w:t>Široká veřejnost – občané ČR</w:t>
            </w:r>
          </w:p>
        </w:tc>
        <w:tc>
          <w:tcPr>
            <w:tcW w:w="3420" w:type="pct"/>
          </w:tcPr>
          <w:p w14:paraId="323622BE" w14:textId="77777777" w:rsidR="00475B4B" w:rsidRPr="009059A1" w:rsidRDefault="00475B4B" w:rsidP="00475B4B">
            <w:pPr>
              <w:cnfStyle w:val="000000000000" w:firstRow="0" w:lastRow="0" w:firstColumn="0" w:lastColumn="0" w:oddVBand="0" w:evenVBand="0" w:oddHBand="0" w:evenHBand="0" w:firstRowFirstColumn="0" w:firstRowLastColumn="0" w:lastRowFirstColumn="0" w:lastRowLastColumn="0"/>
              <w:rPr>
                <w:sz w:val="16"/>
                <w:szCs w:val="16"/>
              </w:rPr>
            </w:pPr>
            <w:r w:rsidRPr="002A0257">
              <w:rPr>
                <w:sz w:val="16"/>
                <w:szCs w:val="16"/>
              </w:rPr>
              <w:t>Zvýšení dostupnosti kvalitních, technologicky vyspělých inovativních a šetrných produktů a služeb s cílem zvýšení životní úrovně obyvatel.</w:t>
            </w:r>
          </w:p>
        </w:tc>
      </w:tr>
      <w:tr w:rsidR="00475B4B" w:rsidRPr="009059A1" w14:paraId="490E2586" w14:textId="77777777" w:rsidTr="0028578A">
        <w:tc>
          <w:tcPr>
            <w:cnfStyle w:val="001000000000" w:firstRow="0" w:lastRow="0" w:firstColumn="1" w:lastColumn="0" w:oddVBand="0" w:evenVBand="0" w:oddHBand="0" w:evenHBand="0" w:firstRowFirstColumn="0" w:firstRowLastColumn="0" w:lastRowFirstColumn="0" w:lastRowLastColumn="0"/>
            <w:tcW w:w="841" w:type="pct"/>
            <w:vMerge/>
          </w:tcPr>
          <w:p w14:paraId="5D9E2474" w14:textId="77777777" w:rsidR="00475B4B" w:rsidRPr="00FD10BF" w:rsidRDefault="00475B4B" w:rsidP="0028578A">
            <w:pPr>
              <w:spacing w:after="120"/>
              <w:rPr>
                <w:b/>
                <w:sz w:val="16"/>
                <w:szCs w:val="16"/>
              </w:rPr>
            </w:pPr>
          </w:p>
        </w:tc>
        <w:tc>
          <w:tcPr>
            <w:tcW w:w="739" w:type="pct"/>
          </w:tcPr>
          <w:p w14:paraId="16E96D0E" w14:textId="77777777" w:rsidR="00475B4B" w:rsidRDefault="00475B4B" w:rsidP="0028578A">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Kontrolní orgány</w:t>
            </w:r>
          </w:p>
        </w:tc>
        <w:tc>
          <w:tcPr>
            <w:tcW w:w="3420" w:type="pct"/>
          </w:tcPr>
          <w:p w14:paraId="14096FAE" w14:textId="77777777" w:rsidR="00475B4B" w:rsidRPr="009059A1" w:rsidRDefault="00475B4B" w:rsidP="0028578A">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Poskytování součinnosti při realizaci kontrolních šetření.</w:t>
            </w:r>
          </w:p>
        </w:tc>
      </w:tr>
      <w:tr w:rsidR="0028578A" w:rsidRPr="009059A1" w14:paraId="167203B1" w14:textId="77777777" w:rsidTr="0028578A">
        <w:tc>
          <w:tcPr>
            <w:cnfStyle w:val="001000000000" w:firstRow="0" w:lastRow="0" w:firstColumn="1" w:lastColumn="0" w:oddVBand="0" w:evenVBand="0" w:oddHBand="0" w:evenHBand="0" w:firstRowFirstColumn="0" w:firstRowLastColumn="0" w:lastRowFirstColumn="0" w:lastRowLastColumn="0"/>
            <w:tcW w:w="841" w:type="pct"/>
            <w:vMerge w:val="restart"/>
          </w:tcPr>
          <w:p w14:paraId="3EC2722D" w14:textId="77777777" w:rsidR="0028578A" w:rsidRPr="00FD10BF" w:rsidRDefault="0028578A" w:rsidP="0028578A">
            <w:pPr>
              <w:spacing w:after="120"/>
              <w:rPr>
                <w:b/>
                <w:sz w:val="16"/>
                <w:szCs w:val="16"/>
              </w:rPr>
            </w:pPr>
            <w:r w:rsidRPr="002A0257">
              <w:rPr>
                <w:b/>
                <w:sz w:val="16"/>
                <w:szCs w:val="16"/>
              </w:rPr>
              <w:t xml:space="preserve">Správce finančních nástrojů </w:t>
            </w:r>
            <w:r>
              <w:rPr>
                <w:b/>
                <w:sz w:val="16"/>
                <w:szCs w:val="16"/>
              </w:rPr>
              <w:t xml:space="preserve">– ČMZRB </w:t>
            </w:r>
          </w:p>
        </w:tc>
        <w:tc>
          <w:tcPr>
            <w:tcW w:w="739" w:type="pct"/>
          </w:tcPr>
          <w:p w14:paraId="44A302C9" w14:textId="77777777" w:rsidR="0028578A" w:rsidRPr="00FD10BF" w:rsidRDefault="0028578A" w:rsidP="0028578A">
            <w:pPr>
              <w:cnfStyle w:val="000000000000" w:firstRow="0" w:lastRow="0" w:firstColumn="0" w:lastColumn="0" w:oddVBand="0" w:evenVBand="0" w:oddHBand="0" w:evenHBand="0" w:firstRowFirstColumn="0" w:firstRowLastColumn="0" w:lastRowFirstColumn="0" w:lastRowLastColumn="0"/>
              <w:rPr>
                <w:sz w:val="16"/>
                <w:szCs w:val="16"/>
              </w:rPr>
            </w:pPr>
            <w:r w:rsidRPr="009059A1">
              <w:rPr>
                <w:sz w:val="16"/>
                <w:szCs w:val="16"/>
              </w:rPr>
              <w:t>Žadatelé o</w:t>
            </w:r>
            <w:r>
              <w:rPr>
                <w:sz w:val="16"/>
                <w:szCs w:val="16"/>
              </w:rPr>
              <w:t> </w:t>
            </w:r>
            <w:r w:rsidRPr="009059A1">
              <w:rPr>
                <w:sz w:val="16"/>
                <w:szCs w:val="16"/>
              </w:rPr>
              <w:t>podporu</w:t>
            </w:r>
          </w:p>
        </w:tc>
        <w:tc>
          <w:tcPr>
            <w:tcW w:w="3420" w:type="pct"/>
          </w:tcPr>
          <w:p w14:paraId="3CAEBC13" w14:textId="77777777" w:rsidR="0028578A" w:rsidRPr="00FD10BF" w:rsidRDefault="0028578A" w:rsidP="0028578A">
            <w:pPr>
              <w:cnfStyle w:val="000000000000" w:firstRow="0" w:lastRow="0" w:firstColumn="0" w:lastColumn="0" w:oddVBand="0" w:evenVBand="0" w:oddHBand="0" w:evenHBand="0" w:firstRowFirstColumn="0" w:firstRowLastColumn="0" w:lastRowFirstColumn="0" w:lastRowLastColumn="0"/>
              <w:rPr>
                <w:sz w:val="16"/>
                <w:szCs w:val="16"/>
              </w:rPr>
            </w:pPr>
            <w:r w:rsidRPr="002A0257">
              <w:rPr>
                <w:sz w:val="16"/>
                <w:szCs w:val="16"/>
              </w:rPr>
              <w:t>Včasné a úplné informování o příležitostech nedotačního spolufinancování (finančními nástroji) podnikatelských aktivit a jejich podpora v průběhu podávání žádostí.</w:t>
            </w:r>
          </w:p>
        </w:tc>
      </w:tr>
      <w:tr w:rsidR="00475B4B" w:rsidRPr="009059A1" w14:paraId="0D1B402C" w14:textId="77777777" w:rsidTr="0028578A">
        <w:tc>
          <w:tcPr>
            <w:cnfStyle w:val="001000000000" w:firstRow="0" w:lastRow="0" w:firstColumn="1" w:lastColumn="0" w:oddVBand="0" w:evenVBand="0" w:oddHBand="0" w:evenHBand="0" w:firstRowFirstColumn="0" w:firstRowLastColumn="0" w:lastRowFirstColumn="0" w:lastRowLastColumn="0"/>
            <w:tcW w:w="841" w:type="pct"/>
            <w:vMerge/>
          </w:tcPr>
          <w:p w14:paraId="2F044829" w14:textId="77777777" w:rsidR="00475B4B" w:rsidRPr="002A0257" w:rsidRDefault="00475B4B" w:rsidP="00475B4B">
            <w:pPr>
              <w:spacing w:after="120"/>
              <w:rPr>
                <w:b/>
                <w:sz w:val="16"/>
                <w:szCs w:val="16"/>
              </w:rPr>
            </w:pPr>
          </w:p>
        </w:tc>
        <w:tc>
          <w:tcPr>
            <w:tcW w:w="739" w:type="pct"/>
          </w:tcPr>
          <w:p w14:paraId="525122D6" w14:textId="77777777" w:rsidR="00475B4B" w:rsidRPr="009059A1" w:rsidRDefault="00475B4B" w:rsidP="00475B4B">
            <w:pPr>
              <w:cnfStyle w:val="000000000000" w:firstRow="0" w:lastRow="0" w:firstColumn="0" w:lastColumn="0" w:oddVBand="0" w:evenVBand="0" w:oddHBand="0" w:evenHBand="0" w:firstRowFirstColumn="0" w:firstRowLastColumn="0" w:lastRowFirstColumn="0" w:lastRowLastColumn="0"/>
              <w:rPr>
                <w:sz w:val="16"/>
                <w:szCs w:val="16"/>
              </w:rPr>
            </w:pPr>
            <w:r w:rsidRPr="009059A1">
              <w:rPr>
                <w:sz w:val="16"/>
                <w:szCs w:val="16"/>
              </w:rPr>
              <w:t>Příjemci podpory</w:t>
            </w:r>
          </w:p>
        </w:tc>
        <w:tc>
          <w:tcPr>
            <w:tcW w:w="3420" w:type="pct"/>
          </w:tcPr>
          <w:p w14:paraId="0DB252B2" w14:textId="77777777" w:rsidR="00475B4B" w:rsidRPr="002A0257" w:rsidRDefault="00A955F1" w:rsidP="005E2A6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Poskytování bankovních služeb klientům – příjemcům podpory formou finančních nástrojů</w:t>
            </w:r>
            <w:r w:rsidR="00096EEF">
              <w:rPr>
                <w:sz w:val="16"/>
                <w:szCs w:val="16"/>
              </w:rPr>
              <w:t xml:space="preserve">. </w:t>
            </w:r>
            <w:r w:rsidR="005E2A6D">
              <w:rPr>
                <w:sz w:val="16"/>
                <w:szCs w:val="16"/>
              </w:rPr>
              <w:t>Správa podpory a pohledávek.</w:t>
            </w:r>
          </w:p>
        </w:tc>
      </w:tr>
      <w:tr w:rsidR="00475B4B" w:rsidRPr="009059A1" w14:paraId="14AD88BA" w14:textId="77777777" w:rsidTr="0028578A">
        <w:tc>
          <w:tcPr>
            <w:cnfStyle w:val="001000000000" w:firstRow="0" w:lastRow="0" w:firstColumn="1" w:lastColumn="0" w:oddVBand="0" w:evenVBand="0" w:oddHBand="0" w:evenHBand="0" w:firstRowFirstColumn="0" w:firstRowLastColumn="0" w:lastRowFirstColumn="0" w:lastRowLastColumn="0"/>
            <w:tcW w:w="841" w:type="pct"/>
            <w:vMerge/>
          </w:tcPr>
          <w:p w14:paraId="697992BA" w14:textId="77777777" w:rsidR="00475B4B" w:rsidRPr="00FD10BF" w:rsidRDefault="00475B4B" w:rsidP="00475B4B">
            <w:pPr>
              <w:spacing w:after="120"/>
              <w:rPr>
                <w:b/>
                <w:sz w:val="16"/>
                <w:szCs w:val="16"/>
              </w:rPr>
            </w:pPr>
          </w:p>
        </w:tc>
        <w:tc>
          <w:tcPr>
            <w:tcW w:w="739" w:type="pct"/>
          </w:tcPr>
          <w:p w14:paraId="77FED2FE" w14:textId="77777777" w:rsidR="00475B4B" w:rsidRPr="00FD10BF" w:rsidRDefault="00475B4B" w:rsidP="00475B4B">
            <w:pPr>
              <w:cnfStyle w:val="000000000000" w:firstRow="0" w:lastRow="0" w:firstColumn="0" w:lastColumn="0" w:oddVBand="0" w:evenVBand="0" w:oddHBand="0" w:evenHBand="0" w:firstRowFirstColumn="0" w:firstRowLastColumn="0" w:lastRowFirstColumn="0" w:lastRowLastColumn="0"/>
              <w:rPr>
                <w:sz w:val="16"/>
                <w:szCs w:val="16"/>
              </w:rPr>
            </w:pPr>
            <w:r w:rsidRPr="009059A1">
              <w:rPr>
                <w:sz w:val="16"/>
                <w:szCs w:val="16"/>
              </w:rPr>
              <w:t>Řídící orgán - MPO</w:t>
            </w:r>
          </w:p>
        </w:tc>
        <w:tc>
          <w:tcPr>
            <w:tcW w:w="3420" w:type="pct"/>
          </w:tcPr>
          <w:p w14:paraId="05F149EC" w14:textId="77777777" w:rsidR="00475B4B" w:rsidRPr="00FD10BF" w:rsidRDefault="00475B4B" w:rsidP="00475B4B">
            <w:pPr>
              <w:cnfStyle w:val="000000000000" w:firstRow="0" w:lastRow="0" w:firstColumn="0" w:lastColumn="0" w:oddVBand="0" w:evenVBand="0" w:oddHBand="0" w:evenHBand="0" w:firstRowFirstColumn="0" w:firstRowLastColumn="0" w:lastRowFirstColumn="0" w:lastRowLastColumn="0"/>
              <w:rPr>
                <w:sz w:val="16"/>
                <w:szCs w:val="16"/>
              </w:rPr>
            </w:pPr>
            <w:r w:rsidRPr="009059A1">
              <w:rPr>
                <w:sz w:val="16"/>
                <w:szCs w:val="16"/>
              </w:rPr>
              <w:t>Koordin</w:t>
            </w:r>
            <w:r>
              <w:rPr>
                <w:sz w:val="16"/>
                <w:szCs w:val="16"/>
              </w:rPr>
              <w:t>ace</w:t>
            </w:r>
            <w:r w:rsidRPr="009059A1">
              <w:rPr>
                <w:sz w:val="16"/>
                <w:szCs w:val="16"/>
              </w:rPr>
              <w:t xml:space="preserve"> a implementace podpory formou finančních nástroj</w:t>
            </w:r>
            <w:r>
              <w:rPr>
                <w:sz w:val="16"/>
                <w:szCs w:val="16"/>
              </w:rPr>
              <w:t>ů s</w:t>
            </w:r>
            <w:r w:rsidRPr="00C95AD1">
              <w:rPr>
                <w:sz w:val="16"/>
                <w:szCs w:val="16"/>
              </w:rPr>
              <w:t xml:space="preserve"> cílem zajištění úspěšného čerpání programu v souladu se strategickými cíli a definovanými standardy kvality</w:t>
            </w:r>
            <w:r w:rsidRPr="009059A1">
              <w:rPr>
                <w:sz w:val="16"/>
                <w:szCs w:val="16"/>
              </w:rPr>
              <w:t xml:space="preserve">. </w:t>
            </w:r>
            <w:r>
              <w:rPr>
                <w:sz w:val="16"/>
                <w:szCs w:val="16"/>
              </w:rPr>
              <w:t>Zajištění informovanosti ŘO o využívání nedotačních forem podpory.</w:t>
            </w:r>
          </w:p>
        </w:tc>
      </w:tr>
    </w:tbl>
    <w:p w14:paraId="6062FE91" w14:textId="77777777" w:rsidR="00C3013D" w:rsidRPr="005E2A6D" w:rsidRDefault="00C3013D" w:rsidP="005E2A6D">
      <w:pPr>
        <w:pStyle w:val="Bntext"/>
        <w:rPr>
          <w:rFonts w:asciiTheme="minorHAnsi" w:eastAsiaTheme="minorHAnsi" w:hAnsiTheme="minorHAnsi"/>
          <w:sz w:val="18"/>
        </w:rPr>
      </w:pPr>
      <w:r w:rsidRPr="005E2A6D">
        <w:rPr>
          <w:rFonts w:asciiTheme="minorHAnsi" w:eastAsiaTheme="minorHAnsi" w:hAnsiTheme="minorHAnsi"/>
          <w:sz w:val="18"/>
          <w:lang w:eastAsia="en-US"/>
        </w:rPr>
        <w:t>Další sociální a hospodářské subjekty byly zapojeny do implementační struktury OP PIK formou formalizovaných partnerství např.</w:t>
      </w:r>
      <w:r w:rsidR="007830D0" w:rsidRPr="005E2A6D">
        <w:rPr>
          <w:rFonts w:asciiTheme="minorHAnsi" w:eastAsiaTheme="minorHAnsi" w:hAnsiTheme="minorHAnsi"/>
          <w:sz w:val="18"/>
          <w:lang w:eastAsia="en-US"/>
        </w:rPr>
        <w:t xml:space="preserve"> v rámci</w:t>
      </w:r>
      <w:r w:rsidRPr="005E2A6D">
        <w:rPr>
          <w:rFonts w:asciiTheme="minorHAnsi" w:eastAsiaTheme="minorHAnsi" w:hAnsiTheme="minorHAnsi"/>
          <w:sz w:val="18"/>
          <w:lang w:eastAsia="en-US"/>
        </w:rPr>
        <w:t xml:space="preserve">  </w:t>
      </w:r>
      <w:r w:rsidRPr="005E2A6D">
        <w:rPr>
          <w:rFonts w:asciiTheme="minorHAnsi" w:eastAsiaTheme="minorHAnsi" w:hAnsiTheme="minorHAnsi"/>
          <w:b/>
          <w:sz w:val="18"/>
          <w:lang w:eastAsia="en-US"/>
        </w:rPr>
        <w:t>Řídící</w:t>
      </w:r>
      <w:r w:rsidR="008A2E51" w:rsidRPr="005E2A6D">
        <w:rPr>
          <w:rFonts w:asciiTheme="minorHAnsi" w:eastAsiaTheme="minorHAnsi" w:hAnsiTheme="minorHAnsi"/>
          <w:b/>
          <w:sz w:val="18"/>
          <w:lang w:eastAsia="en-US"/>
        </w:rPr>
        <w:t>ho</w:t>
      </w:r>
      <w:r w:rsidRPr="005E2A6D">
        <w:rPr>
          <w:rFonts w:asciiTheme="minorHAnsi" w:eastAsiaTheme="minorHAnsi" w:hAnsiTheme="minorHAnsi"/>
          <w:b/>
          <w:sz w:val="18"/>
          <w:lang w:eastAsia="en-US"/>
        </w:rPr>
        <w:t xml:space="preserve"> tým</w:t>
      </w:r>
      <w:r w:rsidR="008A2E51" w:rsidRPr="005E2A6D">
        <w:rPr>
          <w:rFonts w:asciiTheme="minorHAnsi" w:eastAsiaTheme="minorHAnsi" w:hAnsiTheme="minorHAnsi"/>
          <w:b/>
          <w:sz w:val="18"/>
          <w:lang w:eastAsia="en-US"/>
        </w:rPr>
        <w:t>u</w:t>
      </w:r>
      <w:r w:rsidRPr="005E2A6D">
        <w:rPr>
          <w:rFonts w:asciiTheme="minorHAnsi" w:eastAsiaTheme="minorHAnsi" w:hAnsiTheme="minorHAnsi"/>
          <w:b/>
          <w:sz w:val="18"/>
          <w:lang w:eastAsia="en-US"/>
        </w:rPr>
        <w:t xml:space="preserve"> pro programovací období k využívání prostředků ze strukturálních fondů EU 2014 – 2020</w:t>
      </w:r>
      <w:r w:rsidR="00F6586B" w:rsidRPr="005E2A6D">
        <w:rPr>
          <w:rFonts w:asciiTheme="minorHAnsi" w:eastAsiaTheme="minorHAnsi" w:hAnsiTheme="minorHAnsi"/>
          <w:sz w:val="18"/>
          <w:lang w:eastAsia="en-US"/>
        </w:rPr>
        <w:t xml:space="preserve">, </w:t>
      </w:r>
      <w:r w:rsidR="00F6586B" w:rsidRPr="005E2A6D">
        <w:rPr>
          <w:rFonts w:asciiTheme="minorHAnsi" w:eastAsiaTheme="minorHAnsi" w:hAnsiTheme="minorHAnsi"/>
          <w:b/>
          <w:sz w:val="18"/>
          <w:lang w:eastAsia="en-US"/>
        </w:rPr>
        <w:t>Platformy pro přípravu OP PIK</w:t>
      </w:r>
      <w:r w:rsidRPr="005E2A6D">
        <w:rPr>
          <w:rFonts w:asciiTheme="minorHAnsi" w:eastAsiaTheme="minorHAnsi" w:hAnsiTheme="minorHAnsi"/>
          <w:sz w:val="18"/>
          <w:lang w:eastAsia="en-US"/>
        </w:rPr>
        <w:t xml:space="preserve"> nebo </w:t>
      </w:r>
      <w:r w:rsidR="008A2E51" w:rsidRPr="005E2A6D">
        <w:rPr>
          <w:rFonts w:asciiTheme="minorHAnsi" w:eastAsiaTheme="minorHAnsi" w:hAnsiTheme="minorHAnsi"/>
          <w:sz w:val="18"/>
          <w:lang w:eastAsia="en-US"/>
        </w:rPr>
        <w:t xml:space="preserve">v rámci </w:t>
      </w:r>
      <w:r w:rsidRPr="005E2A6D">
        <w:rPr>
          <w:rFonts w:asciiTheme="minorHAnsi" w:eastAsiaTheme="minorHAnsi" w:hAnsiTheme="minorHAnsi"/>
          <w:b/>
          <w:sz w:val="18"/>
          <w:lang w:eastAsia="en-US"/>
        </w:rPr>
        <w:t>pracovní</w:t>
      </w:r>
      <w:r w:rsidR="008A2E51" w:rsidRPr="005E2A6D">
        <w:rPr>
          <w:rFonts w:asciiTheme="minorHAnsi" w:eastAsiaTheme="minorHAnsi" w:hAnsiTheme="minorHAnsi"/>
          <w:b/>
          <w:sz w:val="18"/>
          <w:lang w:eastAsia="en-US"/>
        </w:rPr>
        <w:t>ch</w:t>
      </w:r>
      <w:r w:rsidRPr="005E2A6D">
        <w:rPr>
          <w:rFonts w:asciiTheme="minorHAnsi" w:eastAsiaTheme="minorHAnsi" w:hAnsiTheme="minorHAnsi"/>
          <w:b/>
          <w:sz w:val="18"/>
          <w:lang w:eastAsia="en-US"/>
        </w:rPr>
        <w:t xml:space="preserve"> skupin</w:t>
      </w:r>
      <w:r w:rsidR="007830D0" w:rsidRPr="005E2A6D">
        <w:rPr>
          <w:rFonts w:asciiTheme="minorHAnsi" w:eastAsiaTheme="minorHAnsi" w:hAnsiTheme="minorHAnsi"/>
          <w:sz w:val="18"/>
          <w:lang w:eastAsia="en-US"/>
        </w:rPr>
        <w:t xml:space="preserve"> pro</w:t>
      </w:r>
      <w:r w:rsidRPr="005E2A6D">
        <w:rPr>
          <w:rFonts w:asciiTheme="minorHAnsi" w:eastAsiaTheme="minorHAnsi" w:hAnsiTheme="minorHAnsi"/>
          <w:sz w:val="18"/>
          <w:lang w:eastAsia="en-US"/>
        </w:rPr>
        <w:t xml:space="preserve"> </w:t>
      </w:r>
      <w:r w:rsidR="007830D0" w:rsidRPr="005E2A6D">
        <w:rPr>
          <w:rFonts w:asciiTheme="minorHAnsi" w:eastAsiaTheme="minorHAnsi" w:hAnsiTheme="minorHAnsi"/>
          <w:sz w:val="18"/>
          <w:lang w:eastAsia="en-US"/>
        </w:rPr>
        <w:t xml:space="preserve">rozpracování prioritních os programu, pro řešení finančních nástrojů a pro řešení horizontálních témat souvisejících s implementací programu. </w:t>
      </w:r>
      <w:r w:rsidR="00D97CEE" w:rsidRPr="00904443">
        <w:rPr>
          <w:rFonts w:asciiTheme="minorHAnsi" w:eastAsiaTheme="minorHAnsi" w:hAnsiTheme="minorHAnsi"/>
          <w:sz w:val="18"/>
          <w:lang w:eastAsia="en-US"/>
        </w:rPr>
        <w:t>V rámci příprav OP PIK byla do struktury dále zapojena řada dalších partnerů v rámci bilaterálních jednání, meziresortních poradních skupin apod.</w:t>
      </w:r>
      <w:r w:rsidR="00D97CEE">
        <w:rPr>
          <w:rFonts w:asciiTheme="minorHAnsi" w:eastAsiaTheme="minorHAnsi" w:hAnsiTheme="minorHAnsi"/>
          <w:sz w:val="18"/>
          <w:lang w:eastAsia="en-US"/>
        </w:rPr>
        <w:t xml:space="preserve"> </w:t>
      </w:r>
      <w:r w:rsidR="007830D0" w:rsidRPr="005E2A6D">
        <w:rPr>
          <w:rFonts w:asciiTheme="minorHAnsi" w:eastAsiaTheme="minorHAnsi" w:hAnsiTheme="minorHAnsi"/>
          <w:sz w:val="18"/>
          <w:lang w:eastAsia="en-US"/>
        </w:rPr>
        <w:t>Nicméně role těchto partnerů byla klíčová především během příprav nového operačního programu v letech 2011 až 2013</w:t>
      </w:r>
      <w:r w:rsidR="00D97CEE">
        <w:rPr>
          <w:rFonts w:asciiTheme="minorHAnsi" w:eastAsiaTheme="minorHAnsi" w:hAnsiTheme="minorHAnsi"/>
          <w:sz w:val="18"/>
          <w:lang w:eastAsia="en-US"/>
        </w:rPr>
        <w:t xml:space="preserve"> a pro další průběh implementace nejsou zásadní. </w:t>
      </w:r>
      <w:r w:rsidR="00F6586B" w:rsidRPr="005E2A6D">
        <w:rPr>
          <w:rFonts w:asciiTheme="minorHAnsi" w:eastAsiaTheme="minorHAnsi" w:hAnsiTheme="minorHAnsi"/>
          <w:sz w:val="18"/>
          <w:lang w:eastAsia="en-US"/>
        </w:rPr>
        <w:t xml:space="preserve">Pro účely této evaluace </w:t>
      </w:r>
      <w:r w:rsidR="00D97CEE">
        <w:rPr>
          <w:rFonts w:asciiTheme="minorHAnsi" w:eastAsiaTheme="minorHAnsi" w:hAnsiTheme="minorHAnsi"/>
          <w:sz w:val="18"/>
          <w:lang w:eastAsia="en-US"/>
        </w:rPr>
        <w:t>proto</w:t>
      </w:r>
      <w:r w:rsidR="00F6586B">
        <w:rPr>
          <w:rFonts w:asciiTheme="minorHAnsi" w:eastAsiaTheme="minorHAnsi" w:hAnsiTheme="minorHAnsi"/>
          <w:sz w:val="18"/>
          <w:lang w:eastAsia="en-US"/>
        </w:rPr>
        <w:t xml:space="preserve"> </w:t>
      </w:r>
      <w:r w:rsidR="00F6586B" w:rsidRPr="005E2A6D">
        <w:rPr>
          <w:rFonts w:asciiTheme="minorHAnsi" w:eastAsiaTheme="minorHAnsi" w:hAnsiTheme="minorHAnsi"/>
          <w:sz w:val="18"/>
          <w:lang w:eastAsia="en-US"/>
        </w:rPr>
        <w:t xml:space="preserve">budou </w:t>
      </w:r>
      <w:r w:rsidR="00F6586B">
        <w:rPr>
          <w:rFonts w:asciiTheme="minorHAnsi" w:eastAsiaTheme="minorHAnsi" w:hAnsiTheme="minorHAnsi"/>
          <w:sz w:val="18"/>
          <w:lang w:eastAsia="en-US"/>
        </w:rPr>
        <w:t>do výčtu</w:t>
      </w:r>
      <w:r w:rsidR="00F6586B" w:rsidRPr="005E2A6D">
        <w:rPr>
          <w:rFonts w:asciiTheme="minorHAnsi" w:eastAsiaTheme="minorHAnsi" w:hAnsiTheme="minorHAnsi"/>
          <w:sz w:val="18"/>
          <w:lang w:eastAsia="en-US"/>
        </w:rPr>
        <w:t xml:space="preserve"> kli</w:t>
      </w:r>
      <w:r w:rsidR="00F6586B" w:rsidRPr="00F6586B">
        <w:rPr>
          <w:rFonts w:asciiTheme="minorHAnsi" w:eastAsiaTheme="minorHAnsi" w:hAnsiTheme="minorHAnsi"/>
          <w:sz w:val="18"/>
          <w:lang w:eastAsia="en-US"/>
        </w:rPr>
        <w:t>entů</w:t>
      </w:r>
      <w:r w:rsidR="00F6586B" w:rsidRPr="005E2A6D">
        <w:rPr>
          <w:rFonts w:asciiTheme="minorHAnsi" w:eastAsiaTheme="minorHAnsi" w:hAnsiTheme="minorHAnsi"/>
          <w:sz w:val="18"/>
          <w:lang w:eastAsia="en-US"/>
        </w:rPr>
        <w:t xml:space="preserve"> zahrnut</w:t>
      </w:r>
      <w:r w:rsidR="00D97CEE" w:rsidRPr="00D97CEE">
        <w:rPr>
          <w:rFonts w:asciiTheme="minorHAnsi" w:eastAsiaTheme="minorHAnsi" w:hAnsiTheme="minorHAnsi"/>
          <w:sz w:val="18"/>
          <w:lang w:eastAsia="en-US"/>
        </w:rPr>
        <w:t xml:space="preserve">y především subjekty </w:t>
      </w:r>
      <w:r w:rsidR="00F6586B" w:rsidRPr="005E2A6D">
        <w:rPr>
          <w:rFonts w:asciiTheme="minorHAnsi" w:eastAsiaTheme="minorHAnsi" w:hAnsiTheme="minorHAnsi"/>
          <w:sz w:val="18"/>
          <w:lang w:eastAsia="en-US"/>
        </w:rPr>
        <w:t xml:space="preserve">relevantní </w:t>
      </w:r>
      <w:r w:rsidR="00D97CEE">
        <w:rPr>
          <w:rFonts w:asciiTheme="minorHAnsi" w:eastAsiaTheme="minorHAnsi" w:hAnsiTheme="minorHAnsi"/>
          <w:sz w:val="18"/>
          <w:lang w:eastAsia="en-US"/>
        </w:rPr>
        <w:t>pro</w:t>
      </w:r>
      <w:r w:rsidR="00F6586B" w:rsidRPr="005E2A6D">
        <w:rPr>
          <w:rFonts w:asciiTheme="minorHAnsi" w:eastAsiaTheme="minorHAnsi" w:hAnsiTheme="minorHAnsi"/>
          <w:sz w:val="18"/>
          <w:lang w:eastAsia="en-US"/>
        </w:rPr>
        <w:t xml:space="preserve"> průběhu implementace samotného OP PIK. </w:t>
      </w:r>
    </w:p>
    <w:p w14:paraId="50CCE6F4" w14:textId="77777777" w:rsidR="002945DE" w:rsidRDefault="002945DE" w:rsidP="000E1076">
      <w:pPr>
        <w:pStyle w:val="Nadpis1"/>
      </w:pPr>
      <w:bookmarkStart w:id="9" w:name="_Toc25228646"/>
      <w:r w:rsidRPr="00C01A86">
        <w:lastRenderedPageBreak/>
        <w:t>Metodický postup</w:t>
      </w:r>
      <w:bookmarkEnd w:id="7"/>
      <w:bookmarkEnd w:id="9"/>
    </w:p>
    <w:p w14:paraId="5FC4F628" w14:textId="77777777" w:rsidR="00933261" w:rsidRDefault="00933261" w:rsidP="006C64A4">
      <w:pPr>
        <w:spacing w:after="120" w:line="240" w:lineRule="auto"/>
        <w:jc w:val="both"/>
      </w:pPr>
      <w:r w:rsidRPr="00D251B5">
        <w:t>V souladu se zadávací dokumentací Projektu</w:t>
      </w:r>
      <w:r>
        <w:t xml:space="preserve"> a </w:t>
      </w:r>
      <w:r w:rsidRPr="00D251B5">
        <w:t>upřesněním na kick-off jednání</w:t>
      </w:r>
      <w:r>
        <w:t xml:space="preserve"> s </w:t>
      </w:r>
      <w:r w:rsidRPr="00D251B5">
        <w:t>projektovým týmem Zadavatele byl zpracován detailní postup</w:t>
      </w:r>
      <w:r>
        <w:t xml:space="preserve"> k </w:t>
      </w:r>
      <w:r w:rsidRPr="00D251B5">
        <w:t>realizaci jednotlivých částí evaluace. Tento postup upřesňuje postup navržený Dodavatelem</w:t>
      </w:r>
      <w:r>
        <w:t xml:space="preserve"> v</w:t>
      </w:r>
      <w:r w:rsidR="00AF4DB7">
        <w:t> </w:t>
      </w:r>
      <w:r w:rsidRPr="00D251B5">
        <w:t>nabídce</w:t>
      </w:r>
      <w:r w:rsidR="00AF4DB7">
        <w:t>.</w:t>
      </w:r>
      <w:r w:rsidRPr="00D251B5">
        <w:t xml:space="preserve"> </w:t>
      </w:r>
    </w:p>
    <w:p w14:paraId="22243C5E" w14:textId="77777777" w:rsidR="00933261" w:rsidRDefault="00933261" w:rsidP="006C64A4">
      <w:pPr>
        <w:spacing w:after="120" w:line="240" w:lineRule="auto"/>
        <w:jc w:val="both"/>
      </w:pPr>
      <w:r w:rsidRPr="00D251B5">
        <w:t xml:space="preserve">V následujících podkapitolách je </w:t>
      </w:r>
      <w:r>
        <w:t xml:space="preserve">popsaná </w:t>
      </w:r>
      <w:r w:rsidRPr="00D251B5">
        <w:t>základní metodologie navrhovaná</w:t>
      </w:r>
      <w:r>
        <w:t xml:space="preserve"> k využití u jednotlivých evaluačních metod popisující způsob provedení a detailní harmonogram. Ke každé z aktivit je přiřazena odpověd</w:t>
      </w:r>
      <w:r w:rsidR="00AF4DB7">
        <w:t>nost (Dodavatel, Zadavatel) a</w:t>
      </w:r>
      <w:r>
        <w:t xml:space="preserve"> v případě </w:t>
      </w:r>
      <w:r w:rsidRPr="00D251B5">
        <w:t>požadovan</w:t>
      </w:r>
      <w:r>
        <w:t xml:space="preserve">é součinnosti na straně Zadavatele je </w:t>
      </w:r>
      <w:r w:rsidR="00AE66FC">
        <w:t xml:space="preserve">odhadnuta </w:t>
      </w:r>
      <w:r>
        <w:t xml:space="preserve">její náročnost. </w:t>
      </w:r>
    </w:p>
    <w:p w14:paraId="632CA1D6" w14:textId="77777777" w:rsidR="0068070D" w:rsidRDefault="0068070D" w:rsidP="006C64A4">
      <w:pPr>
        <w:spacing w:after="120" w:line="240" w:lineRule="auto"/>
        <w:jc w:val="both"/>
      </w:pPr>
      <w:r w:rsidRPr="00EE0921">
        <w:t>Projekt bude realizován ve třech na sebe navazujících etapách</w:t>
      </w:r>
      <w:r w:rsidR="004F48B4">
        <w:t xml:space="preserve"> zobrazených na následujícím schématu.</w:t>
      </w:r>
    </w:p>
    <w:p w14:paraId="424977B8" w14:textId="77777777" w:rsidR="004F48B4" w:rsidRDefault="004F48B4" w:rsidP="006C64A4">
      <w:pPr>
        <w:pStyle w:val="Titulek"/>
        <w:spacing w:after="120"/>
        <w:jc w:val="center"/>
      </w:pPr>
      <w:bookmarkStart w:id="10" w:name="_Toc24384746"/>
      <w:r>
        <w:t xml:space="preserve">Obrázek </w:t>
      </w:r>
      <w:r w:rsidR="004016AA">
        <w:fldChar w:fldCharType="begin"/>
      </w:r>
      <w:r w:rsidR="004016AA">
        <w:instrText xml:space="preserve"> SEQ Obrázek \* ARABIC </w:instrText>
      </w:r>
      <w:r w:rsidR="004016AA">
        <w:fldChar w:fldCharType="separate"/>
      </w:r>
      <w:r w:rsidR="00BE6947">
        <w:rPr>
          <w:noProof/>
        </w:rPr>
        <w:t>1</w:t>
      </w:r>
      <w:r w:rsidR="004016AA">
        <w:fldChar w:fldCharType="end"/>
      </w:r>
      <w:r>
        <w:t xml:space="preserve">: Přístup k realizaci </w:t>
      </w:r>
      <w:r w:rsidR="00382726">
        <w:t>P</w:t>
      </w:r>
      <w:r>
        <w:t>rojektu</w:t>
      </w:r>
      <w:bookmarkEnd w:id="10"/>
    </w:p>
    <w:p w14:paraId="178293AE" w14:textId="77777777" w:rsidR="004F48B4" w:rsidRDefault="004F48B4" w:rsidP="006C64A4">
      <w:pPr>
        <w:spacing w:after="120" w:line="240" w:lineRule="auto"/>
        <w:jc w:val="center"/>
      </w:pPr>
      <w:r w:rsidRPr="00CE2444">
        <w:rPr>
          <w:noProof/>
          <w:lang w:eastAsia="cs-CZ"/>
        </w:rPr>
        <w:drawing>
          <wp:inline distT="0" distB="0" distL="0" distR="0" wp14:anchorId="111682FC" wp14:editId="27ABB61F">
            <wp:extent cx="6464411" cy="5783585"/>
            <wp:effectExtent l="0" t="0" r="0" b="762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67448" cy="5786302"/>
                    </a:xfrm>
                    <a:prstGeom prst="rect">
                      <a:avLst/>
                    </a:prstGeom>
                    <a:noFill/>
                    <a:ln>
                      <a:noFill/>
                    </a:ln>
                  </pic:spPr>
                </pic:pic>
              </a:graphicData>
            </a:graphic>
          </wp:inline>
        </w:drawing>
      </w:r>
    </w:p>
    <w:p w14:paraId="076838C8" w14:textId="77777777" w:rsidR="004F48B4" w:rsidRPr="00EE0921" w:rsidRDefault="004F48B4" w:rsidP="006C64A4">
      <w:pPr>
        <w:spacing w:after="120" w:line="240" w:lineRule="auto"/>
        <w:jc w:val="both"/>
      </w:pPr>
    </w:p>
    <w:p w14:paraId="4456F778" w14:textId="77777777" w:rsidR="0068070D" w:rsidRPr="00EE0921" w:rsidRDefault="0068070D" w:rsidP="00CC2DFC">
      <w:pPr>
        <w:pStyle w:val="Odstavecseseznamem"/>
        <w:keepNext/>
        <w:numPr>
          <w:ilvl w:val="0"/>
          <w:numId w:val="8"/>
        </w:numPr>
        <w:spacing w:after="120" w:line="240" w:lineRule="auto"/>
        <w:ind w:left="284" w:hanging="284"/>
        <w:contextualSpacing w:val="0"/>
        <w:jc w:val="both"/>
        <w:rPr>
          <w:b/>
          <w:color w:val="012169" w:themeColor="accent4"/>
        </w:rPr>
      </w:pPr>
      <w:r w:rsidRPr="00EE0921">
        <w:rPr>
          <w:b/>
          <w:color w:val="012169" w:themeColor="accent4"/>
        </w:rPr>
        <w:lastRenderedPageBreak/>
        <w:t>etapa: Vstupní zpráva</w:t>
      </w:r>
    </w:p>
    <w:p w14:paraId="576093E1" w14:textId="77777777" w:rsidR="0068070D" w:rsidRPr="00031358" w:rsidRDefault="00AE66FC" w:rsidP="006C64A4">
      <w:pPr>
        <w:spacing w:after="120" w:line="240" w:lineRule="auto"/>
        <w:jc w:val="both"/>
      </w:pPr>
      <w:r>
        <w:t>V úvodní fázi projektu byla realizována kick-off schůzka se zástupci Zadavatele</w:t>
      </w:r>
      <w:r w:rsidR="00483B86">
        <w:t>, na které byl odsouhlasen další postupu a byly zodpovězené dotazy Dodavatele</w:t>
      </w:r>
      <w:r>
        <w:t xml:space="preserve">. Ze strany Zadavatele byly předány požadované </w:t>
      </w:r>
      <w:r w:rsidR="00990763">
        <w:t>dokumenty a </w:t>
      </w:r>
      <w:r>
        <w:t xml:space="preserve">byli nominováni garanti za jednotlivé evaluační okruhy. </w:t>
      </w:r>
      <w:r w:rsidR="00483B86">
        <w:t xml:space="preserve">Výstupem z I. etapy projektu je tato Vstupní zpráva validovaná Zadavatelem. </w:t>
      </w:r>
    </w:p>
    <w:p w14:paraId="2F15FE0C" w14:textId="77777777" w:rsidR="0068070D" w:rsidRDefault="0068070D" w:rsidP="00EE0921">
      <w:pPr>
        <w:pStyle w:val="Odstavecseseznamem"/>
        <w:spacing w:after="120" w:line="240" w:lineRule="auto"/>
        <w:contextualSpacing w:val="0"/>
        <w:jc w:val="both"/>
      </w:pPr>
    </w:p>
    <w:p w14:paraId="79BFEDFE" w14:textId="77777777" w:rsidR="0068070D" w:rsidRPr="00CC2DFC" w:rsidRDefault="0068070D" w:rsidP="00CC2DFC">
      <w:pPr>
        <w:pStyle w:val="Odstavecseseznamem"/>
        <w:keepNext/>
        <w:numPr>
          <w:ilvl w:val="0"/>
          <w:numId w:val="8"/>
        </w:numPr>
        <w:spacing w:after="120" w:line="240" w:lineRule="auto"/>
        <w:ind w:left="284" w:hanging="284"/>
        <w:contextualSpacing w:val="0"/>
        <w:jc w:val="both"/>
        <w:rPr>
          <w:b/>
          <w:color w:val="012169" w:themeColor="accent4"/>
        </w:rPr>
      </w:pPr>
      <w:r w:rsidRPr="00CC2DFC">
        <w:rPr>
          <w:b/>
          <w:color w:val="012169" w:themeColor="accent4"/>
        </w:rPr>
        <w:t xml:space="preserve"> etapa: Průběžná zpráva</w:t>
      </w:r>
    </w:p>
    <w:p w14:paraId="531A2F18" w14:textId="77777777" w:rsidR="00483B86" w:rsidRDefault="0068070D" w:rsidP="00CC2DFC">
      <w:pPr>
        <w:tabs>
          <w:tab w:val="left" w:pos="3435"/>
        </w:tabs>
        <w:spacing w:after="120" w:line="240" w:lineRule="auto"/>
        <w:jc w:val="both"/>
      </w:pPr>
      <w:r>
        <w:t xml:space="preserve">Cílem druhé etapy je </w:t>
      </w:r>
      <w:r w:rsidRPr="00B96B5C">
        <w:rPr>
          <w:b/>
        </w:rPr>
        <w:t xml:space="preserve">provést </w:t>
      </w:r>
      <w:r>
        <w:rPr>
          <w:b/>
        </w:rPr>
        <w:t xml:space="preserve">analýzu </w:t>
      </w:r>
      <w:r w:rsidRPr="00B96B5C">
        <w:rPr>
          <w:b/>
        </w:rPr>
        <w:t>procesů příslušných evaluačních okruhů</w:t>
      </w:r>
      <w:r>
        <w:t>.</w:t>
      </w:r>
      <w:r w:rsidR="006C64A4">
        <w:t xml:space="preserve"> </w:t>
      </w:r>
      <w:r w:rsidR="00483B86">
        <w:t xml:space="preserve">V této etapě </w:t>
      </w:r>
      <w:r w:rsidR="00C7039F">
        <w:t xml:space="preserve">Dodavatel </w:t>
      </w:r>
      <w:r w:rsidR="00483B86">
        <w:t>nebude provádět vyhodnocení procesů, které je obsahem následující</w:t>
      </w:r>
      <w:r w:rsidR="00483B86" w:rsidRPr="00B96B5C">
        <w:t xml:space="preserve"> </w:t>
      </w:r>
      <w:r w:rsidR="00483B86">
        <w:t>etapy.</w:t>
      </w:r>
    </w:p>
    <w:p w14:paraId="2E8D9572" w14:textId="77777777" w:rsidR="0068070D" w:rsidRDefault="0068070D" w:rsidP="00CC2DFC">
      <w:pPr>
        <w:tabs>
          <w:tab w:val="left" w:pos="3435"/>
        </w:tabs>
        <w:spacing w:after="120" w:line="240" w:lineRule="auto"/>
        <w:jc w:val="both"/>
      </w:pPr>
      <w:r>
        <w:t xml:space="preserve">Analýza procesů bude odpovídat na následující evaluační otázky: </w:t>
      </w:r>
    </w:p>
    <w:p w14:paraId="08AAF535" w14:textId="118C6915" w:rsidR="0068070D" w:rsidRPr="00994596" w:rsidRDefault="0068070D" w:rsidP="006C64A4">
      <w:pPr>
        <w:pStyle w:val="Odstavecseseznamem"/>
        <w:numPr>
          <w:ilvl w:val="0"/>
          <w:numId w:val="12"/>
        </w:numPr>
        <w:tabs>
          <w:tab w:val="left" w:pos="3435"/>
        </w:tabs>
        <w:spacing w:after="120" w:line="240" w:lineRule="auto"/>
        <w:contextualSpacing w:val="0"/>
        <w:jc w:val="both"/>
      </w:pPr>
      <w:r>
        <w:t xml:space="preserve">Jaké procesy realizuje implementační struktura při administraci projektů OP PIK, a to od přípravy a vyhlášení výzvy k předkládání </w:t>
      </w:r>
      <w:r w:rsidR="00077A8C">
        <w:t>žádostí o podporu</w:t>
      </w:r>
      <w:r>
        <w:t xml:space="preserve"> až po ukončení a finanční vypořádání jednotlivých projektů? </w:t>
      </w:r>
    </w:p>
    <w:p w14:paraId="218DADF9" w14:textId="14C8C115" w:rsidR="0068070D" w:rsidRDefault="0068070D" w:rsidP="006C64A4">
      <w:pPr>
        <w:pStyle w:val="Odstavecseseznamem"/>
        <w:numPr>
          <w:ilvl w:val="0"/>
          <w:numId w:val="12"/>
        </w:numPr>
        <w:tabs>
          <w:tab w:val="left" w:pos="3435"/>
        </w:tabs>
        <w:spacing w:after="120" w:line="240" w:lineRule="auto"/>
        <w:contextualSpacing w:val="0"/>
        <w:jc w:val="both"/>
      </w:pPr>
      <w:r>
        <w:t xml:space="preserve">Jaké procesy realizují žadatelé v souvislosti s přípravou </w:t>
      </w:r>
      <w:r w:rsidR="00077A8C">
        <w:t xml:space="preserve">žádostí o podporu </w:t>
      </w:r>
      <w:r>
        <w:t>s ohledem na požadavky poskytovatele?</w:t>
      </w:r>
    </w:p>
    <w:p w14:paraId="5357FA61" w14:textId="74A405FD" w:rsidR="0068070D" w:rsidRDefault="0068070D" w:rsidP="006C64A4">
      <w:pPr>
        <w:pStyle w:val="Odstavecseseznamem"/>
        <w:numPr>
          <w:ilvl w:val="0"/>
          <w:numId w:val="12"/>
        </w:numPr>
        <w:tabs>
          <w:tab w:val="left" w:pos="3435"/>
        </w:tabs>
        <w:spacing w:after="120" w:line="240" w:lineRule="auto"/>
        <w:contextualSpacing w:val="0"/>
        <w:jc w:val="both"/>
      </w:pPr>
      <w:r>
        <w:t xml:space="preserve">Jaké procesy realizují příjemci v průběhu realizace projektů, tedy v době od podání </w:t>
      </w:r>
      <w:r w:rsidR="00077A8C">
        <w:t xml:space="preserve">žádosti o podporu  </w:t>
      </w:r>
      <w:r>
        <w:t>až po ukončení a finanční vypořádání projektu?</w:t>
      </w:r>
    </w:p>
    <w:p w14:paraId="712D3BAB" w14:textId="77777777" w:rsidR="0068070D" w:rsidRPr="00994596" w:rsidRDefault="0068070D" w:rsidP="006C64A4">
      <w:pPr>
        <w:pStyle w:val="Odstavecseseznamem"/>
        <w:numPr>
          <w:ilvl w:val="0"/>
          <w:numId w:val="12"/>
        </w:numPr>
        <w:tabs>
          <w:tab w:val="left" w:pos="3435"/>
        </w:tabs>
        <w:spacing w:after="120" w:line="240" w:lineRule="auto"/>
        <w:contextualSpacing w:val="0"/>
        <w:jc w:val="both"/>
      </w:pPr>
      <w:r>
        <w:t>Z jakého právního předpisu, metodiky, nebo jiné pro ŘO OP PIK závazné normy nutnost provedení předmětného procesu vyplývá? Budou přiřazeny nadřazené dokumenty, které buď popisují celé procesy, nebo se vyjadřují k jednotlivým částem procesu (pravidla).</w:t>
      </w:r>
    </w:p>
    <w:p w14:paraId="6F57068E" w14:textId="77777777" w:rsidR="0068070D" w:rsidRDefault="0068070D" w:rsidP="006C64A4">
      <w:pPr>
        <w:pStyle w:val="Odstavecseseznamem"/>
        <w:numPr>
          <w:ilvl w:val="0"/>
          <w:numId w:val="12"/>
        </w:numPr>
        <w:tabs>
          <w:tab w:val="left" w:pos="3435"/>
        </w:tabs>
        <w:spacing w:after="120" w:line="240" w:lineRule="auto"/>
        <w:contextualSpacing w:val="0"/>
        <w:jc w:val="both"/>
      </w:pPr>
      <w:r>
        <w:t>Odpovídá skutečná realizace procesů postupům uvedeným v metodických dokumentech?</w:t>
      </w:r>
    </w:p>
    <w:p w14:paraId="78A3641A" w14:textId="77777777" w:rsidR="0068070D" w:rsidRDefault="0068070D" w:rsidP="006C64A4">
      <w:pPr>
        <w:pStyle w:val="Odstavecseseznamem"/>
        <w:numPr>
          <w:ilvl w:val="0"/>
          <w:numId w:val="12"/>
        </w:numPr>
        <w:tabs>
          <w:tab w:val="left" w:pos="3435"/>
        </w:tabs>
        <w:spacing w:after="120" w:line="240" w:lineRule="auto"/>
        <w:contextualSpacing w:val="0"/>
        <w:jc w:val="both"/>
      </w:pPr>
      <w:r>
        <w:t>Jaká pozice je v personální struktuře ŘO/ZS OP PIK za provedení procesu zodpovědná? (Dodavatel nebude přiřazovat pozice k procesům, které probíhají pouze u příjemců.)</w:t>
      </w:r>
    </w:p>
    <w:p w14:paraId="2F4436A7" w14:textId="77777777" w:rsidR="0068070D" w:rsidRDefault="0068070D" w:rsidP="006C64A4">
      <w:pPr>
        <w:tabs>
          <w:tab w:val="left" w:pos="3435"/>
        </w:tabs>
        <w:spacing w:after="120" w:line="240" w:lineRule="auto"/>
        <w:jc w:val="both"/>
      </w:pPr>
    </w:p>
    <w:p w14:paraId="66F16C39" w14:textId="77777777" w:rsidR="0068070D" w:rsidRDefault="0068070D" w:rsidP="006C64A4">
      <w:pPr>
        <w:tabs>
          <w:tab w:val="left" w:pos="3435"/>
        </w:tabs>
        <w:spacing w:after="120" w:line="240" w:lineRule="auto"/>
        <w:jc w:val="both"/>
      </w:pPr>
      <w:r>
        <w:t xml:space="preserve">Výstupem etapy bude </w:t>
      </w:r>
      <w:r w:rsidRPr="008C6563">
        <w:rPr>
          <w:b/>
          <w:bCs/>
        </w:rPr>
        <w:t>Průběžná zpráva</w:t>
      </w:r>
      <w:r>
        <w:t>, která bude obsahovat analýzu procesů v předpokládaném rozsahu:</w:t>
      </w:r>
    </w:p>
    <w:p w14:paraId="56D1B274" w14:textId="77777777" w:rsidR="0068070D" w:rsidRDefault="0068070D" w:rsidP="00CC2DFC">
      <w:pPr>
        <w:pStyle w:val="Odstavecseseznamem"/>
        <w:numPr>
          <w:ilvl w:val="0"/>
          <w:numId w:val="15"/>
        </w:numPr>
        <w:spacing w:after="120" w:line="240" w:lineRule="auto"/>
        <w:ind w:left="709" w:hanging="357"/>
        <w:contextualSpacing w:val="0"/>
        <w:jc w:val="both"/>
      </w:pPr>
      <w:r w:rsidRPr="00EE0921">
        <w:rPr>
          <w:b/>
        </w:rPr>
        <w:t>Procesní mapa</w:t>
      </w:r>
      <w:r>
        <w:t xml:space="preserve"> – vymezení a popis procesů </w:t>
      </w:r>
      <w:r w:rsidRPr="00EE0921">
        <w:rPr>
          <w:b/>
        </w:rPr>
        <w:t>na straně implementační struktury</w:t>
      </w:r>
      <w:r>
        <w:t xml:space="preserve"> (ŘO a ZS), včetně jejich členění na procesy s vazbou na administraci projektů a bez ní;</w:t>
      </w:r>
    </w:p>
    <w:p w14:paraId="45B7ED9F" w14:textId="77777777" w:rsidR="0068070D" w:rsidRDefault="0068070D" w:rsidP="00CC2DFC">
      <w:pPr>
        <w:pStyle w:val="Odstavecseseznamem"/>
        <w:numPr>
          <w:ilvl w:val="0"/>
          <w:numId w:val="15"/>
        </w:numPr>
        <w:spacing w:after="120" w:line="240" w:lineRule="auto"/>
        <w:ind w:left="709" w:hanging="357"/>
        <w:contextualSpacing w:val="0"/>
        <w:jc w:val="both"/>
      </w:pPr>
      <w:r w:rsidRPr="00EE0921">
        <w:rPr>
          <w:b/>
        </w:rPr>
        <w:t>Procesní mapa</w:t>
      </w:r>
      <w:r>
        <w:t xml:space="preserve"> – vymezení a popis procesů </w:t>
      </w:r>
      <w:r w:rsidRPr="00EE0921">
        <w:rPr>
          <w:b/>
        </w:rPr>
        <w:t>na straně žadatelů a příjemců</w:t>
      </w:r>
      <w:r>
        <w:t>.</w:t>
      </w:r>
    </w:p>
    <w:p w14:paraId="3C23D2AA" w14:textId="77777777" w:rsidR="00E93F30" w:rsidRDefault="00483B86" w:rsidP="006C64A4">
      <w:pPr>
        <w:tabs>
          <w:tab w:val="left" w:pos="3435"/>
        </w:tabs>
        <w:spacing w:after="120" w:line="240" w:lineRule="auto"/>
        <w:jc w:val="both"/>
      </w:pPr>
      <w:r>
        <w:t>Pro návrh procesní mapy Dodavatel využije nástroj ARIS E</w:t>
      </w:r>
      <w:r w:rsidR="00E93F30">
        <w:t>xpress nebo obdobný modelovací software (ukázka výstupu níže).</w:t>
      </w:r>
    </w:p>
    <w:p w14:paraId="45559ECC" w14:textId="77777777" w:rsidR="004016AA" w:rsidRDefault="004016AA" w:rsidP="004016AA">
      <w:pPr>
        <w:pStyle w:val="Titulek"/>
        <w:jc w:val="center"/>
      </w:pPr>
      <w:bookmarkStart w:id="11" w:name="_Toc24384747"/>
      <w:r>
        <w:lastRenderedPageBreak/>
        <w:t xml:space="preserve">Obrázek </w:t>
      </w:r>
      <w:r>
        <w:fldChar w:fldCharType="begin"/>
      </w:r>
      <w:r>
        <w:instrText xml:space="preserve"> SEQ Obrázek \* ARABIC </w:instrText>
      </w:r>
      <w:r>
        <w:fldChar w:fldCharType="separate"/>
      </w:r>
      <w:r w:rsidR="00BE6947">
        <w:rPr>
          <w:noProof/>
        </w:rPr>
        <w:t>2</w:t>
      </w:r>
      <w:r>
        <w:fldChar w:fldCharType="end"/>
      </w:r>
      <w:r>
        <w:t xml:space="preserve">: </w:t>
      </w:r>
      <w:r w:rsidRPr="00243136">
        <w:t>Ukázka procesní mapy v nástroji Aris Express</w:t>
      </w:r>
      <w:bookmarkEnd w:id="11"/>
    </w:p>
    <w:p w14:paraId="00B9C630" w14:textId="77777777" w:rsidR="004016AA" w:rsidRDefault="00483B86" w:rsidP="004016AA">
      <w:pPr>
        <w:keepNext/>
        <w:tabs>
          <w:tab w:val="left" w:pos="3435"/>
        </w:tabs>
        <w:spacing w:after="120" w:line="240" w:lineRule="auto"/>
        <w:jc w:val="center"/>
      </w:pPr>
      <w:r w:rsidRPr="0004474D">
        <w:rPr>
          <w:noProof/>
          <w:lang w:eastAsia="cs-CZ"/>
        </w:rPr>
        <w:drawing>
          <wp:inline distT="0" distB="0" distL="0" distR="0" wp14:anchorId="01767C10" wp14:editId="39821927">
            <wp:extent cx="4621427" cy="4728901"/>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a:extLst>
                        <a:ext uri="{28A0092B-C50C-407E-A947-70E740481C1C}">
                          <a14:useLocalDpi xmlns:a14="http://schemas.microsoft.com/office/drawing/2010/main" val="0"/>
                        </a:ext>
                      </a:extLst>
                    </a:blip>
                    <a:srcRect r="438" b="19923"/>
                    <a:stretch/>
                  </pic:blipFill>
                  <pic:spPr bwMode="auto">
                    <a:xfrm>
                      <a:off x="0" y="0"/>
                      <a:ext cx="4626251" cy="4733837"/>
                    </a:xfrm>
                    <a:prstGeom prst="rect">
                      <a:avLst/>
                    </a:prstGeom>
                    <a:noFill/>
                    <a:ln>
                      <a:noFill/>
                    </a:ln>
                    <a:extLst>
                      <a:ext uri="{53640926-AAD7-44D8-BBD7-CCE9431645EC}">
                        <a14:shadowObscured xmlns:a14="http://schemas.microsoft.com/office/drawing/2010/main"/>
                      </a:ext>
                    </a:extLst>
                  </pic:spPr>
                </pic:pic>
              </a:graphicData>
            </a:graphic>
          </wp:inline>
        </w:drawing>
      </w:r>
    </w:p>
    <w:p w14:paraId="71F4DD40" w14:textId="77777777" w:rsidR="00E93F30" w:rsidRDefault="00E93F30" w:rsidP="006C64A4">
      <w:pPr>
        <w:tabs>
          <w:tab w:val="left" w:pos="3435"/>
        </w:tabs>
        <w:spacing w:after="120" w:line="240" w:lineRule="auto"/>
        <w:jc w:val="center"/>
      </w:pPr>
    </w:p>
    <w:p w14:paraId="59D8DAD5" w14:textId="77777777" w:rsidR="0068070D" w:rsidRDefault="0068070D" w:rsidP="006C64A4">
      <w:pPr>
        <w:tabs>
          <w:tab w:val="left" w:pos="3435"/>
        </w:tabs>
        <w:spacing w:after="120" w:line="240" w:lineRule="auto"/>
        <w:jc w:val="both"/>
      </w:pPr>
      <w:r w:rsidRPr="00EE0921">
        <w:rPr>
          <w:b/>
        </w:rPr>
        <w:t xml:space="preserve">Procesy </w:t>
      </w:r>
      <w:r w:rsidRPr="008224B1">
        <w:rPr>
          <w:b/>
        </w:rPr>
        <w:t xml:space="preserve">budou </w:t>
      </w:r>
      <w:r w:rsidR="006C64A4">
        <w:t xml:space="preserve">v souladu s požadavky Zadavatele </w:t>
      </w:r>
      <w:r w:rsidRPr="008224B1">
        <w:rPr>
          <w:b/>
        </w:rPr>
        <w:t>rozděleny do čtyř hlavních oblastí</w:t>
      </w:r>
      <w:r>
        <w:t>: Metodika, Implementace, Komunikace a Kontroly a nesrovnalosti. Pro každý proces bude uvedeno:</w:t>
      </w:r>
    </w:p>
    <w:p w14:paraId="6F50090C" w14:textId="77777777" w:rsidR="0068070D" w:rsidRDefault="0068070D" w:rsidP="00296304">
      <w:pPr>
        <w:pStyle w:val="Odstavecseseznamem"/>
        <w:numPr>
          <w:ilvl w:val="0"/>
          <w:numId w:val="14"/>
        </w:numPr>
        <w:tabs>
          <w:tab w:val="left" w:pos="3435"/>
        </w:tabs>
        <w:spacing w:after="120" w:line="240" w:lineRule="auto"/>
        <w:ind w:left="709"/>
        <w:contextualSpacing w:val="0"/>
        <w:jc w:val="both"/>
      </w:pPr>
      <w:r>
        <w:t>Zdroj, ze kterého proces vychází (metodologické dokumenty, legislativa, atd.);</w:t>
      </w:r>
    </w:p>
    <w:p w14:paraId="6C78123C" w14:textId="77777777" w:rsidR="0068070D" w:rsidRDefault="0068070D" w:rsidP="00296304">
      <w:pPr>
        <w:pStyle w:val="Odstavecseseznamem"/>
        <w:numPr>
          <w:ilvl w:val="0"/>
          <w:numId w:val="14"/>
        </w:numPr>
        <w:tabs>
          <w:tab w:val="left" w:pos="3435"/>
        </w:tabs>
        <w:spacing w:after="120" w:line="240" w:lineRule="auto"/>
        <w:ind w:left="709"/>
        <w:contextualSpacing w:val="0"/>
        <w:jc w:val="both"/>
      </w:pPr>
      <w:r>
        <w:t>Posouzení, zda realizace procesu odpovídá požadavkům;</w:t>
      </w:r>
    </w:p>
    <w:p w14:paraId="556071D2" w14:textId="77777777" w:rsidR="004016AA" w:rsidRDefault="0068070D" w:rsidP="004016AA">
      <w:pPr>
        <w:pStyle w:val="Odstavecseseznamem"/>
        <w:numPr>
          <w:ilvl w:val="0"/>
          <w:numId w:val="14"/>
        </w:numPr>
        <w:tabs>
          <w:tab w:val="left" w:pos="3435"/>
        </w:tabs>
        <w:spacing w:after="120" w:line="240" w:lineRule="auto"/>
        <w:ind w:left="709"/>
        <w:contextualSpacing w:val="0"/>
        <w:jc w:val="both"/>
      </w:pPr>
      <w:r>
        <w:t>Odpovědná pozice ŘO/ZS OP PIK za provádění procesu</w:t>
      </w:r>
      <w:r w:rsidR="00F85320">
        <w:t>.</w:t>
      </w:r>
    </w:p>
    <w:p w14:paraId="6FFB6006" w14:textId="77777777" w:rsidR="0068070D" w:rsidRDefault="004016AA" w:rsidP="004016AA">
      <w:pPr>
        <w:tabs>
          <w:tab w:val="left" w:pos="3435"/>
        </w:tabs>
        <w:spacing w:after="120" w:line="240" w:lineRule="auto"/>
        <w:jc w:val="both"/>
      </w:pPr>
      <w:r>
        <w:t>V této etapě budou využité zejména následující evaluační metody: Analýza sekundárních zdrojů (Desk research) a Individuální rozhovory s pracovníky implementační struktury odpovědnými za čtyři evaluační okruhy.</w:t>
      </w:r>
    </w:p>
    <w:p w14:paraId="199FC51C" w14:textId="77777777" w:rsidR="004016AA" w:rsidRPr="007A02BF" w:rsidRDefault="004016AA" w:rsidP="004016AA">
      <w:pPr>
        <w:spacing w:before="113" w:after="113" w:line="240" w:lineRule="auto"/>
        <w:jc w:val="both"/>
        <w:rPr>
          <w:rFonts w:asciiTheme="majorHAnsi" w:hAnsiTheme="majorHAnsi"/>
          <w:color w:val="00000A"/>
        </w:rPr>
      </w:pPr>
      <w:r w:rsidRPr="007A02BF">
        <w:rPr>
          <w:rFonts w:asciiTheme="majorHAnsi" w:hAnsiTheme="majorHAnsi"/>
          <w:color w:val="00000A"/>
        </w:rPr>
        <w:t xml:space="preserve">Za účelem akcelerace vymezení procesů </w:t>
      </w:r>
      <w:r w:rsidR="00C7039F">
        <w:rPr>
          <w:rFonts w:asciiTheme="majorHAnsi" w:hAnsiTheme="majorHAnsi"/>
          <w:color w:val="00000A"/>
        </w:rPr>
        <w:t>Dodavatel</w:t>
      </w:r>
      <w:r w:rsidRPr="007A02BF">
        <w:rPr>
          <w:rFonts w:asciiTheme="majorHAnsi" w:hAnsiTheme="majorHAnsi"/>
          <w:color w:val="00000A"/>
        </w:rPr>
        <w:t xml:space="preserve"> využije detailní znalost procesů v rámci OP PI</w:t>
      </w:r>
      <w:r>
        <w:rPr>
          <w:rFonts w:asciiTheme="majorHAnsi" w:hAnsiTheme="majorHAnsi"/>
          <w:color w:val="00000A"/>
        </w:rPr>
        <w:t>K</w:t>
      </w:r>
      <w:r w:rsidRPr="007A02BF">
        <w:rPr>
          <w:rFonts w:asciiTheme="majorHAnsi" w:hAnsiTheme="majorHAnsi"/>
          <w:color w:val="00000A"/>
        </w:rPr>
        <w:t xml:space="preserve"> získanou v průběhu zakázky „Evaluace procesů souvisejících s administrací žádostí o platbu včetně návrhu opatření směřujících k zvyšování jejich efektivnosti“. Součástí </w:t>
      </w:r>
      <w:r>
        <w:rPr>
          <w:rFonts w:asciiTheme="majorHAnsi" w:hAnsiTheme="majorHAnsi"/>
          <w:color w:val="00000A"/>
        </w:rPr>
        <w:t xml:space="preserve">evaluace </w:t>
      </w:r>
      <w:r w:rsidRPr="007A02BF">
        <w:rPr>
          <w:rFonts w:asciiTheme="majorHAnsi" w:hAnsiTheme="majorHAnsi"/>
          <w:color w:val="00000A"/>
        </w:rPr>
        <w:t>v II. etapě je i zodpovězení evaluační otázky</w:t>
      </w:r>
      <w:r>
        <w:rPr>
          <w:rFonts w:asciiTheme="majorHAnsi" w:hAnsiTheme="majorHAnsi"/>
          <w:color w:val="00000A"/>
        </w:rPr>
        <w:t xml:space="preserve"> </w:t>
      </w:r>
      <w:r w:rsidRPr="007A02BF">
        <w:rPr>
          <w:rFonts w:asciiTheme="majorHAnsi" w:hAnsiTheme="majorHAnsi"/>
          <w:color w:val="00000A"/>
        </w:rPr>
        <w:footnoteReference w:id="3"/>
      </w:r>
      <w:r w:rsidRPr="007A02BF">
        <w:rPr>
          <w:rFonts w:asciiTheme="majorHAnsi" w:hAnsiTheme="majorHAnsi"/>
          <w:color w:val="00000A"/>
        </w:rPr>
        <w:t xml:space="preserve">, zda skutečnost realizace procesů odpovídá postupům v uvedených dokumentech. </w:t>
      </w:r>
      <w:r w:rsidR="00C7039F">
        <w:rPr>
          <w:rFonts w:asciiTheme="majorHAnsi" w:hAnsiTheme="majorHAnsi"/>
          <w:color w:val="00000A"/>
        </w:rPr>
        <w:t>Dodavatel</w:t>
      </w:r>
      <w:r w:rsidRPr="007A02BF">
        <w:rPr>
          <w:rFonts w:asciiTheme="majorHAnsi" w:hAnsiTheme="majorHAnsi"/>
          <w:color w:val="00000A"/>
        </w:rPr>
        <w:t xml:space="preserve"> se domnívá, že tuto otázku lze předběžně zodpovědět na základě rozhovorů s pracovníky ŘO/ZS, a v případě potřeby může být doplněna na základě zjištění získaných evaluačními metodami ve III. etapě.</w:t>
      </w:r>
    </w:p>
    <w:p w14:paraId="215991A0" w14:textId="77777777" w:rsidR="004016AA" w:rsidRPr="007A02BF" w:rsidRDefault="004016AA" w:rsidP="004016AA">
      <w:pPr>
        <w:spacing w:before="113" w:after="113" w:line="240" w:lineRule="auto"/>
        <w:jc w:val="both"/>
        <w:rPr>
          <w:rFonts w:asciiTheme="majorHAnsi" w:hAnsiTheme="majorHAnsi"/>
          <w:color w:val="00000A"/>
        </w:rPr>
      </w:pPr>
      <w:r>
        <w:rPr>
          <w:rFonts w:asciiTheme="majorHAnsi" w:hAnsiTheme="majorHAnsi"/>
          <w:color w:val="00000A"/>
        </w:rPr>
        <w:t>Cílová skupina</w:t>
      </w:r>
      <w:r w:rsidRPr="007A02BF">
        <w:rPr>
          <w:rFonts w:asciiTheme="majorHAnsi" w:hAnsiTheme="majorHAnsi"/>
          <w:color w:val="00000A"/>
        </w:rPr>
        <w:t xml:space="preserve"> žadatelů a příjemců </w:t>
      </w:r>
      <w:r>
        <w:rPr>
          <w:rFonts w:asciiTheme="majorHAnsi" w:hAnsiTheme="majorHAnsi"/>
          <w:color w:val="00000A"/>
        </w:rPr>
        <w:t>bude oslovena až v následující</w:t>
      </w:r>
      <w:r w:rsidRPr="007A02BF">
        <w:rPr>
          <w:rFonts w:asciiTheme="majorHAnsi" w:hAnsiTheme="majorHAnsi"/>
          <w:color w:val="00000A"/>
        </w:rPr>
        <w:t xml:space="preserve"> fázi. Není příliš žádoucí zatěžovat žadatele/příjemce dotazníkovým šetřením či dalšími formami výzkumu opakovaně, protože se tím výrazně snižuje výtěžnost informací.</w:t>
      </w:r>
    </w:p>
    <w:p w14:paraId="0434616C" w14:textId="77777777" w:rsidR="0068070D" w:rsidRPr="00CC2DFC" w:rsidRDefault="0068070D" w:rsidP="00CC2DFC">
      <w:pPr>
        <w:pStyle w:val="Odstavecseseznamem"/>
        <w:keepNext/>
        <w:numPr>
          <w:ilvl w:val="0"/>
          <w:numId w:val="8"/>
        </w:numPr>
        <w:spacing w:after="120" w:line="240" w:lineRule="auto"/>
        <w:ind w:left="426" w:hanging="426"/>
        <w:contextualSpacing w:val="0"/>
        <w:jc w:val="both"/>
        <w:rPr>
          <w:b/>
          <w:color w:val="012169" w:themeColor="accent4"/>
        </w:rPr>
      </w:pPr>
      <w:r w:rsidRPr="00CC2DFC">
        <w:rPr>
          <w:b/>
          <w:color w:val="012169" w:themeColor="accent4"/>
        </w:rPr>
        <w:lastRenderedPageBreak/>
        <w:t>etapa: Závěrečná zpráva</w:t>
      </w:r>
    </w:p>
    <w:p w14:paraId="688A2BD9" w14:textId="77777777" w:rsidR="0068070D" w:rsidRDefault="0068070D" w:rsidP="006C64A4">
      <w:pPr>
        <w:spacing w:after="120" w:line="240" w:lineRule="auto"/>
      </w:pPr>
      <w:r>
        <w:t>V</w:t>
      </w:r>
      <w:r w:rsidR="00E532C2">
        <w:t> této fázi budou</w:t>
      </w:r>
      <w:r>
        <w:t xml:space="preserve"> realizované následující aktivity:</w:t>
      </w:r>
    </w:p>
    <w:p w14:paraId="17C105D7" w14:textId="77777777" w:rsidR="0068070D" w:rsidRPr="00860214" w:rsidRDefault="00E532C2" w:rsidP="00CC2DFC">
      <w:pPr>
        <w:pStyle w:val="Odstavecseseznamem"/>
        <w:numPr>
          <w:ilvl w:val="0"/>
          <w:numId w:val="14"/>
        </w:numPr>
        <w:tabs>
          <w:tab w:val="left" w:pos="3435"/>
        </w:tabs>
        <w:spacing w:after="120" w:line="240" w:lineRule="auto"/>
        <w:ind w:left="709"/>
        <w:contextualSpacing w:val="0"/>
        <w:jc w:val="both"/>
        <w:rPr>
          <w:b/>
        </w:rPr>
      </w:pPr>
      <w:r w:rsidRPr="00860214">
        <w:rPr>
          <w:b/>
        </w:rPr>
        <w:t>Kvantitativní analýza procesů</w:t>
      </w:r>
      <w:r w:rsidR="0068070D" w:rsidRPr="00860214">
        <w:rPr>
          <w:b/>
        </w:rPr>
        <w:t xml:space="preserve"> </w:t>
      </w:r>
    </w:p>
    <w:p w14:paraId="6309D30F" w14:textId="5386A010" w:rsidR="00E532C2" w:rsidRDefault="00E532C2" w:rsidP="00EE0921">
      <w:pPr>
        <w:pStyle w:val="Odstavecseseznamem"/>
        <w:numPr>
          <w:ilvl w:val="1"/>
          <w:numId w:val="13"/>
        </w:numPr>
        <w:spacing w:after="120" w:line="240" w:lineRule="auto"/>
        <w:ind w:left="1418"/>
        <w:contextualSpacing w:val="0"/>
        <w:jc w:val="both"/>
      </w:pPr>
      <w:r>
        <w:t xml:space="preserve">Výstupem bude </w:t>
      </w:r>
      <w:r w:rsidRPr="00860214">
        <w:rPr>
          <w:u w:val="single"/>
        </w:rPr>
        <w:t>procesní mapa</w:t>
      </w:r>
      <w:r>
        <w:t xml:space="preserve"> z Průběžné zprávy, která bud</w:t>
      </w:r>
      <w:r w:rsidR="002F4628">
        <w:t>e na základě analýzy doplněná o </w:t>
      </w:r>
      <w:r>
        <w:t>i</w:t>
      </w:r>
      <w:r w:rsidRPr="00AD6B67">
        <w:t>dentifikaci transakčních bodů</w:t>
      </w:r>
      <w:r w:rsidRPr="00EE0921">
        <w:rPr>
          <w:sz w:val="16"/>
          <w:szCs w:val="16"/>
          <w:vertAlign w:val="superscript"/>
        </w:rPr>
        <w:footnoteReference w:id="4"/>
      </w:r>
      <w:r w:rsidRPr="00AD6B67">
        <w:t xml:space="preserve"> (VGM)</w:t>
      </w:r>
      <w:r>
        <w:t>, č</w:t>
      </w:r>
      <w:r w:rsidRPr="00AD6B67">
        <w:t>etnost</w:t>
      </w:r>
      <w:r>
        <w:t>, n</w:t>
      </w:r>
      <w:r w:rsidRPr="00E532C2">
        <w:rPr>
          <w:szCs w:val="18"/>
        </w:rPr>
        <w:t>áročnost (finanční/lidskou/</w:t>
      </w:r>
      <w:r w:rsidR="002F4628">
        <w:rPr>
          <w:szCs w:val="18"/>
        </w:rPr>
        <w:t>časovou) a </w:t>
      </w:r>
      <w:r w:rsidRPr="00E532C2">
        <w:rPr>
          <w:szCs w:val="18"/>
        </w:rPr>
        <w:t>úspěšnost (počet opakování procesu, využití opravných prostředků, chybovost)</w:t>
      </w:r>
      <w:r>
        <w:rPr>
          <w:szCs w:val="18"/>
        </w:rPr>
        <w:t xml:space="preserve"> procesů</w:t>
      </w:r>
      <w:r w:rsidR="00BA1CB5">
        <w:rPr>
          <w:szCs w:val="18"/>
        </w:rPr>
        <w:t xml:space="preserve">, budou-li </w:t>
      </w:r>
      <w:r w:rsidR="00131C27">
        <w:rPr>
          <w:szCs w:val="18"/>
        </w:rPr>
        <w:t xml:space="preserve">Dodavateli poskytnuta </w:t>
      </w:r>
      <w:r w:rsidR="00BA1CB5">
        <w:rPr>
          <w:szCs w:val="18"/>
        </w:rPr>
        <w:t>veškerá potřebná data</w:t>
      </w:r>
      <w:r w:rsidR="00860214">
        <w:rPr>
          <w:szCs w:val="18"/>
        </w:rPr>
        <w:t>.</w:t>
      </w:r>
      <w:r w:rsidRPr="00E532C2">
        <w:rPr>
          <w:szCs w:val="18"/>
        </w:rPr>
        <w:t xml:space="preserve"> </w:t>
      </w:r>
    </w:p>
    <w:p w14:paraId="0AF2CB02" w14:textId="77777777" w:rsidR="0068070D" w:rsidRPr="00EE0921" w:rsidRDefault="00E532C2" w:rsidP="00EE0921">
      <w:pPr>
        <w:pStyle w:val="Odstavecseseznamem"/>
        <w:numPr>
          <w:ilvl w:val="0"/>
          <w:numId w:val="14"/>
        </w:numPr>
        <w:tabs>
          <w:tab w:val="left" w:pos="3435"/>
        </w:tabs>
        <w:spacing w:after="120" w:line="240" w:lineRule="auto"/>
        <w:ind w:left="709"/>
        <w:contextualSpacing w:val="0"/>
        <w:jc w:val="both"/>
        <w:rPr>
          <w:b/>
        </w:rPr>
      </w:pPr>
      <w:r w:rsidRPr="00EE0921">
        <w:rPr>
          <w:b/>
        </w:rPr>
        <w:t>Hodnocení procesů (metodou Vanguard)</w:t>
      </w:r>
      <w:r w:rsidR="00F85320">
        <w:rPr>
          <w:b/>
        </w:rPr>
        <w:t xml:space="preserve"> = Kvalitativní analýza procesů</w:t>
      </w:r>
    </w:p>
    <w:p w14:paraId="1F62B610" w14:textId="77777777" w:rsidR="00AD6B67" w:rsidRPr="00013225" w:rsidRDefault="00860214" w:rsidP="00CC2DFC">
      <w:pPr>
        <w:numPr>
          <w:ilvl w:val="1"/>
          <w:numId w:val="13"/>
        </w:numPr>
        <w:spacing w:after="120" w:line="240" w:lineRule="auto"/>
        <w:ind w:left="1418"/>
        <w:jc w:val="both"/>
        <w:rPr>
          <w:szCs w:val="18"/>
        </w:rPr>
      </w:pPr>
      <w:r w:rsidRPr="00EE0921">
        <w:rPr>
          <w:szCs w:val="18"/>
        </w:rPr>
        <w:t xml:space="preserve">Dodavatel </w:t>
      </w:r>
      <w:r>
        <w:rPr>
          <w:szCs w:val="18"/>
          <w:u w:val="single"/>
        </w:rPr>
        <w:t>i</w:t>
      </w:r>
      <w:r w:rsidR="00E532C2" w:rsidRPr="00860214">
        <w:rPr>
          <w:szCs w:val="18"/>
          <w:u w:val="single"/>
        </w:rPr>
        <w:t>dentifik</w:t>
      </w:r>
      <w:r>
        <w:rPr>
          <w:szCs w:val="18"/>
          <w:u w:val="single"/>
        </w:rPr>
        <w:t>uje</w:t>
      </w:r>
      <w:r w:rsidR="00AD6B67" w:rsidRPr="00860214">
        <w:rPr>
          <w:szCs w:val="18"/>
          <w:u w:val="single"/>
        </w:rPr>
        <w:t xml:space="preserve"> tzv. </w:t>
      </w:r>
      <w:r w:rsidR="00E532C2" w:rsidRPr="00860214">
        <w:rPr>
          <w:szCs w:val="18"/>
          <w:u w:val="single"/>
        </w:rPr>
        <w:t>dobr</w:t>
      </w:r>
      <w:r>
        <w:rPr>
          <w:szCs w:val="18"/>
          <w:u w:val="single"/>
        </w:rPr>
        <w:t>ou</w:t>
      </w:r>
      <w:r w:rsidR="00AD6B67" w:rsidRPr="00860214">
        <w:rPr>
          <w:szCs w:val="18"/>
          <w:u w:val="single"/>
        </w:rPr>
        <w:t xml:space="preserve"> </w:t>
      </w:r>
      <w:r w:rsidR="00E532C2" w:rsidRPr="00860214">
        <w:rPr>
          <w:szCs w:val="18"/>
          <w:u w:val="single"/>
        </w:rPr>
        <w:t>a špatn</w:t>
      </w:r>
      <w:r>
        <w:rPr>
          <w:szCs w:val="18"/>
          <w:u w:val="single"/>
        </w:rPr>
        <w:t>ou</w:t>
      </w:r>
      <w:r w:rsidR="00E532C2" w:rsidRPr="00860214">
        <w:rPr>
          <w:szCs w:val="18"/>
          <w:u w:val="single"/>
        </w:rPr>
        <w:t xml:space="preserve"> poptávk</w:t>
      </w:r>
      <w:r>
        <w:rPr>
          <w:szCs w:val="18"/>
          <w:u w:val="single"/>
        </w:rPr>
        <w:t>u</w:t>
      </w:r>
      <w:r w:rsidR="00AD6B67">
        <w:rPr>
          <w:szCs w:val="18"/>
        </w:rPr>
        <w:t xml:space="preserve">, </w:t>
      </w:r>
      <w:r>
        <w:rPr>
          <w:szCs w:val="18"/>
        </w:rPr>
        <w:t>tzn.</w:t>
      </w:r>
      <w:r w:rsidR="00F85320">
        <w:rPr>
          <w:szCs w:val="18"/>
        </w:rPr>
        <w:t xml:space="preserve"> </w:t>
      </w:r>
      <w:r>
        <w:rPr>
          <w:szCs w:val="18"/>
        </w:rPr>
        <w:t>vy</w:t>
      </w:r>
      <w:r w:rsidR="00E532C2">
        <w:rPr>
          <w:szCs w:val="18"/>
        </w:rPr>
        <w:t>hodno</w:t>
      </w:r>
      <w:r>
        <w:rPr>
          <w:szCs w:val="18"/>
        </w:rPr>
        <w:t>t</w:t>
      </w:r>
      <w:r w:rsidR="00E532C2">
        <w:rPr>
          <w:szCs w:val="18"/>
        </w:rPr>
        <w:t xml:space="preserve">í </w:t>
      </w:r>
      <w:r w:rsidR="00AD6B67">
        <w:rPr>
          <w:szCs w:val="18"/>
        </w:rPr>
        <w:t>přehlednost, srozumitelnost a stálost metodického prostředí a implementační struktury</w:t>
      </w:r>
      <w:r>
        <w:rPr>
          <w:szCs w:val="18"/>
        </w:rPr>
        <w:t>.</w:t>
      </w:r>
    </w:p>
    <w:p w14:paraId="28EF4F58" w14:textId="77777777" w:rsidR="00AD6B67" w:rsidRDefault="00860214" w:rsidP="00CC2DFC">
      <w:pPr>
        <w:numPr>
          <w:ilvl w:val="1"/>
          <w:numId w:val="13"/>
        </w:numPr>
        <w:spacing w:after="120" w:line="240" w:lineRule="auto"/>
        <w:ind w:left="1418"/>
        <w:jc w:val="both"/>
        <w:rPr>
          <w:szCs w:val="18"/>
        </w:rPr>
      </w:pPr>
      <w:r>
        <w:rPr>
          <w:szCs w:val="18"/>
        </w:rPr>
        <w:t>Bude p</w:t>
      </w:r>
      <w:r w:rsidR="00E532C2">
        <w:rPr>
          <w:szCs w:val="18"/>
        </w:rPr>
        <w:t>osouzen</w:t>
      </w:r>
      <w:r>
        <w:rPr>
          <w:szCs w:val="18"/>
        </w:rPr>
        <w:t>a</w:t>
      </w:r>
      <w:r w:rsidR="00AD6B67">
        <w:rPr>
          <w:szCs w:val="18"/>
        </w:rPr>
        <w:t xml:space="preserve"> schopnost implementační struktury efektivně reagovat na poptávku</w:t>
      </w:r>
      <w:r>
        <w:rPr>
          <w:szCs w:val="18"/>
        </w:rPr>
        <w:t>.</w:t>
      </w:r>
    </w:p>
    <w:p w14:paraId="7FC39A0A" w14:textId="77777777" w:rsidR="00AD6B67" w:rsidRDefault="00860214" w:rsidP="00CC2DFC">
      <w:pPr>
        <w:numPr>
          <w:ilvl w:val="1"/>
          <w:numId w:val="13"/>
        </w:numPr>
        <w:spacing w:after="120" w:line="240" w:lineRule="auto"/>
        <w:ind w:left="1418"/>
        <w:jc w:val="both"/>
        <w:rPr>
          <w:szCs w:val="18"/>
        </w:rPr>
      </w:pPr>
      <w:r>
        <w:rPr>
          <w:szCs w:val="18"/>
        </w:rPr>
        <w:t>Dodavatel i</w:t>
      </w:r>
      <w:r w:rsidR="00E532C2">
        <w:rPr>
          <w:szCs w:val="18"/>
        </w:rPr>
        <w:t>dentifik</w:t>
      </w:r>
      <w:r>
        <w:rPr>
          <w:szCs w:val="18"/>
        </w:rPr>
        <w:t>uje</w:t>
      </w:r>
      <w:r w:rsidR="00E532C2">
        <w:rPr>
          <w:szCs w:val="18"/>
        </w:rPr>
        <w:t xml:space="preserve"> proces</w:t>
      </w:r>
      <w:r>
        <w:rPr>
          <w:szCs w:val="18"/>
        </w:rPr>
        <w:t>y</w:t>
      </w:r>
      <w:r w:rsidR="00E532C2">
        <w:rPr>
          <w:szCs w:val="18"/>
        </w:rPr>
        <w:t xml:space="preserve"> s přidanou hodnotou a proces</w:t>
      </w:r>
      <w:r>
        <w:rPr>
          <w:szCs w:val="18"/>
        </w:rPr>
        <w:t>y</w:t>
      </w:r>
      <w:r w:rsidR="00AD6B67">
        <w:rPr>
          <w:szCs w:val="18"/>
        </w:rPr>
        <w:t xml:space="preserve"> administrativní (podle metody V</w:t>
      </w:r>
      <w:r w:rsidR="00E532C2">
        <w:rPr>
          <w:szCs w:val="18"/>
        </w:rPr>
        <w:t>GM tzv. „zbytečn</w:t>
      </w:r>
      <w:r>
        <w:rPr>
          <w:szCs w:val="18"/>
        </w:rPr>
        <w:t>é</w:t>
      </w:r>
      <w:r w:rsidR="00AD6B67">
        <w:rPr>
          <w:szCs w:val="18"/>
        </w:rPr>
        <w:t>“)</w:t>
      </w:r>
      <w:r>
        <w:rPr>
          <w:szCs w:val="18"/>
        </w:rPr>
        <w:t>.</w:t>
      </w:r>
    </w:p>
    <w:p w14:paraId="0DF95EE2" w14:textId="77777777" w:rsidR="00AD6B67" w:rsidRPr="00AD6B67" w:rsidRDefault="00860214" w:rsidP="00CC2DFC">
      <w:pPr>
        <w:numPr>
          <w:ilvl w:val="1"/>
          <w:numId w:val="13"/>
        </w:numPr>
        <w:spacing w:after="120" w:line="240" w:lineRule="auto"/>
        <w:ind w:left="1418"/>
        <w:jc w:val="both"/>
        <w:rPr>
          <w:szCs w:val="18"/>
        </w:rPr>
      </w:pPr>
      <w:r>
        <w:rPr>
          <w:szCs w:val="18"/>
        </w:rPr>
        <w:t>Budou v</w:t>
      </w:r>
      <w:r w:rsidR="00E532C2">
        <w:rPr>
          <w:szCs w:val="18"/>
        </w:rPr>
        <w:t>yhodnocen</w:t>
      </w:r>
      <w:r>
        <w:rPr>
          <w:szCs w:val="18"/>
        </w:rPr>
        <w:t>y</w:t>
      </w:r>
      <w:r w:rsidR="00AD6B67">
        <w:rPr>
          <w:szCs w:val="18"/>
        </w:rPr>
        <w:t xml:space="preserve"> zkušenost</w:t>
      </w:r>
      <w:r>
        <w:rPr>
          <w:szCs w:val="18"/>
        </w:rPr>
        <w:t>i</w:t>
      </w:r>
      <w:r w:rsidR="00AD6B67">
        <w:rPr>
          <w:szCs w:val="18"/>
        </w:rPr>
        <w:t xml:space="preserve"> cílových skupin s poskytovanými službami</w:t>
      </w:r>
      <w:r>
        <w:rPr>
          <w:szCs w:val="18"/>
        </w:rPr>
        <w:t>.</w:t>
      </w:r>
    </w:p>
    <w:p w14:paraId="32B9B149" w14:textId="77777777" w:rsidR="0068070D" w:rsidRPr="00EE0921" w:rsidRDefault="0068070D" w:rsidP="00EE0921">
      <w:pPr>
        <w:pStyle w:val="Odstavecseseznamem"/>
        <w:numPr>
          <w:ilvl w:val="0"/>
          <w:numId w:val="14"/>
        </w:numPr>
        <w:tabs>
          <w:tab w:val="left" w:pos="3435"/>
        </w:tabs>
        <w:spacing w:after="120" w:line="240" w:lineRule="auto"/>
        <w:ind w:left="709"/>
        <w:contextualSpacing w:val="0"/>
        <w:jc w:val="both"/>
        <w:rPr>
          <w:b/>
        </w:rPr>
      </w:pPr>
      <w:r w:rsidRPr="00EE0921">
        <w:rPr>
          <w:b/>
        </w:rPr>
        <w:t>Identifikace změn, návrh optimalizačních opa</w:t>
      </w:r>
      <w:r w:rsidR="00E532C2" w:rsidRPr="00EE0921">
        <w:rPr>
          <w:b/>
        </w:rPr>
        <w:t>tření a systémových doporučení</w:t>
      </w:r>
    </w:p>
    <w:p w14:paraId="18D3054E" w14:textId="77777777" w:rsidR="00E532C2" w:rsidRPr="00860214" w:rsidRDefault="00E532C2" w:rsidP="00BA1CB5">
      <w:pPr>
        <w:pStyle w:val="Odstavecseseznamem"/>
        <w:numPr>
          <w:ilvl w:val="1"/>
          <w:numId w:val="13"/>
        </w:numPr>
        <w:spacing w:after="120" w:line="240" w:lineRule="auto"/>
        <w:ind w:left="1418"/>
        <w:contextualSpacing w:val="0"/>
        <w:jc w:val="both"/>
        <w:rPr>
          <w:szCs w:val="18"/>
        </w:rPr>
      </w:pPr>
      <w:r w:rsidRPr="00E532C2">
        <w:rPr>
          <w:szCs w:val="18"/>
        </w:rPr>
        <w:t xml:space="preserve">Dodavatel vytvoří </w:t>
      </w:r>
      <w:r w:rsidRPr="00860214">
        <w:rPr>
          <w:szCs w:val="18"/>
          <w:u w:val="single"/>
        </w:rPr>
        <w:t>seznam procesů</w:t>
      </w:r>
      <w:r w:rsidRPr="00E532C2">
        <w:rPr>
          <w:szCs w:val="18"/>
        </w:rPr>
        <w:t>, u kterých navrhne</w:t>
      </w:r>
      <w:r w:rsidR="00860214">
        <w:rPr>
          <w:szCs w:val="18"/>
        </w:rPr>
        <w:t xml:space="preserve"> případná z</w:t>
      </w:r>
      <w:r w:rsidRPr="00860214">
        <w:rPr>
          <w:szCs w:val="18"/>
        </w:rPr>
        <w:t>rušení procesu</w:t>
      </w:r>
      <w:r w:rsidR="00860214">
        <w:rPr>
          <w:szCs w:val="18"/>
        </w:rPr>
        <w:t>, z</w:t>
      </w:r>
      <w:r w:rsidRPr="00860214">
        <w:rPr>
          <w:szCs w:val="18"/>
        </w:rPr>
        <w:t>měny procesu</w:t>
      </w:r>
      <w:r w:rsidR="00860214">
        <w:rPr>
          <w:szCs w:val="18"/>
        </w:rPr>
        <w:t xml:space="preserve"> a/nebo v</w:t>
      </w:r>
      <w:r w:rsidRPr="00860214">
        <w:rPr>
          <w:szCs w:val="18"/>
        </w:rPr>
        <w:t>ytvoření nového procesu</w:t>
      </w:r>
      <w:r w:rsidR="00BA1CB5">
        <w:rPr>
          <w:szCs w:val="18"/>
        </w:rPr>
        <w:t>.</w:t>
      </w:r>
    </w:p>
    <w:p w14:paraId="727F3542" w14:textId="77777777" w:rsidR="00E532C2" w:rsidRDefault="00E532C2" w:rsidP="00EE0921">
      <w:pPr>
        <w:numPr>
          <w:ilvl w:val="1"/>
          <w:numId w:val="13"/>
        </w:numPr>
        <w:spacing w:after="120" w:line="240" w:lineRule="auto"/>
        <w:ind w:left="1418"/>
        <w:jc w:val="both"/>
        <w:rPr>
          <w:szCs w:val="18"/>
        </w:rPr>
      </w:pPr>
      <w:r>
        <w:rPr>
          <w:szCs w:val="18"/>
        </w:rPr>
        <w:t xml:space="preserve">Dodavatel dodá </w:t>
      </w:r>
      <w:r w:rsidRPr="00E532C2">
        <w:rPr>
          <w:szCs w:val="18"/>
          <w:u w:val="single"/>
        </w:rPr>
        <w:t>soubor optimalizačních opatření</w:t>
      </w:r>
      <w:r w:rsidRPr="00B7564E">
        <w:rPr>
          <w:szCs w:val="18"/>
        </w:rPr>
        <w:t>, k</w:t>
      </w:r>
      <w:r w:rsidR="00BA1CB5">
        <w:rPr>
          <w:szCs w:val="18"/>
        </w:rPr>
        <w:t xml:space="preserve">terá budou </w:t>
      </w:r>
      <w:r w:rsidR="00BA1CB5" w:rsidRPr="00BA1CB5">
        <w:rPr>
          <w:szCs w:val="18"/>
        </w:rPr>
        <w:t>seřazena na matici náročnost (finanční – časová) a potenciál</w:t>
      </w:r>
      <w:r w:rsidR="00BA1CB5">
        <w:rPr>
          <w:szCs w:val="18"/>
        </w:rPr>
        <w:t>.</w:t>
      </w:r>
      <w:r w:rsidR="00BA1CB5" w:rsidRPr="00B7564E" w:rsidDel="00BA1CB5">
        <w:rPr>
          <w:szCs w:val="18"/>
        </w:rPr>
        <w:t xml:space="preserve"> </w:t>
      </w:r>
    </w:p>
    <w:p w14:paraId="152B2076" w14:textId="77777777" w:rsidR="00E532C2" w:rsidRPr="00E532C2" w:rsidRDefault="00375FBE" w:rsidP="00EE0921">
      <w:pPr>
        <w:numPr>
          <w:ilvl w:val="1"/>
          <w:numId w:val="13"/>
        </w:numPr>
        <w:spacing w:after="120" w:line="240" w:lineRule="auto"/>
        <w:ind w:left="1418" w:hanging="357"/>
        <w:jc w:val="both"/>
        <w:rPr>
          <w:szCs w:val="18"/>
          <w:u w:val="single"/>
        </w:rPr>
      </w:pPr>
      <w:r w:rsidRPr="00EE0921">
        <w:rPr>
          <w:szCs w:val="18"/>
        </w:rPr>
        <w:t>Dodavatel vytvoří</w:t>
      </w:r>
      <w:r>
        <w:rPr>
          <w:szCs w:val="18"/>
          <w:u w:val="single"/>
        </w:rPr>
        <w:t xml:space="preserve"> s</w:t>
      </w:r>
      <w:r w:rsidR="00E532C2" w:rsidRPr="00E532C2">
        <w:rPr>
          <w:szCs w:val="18"/>
          <w:u w:val="single"/>
        </w:rPr>
        <w:t>oubor doporučení k vytvoření systémových podmínek</w:t>
      </w:r>
      <w:r w:rsidR="00C51E07">
        <w:rPr>
          <w:szCs w:val="18"/>
          <w:u w:val="single"/>
        </w:rPr>
        <w:t>.</w:t>
      </w:r>
    </w:p>
    <w:p w14:paraId="32890F88" w14:textId="77777777" w:rsidR="00F85320" w:rsidRDefault="00E532C2" w:rsidP="00F85320">
      <w:pPr>
        <w:spacing w:after="120" w:line="240" w:lineRule="auto"/>
      </w:pPr>
      <w:r>
        <w:t>Vypracovaná Závěrečná zpráva bude obsahovat všechny výše uvedené výstupy a zjištění.</w:t>
      </w:r>
      <w:r w:rsidR="00C51E07">
        <w:t xml:space="preserve"> </w:t>
      </w:r>
      <w:bookmarkStart w:id="12" w:name="_Toc23859688"/>
      <w:bookmarkStart w:id="13" w:name="_Toc24017281"/>
      <w:bookmarkEnd w:id="12"/>
      <w:bookmarkEnd w:id="13"/>
    </w:p>
    <w:p w14:paraId="4F25A4E1" w14:textId="77777777" w:rsidR="00933261" w:rsidRPr="00933261" w:rsidRDefault="00933261" w:rsidP="00097663">
      <w:pPr>
        <w:pStyle w:val="Nadpis2"/>
        <w:ind w:left="567" w:hanging="567"/>
      </w:pPr>
      <w:bookmarkStart w:id="14" w:name="_Toc25228647"/>
      <w:r>
        <w:t>Výběr evaluačních metod pro realizaci Projektu</w:t>
      </w:r>
      <w:bookmarkEnd w:id="14"/>
    </w:p>
    <w:p w14:paraId="723328B9" w14:textId="6EB7680A" w:rsidR="00933261" w:rsidRPr="00AE72FB" w:rsidRDefault="00933261" w:rsidP="002318FD">
      <w:pPr>
        <w:spacing w:after="120" w:line="240" w:lineRule="auto"/>
        <w:jc w:val="both"/>
      </w:pPr>
      <w:r w:rsidRPr="00F27C25">
        <w:t>Dodavatel bude</w:t>
      </w:r>
      <w:r>
        <w:t xml:space="preserve"> v </w:t>
      </w:r>
      <w:r w:rsidRPr="00F27C25">
        <w:t>rámci evaluace využívat řadu kvalitativních</w:t>
      </w:r>
      <w:r>
        <w:t xml:space="preserve"> a </w:t>
      </w:r>
      <w:r w:rsidRPr="00F27C25">
        <w:t>kvantitativních metod sběru</w:t>
      </w:r>
      <w:r>
        <w:t xml:space="preserve"> a </w:t>
      </w:r>
      <w:r w:rsidRPr="00F27C25">
        <w:t>analýzy dat,</w:t>
      </w:r>
      <w:r>
        <w:t xml:space="preserve"> s </w:t>
      </w:r>
      <w:r w:rsidRPr="00F27C25">
        <w:t>jejichž aplikací má rozsáhlé zkušenosti</w:t>
      </w:r>
      <w:r>
        <w:t xml:space="preserve"> z</w:t>
      </w:r>
      <w:r w:rsidR="00AF4DB7">
        <w:t> procesních evaluací</w:t>
      </w:r>
      <w:r w:rsidRPr="00F27C25">
        <w:t xml:space="preserve"> realizovaných pro řadu řídících orgánů</w:t>
      </w:r>
      <w:r>
        <w:t xml:space="preserve"> v </w:t>
      </w:r>
      <w:r w:rsidRPr="00F27C25">
        <w:t>minulosti. Při návrhu</w:t>
      </w:r>
      <w:r>
        <w:t xml:space="preserve"> a </w:t>
      </w:r>
      <w:r w:rsidRPr="00F27C25">
        <w:t>aplikaci metod vycházel</w:t>
      </w:r>
      <w:r>
        <w:t xml:space="preserve"> z</w:t>
      </w:r>
      <w:r w:rsidR="00AF4DB7">
        <w:t xml:space="preserve"> metody Vanguard, </w:t>
      </w:r>
      <w:r w:rsidRPr="00AE72FB">
        <w:t>rozsáhlé znalosti o problematice jednotlivých podporovaných sektorů OP PIK</w:t>
      </w:r>
      <w:r>
        <w:t xml:space="preserve"> a z </w:t>
      </w:r>
      <w:r w:rsidRPr="00F27C25">
        <w:t>relevantní odborné literatury.</w:t>
      </w:r>
      <w:r w:rsidR="001848A0">
        <w:t xml:space="preserve"> Přehled všech navrhovaných evaluačních metod</w:t>
      </w:r>
      <w:r w:rsidR="00097663">
        <w:t xml:space="preserve">, </w:t>
      </w:r>
      <w:r w:rsidR="00097663" w:rsidRPr="00097663">
        <w:t>včetně vymezení výhod, limitů a nevýhod a opatření k eliminaci limitů</w:t>
      </w:r>
      <w:r w:rsidR="00CC6605">
        <w:t>,</w:t>
      </w:r>
      <w:r w:rsidR="001848A0">
        <w:t xml:space="preserve"> je součástí Přílohy 3 tohoto dokumentu.</w:t>
      </w:r>
    </w:p>
    <w:p w14:paraId="2FAE2B02" w14:textId="77777777" w:rsidR="003D6DE3" w:rsidRDefault="00933261" w:rsidP="002318FD">
      <w:pPr>
        <w:spacing w:after="120" w:line="240" w:lineRule="auto"/>
        <w:jc w:val="both"/>
      </w:pPr>
      <w:r>
        <w:t>S cílem minimalizace náročnosti pro příjemce při současném zajištění komplexní</w:t>
      </w:r>
      <w:r w:rsidR="00AF4DB7">
        <w:t>ho sběru dat</w:t>
      </w:r>
      <w:r>
        <w:t xml:space="preserve"> doporučuje při realizaci evaluace</w:t>
      </w:r>
      <w:r w:rsidRPr="00AE72FB">
        <w:t xml:space="preserve"> Dodavate</w:t>
      </w:r>
      <w:r>
        <w:t>l</w:t>
      </w:r>
      <w:r w:rsidRPr="00AE72FB">
        <w:t xml:space="preserve"> postupovat maximálně efektivně.</w:t>
      </w:r>
      <w:r w:rsidR="003D6DE3">
        <w:t xml:space="preserve"> Po domluvě se Zadavatelem na kick-off jednání proto Dodavatel nahradil dotazníkové šetření</w:t>
      </w:r>
      <w:r w:rsidR="00A26C0B">
        <w:t xml:space="preserve"> (dále </w:t>
      </w:r>
      <w:r w:rsidR="000126A9">
        <w:t>také</w:t>
      </w:r>
      <w:r w:rsidR="00A26C0B">
        <w:t xml:space="preserve"> „DŠ“)</w:t>
      </w:r>
      <w:r w:rsidR="003D6DE3">
        <w:t xml:space="preserve"> pro žadatele a příjemce fokusní skupinou s oddělením monitoringu OP PIK, </w:t>
      </w:r>
      <w:r w:rsidR="00CC6605">
        <w:t xml:space="preserve">případně se zástupci žadatelů/příjemců </w:t>
      </w:r>
      <w:r w:rsidR="003D6DE3">
        <w:t>OP PIK.</w:t>
      </w:r>
    </w:p>
    <w:p w14:paraId="47B4B17C" w14:textId="77777777" w:rsidR="00933261" w:rsidRPr="00AE72FB" w:rsidRDefault="00933261" w:rsidP="002318FD">
      <w:pPr>
        <w:spacing w:after="120" w:line="240" w:lineRule="auto"/>
        <w:jc w:val="both"/>
      </w:pPr>
      <w:r w:rsidRPr="00AE72FB">
        <w:t>Níže popsané evaluační metody jsou zpravidla využívány ve více evaluačních otázkách</w:t>
      </w:r>
      <w:r>
        <w:t xml:space="preserve"> a </w:t>
      </w:r>
      <w:r w:rsidRPr="00AE72FB">
        <w:t>zároveň jsou navzájem komplementární. Z toho důvodu bude Dodavatel aplikovat evaluační metody napříč evaluačními otázkami.</w:t>
      </w:r>
    </w:p>
    <w:p w14:paraId="7A09C001" w14:textId="77777777" w:rsidR="00933261" w:rsidRDefault="00933261" w:rsidP="002318FD">
      <w:pPr>
        <w:spacing w:after="120" w:line="240" w:lineRule="auto"/>
        <w:jc w:val="both"/>
        <w:rPr>
          <w:szCs w:val="18"/>
        </w:rPr>
      </w:pPr>
      <w:r w:rsidRPr="00AE72FB">
        <w:t xml:space="preserve">Kombinace evaluačních metod ve vazbě na </w:t>
      </w:r>
      <w:r w:rsidR="00AF4DB7">
        <w:t xml:space="preserve">jednotlivé evaluační otázky </w:t>
      </w:r>
      <w:r w:rsidRPr="00AE72FB">
        <w:t xml:space="preserve">je </w:t>
      </w:r>
      <w:r>
        <w:t>zobrazena v </w:t>
      </w:r>
      <w:r w:rsidRPr="00AE72FB">
        <w:t xml:space="preserve">tabulce níže. </w:t>
      </w:r>
    </w:p>
    <w:p w14:paraId="6317DE06" w14:textId="77777777" w:rsidR="00CC6605" w:rsidRDefault="00CC6605" w:rsidP="00EE0921">
      <w:pPr>
        <w:spacing w:before="240" w:after="120" w:line="240" w:lineRule="auto"/>
        <w:rPr>
          <w:b/>
          <w:color w:val="012169" w:themeColor="accent4"/>
        </w:rPr>
      </w:pPr>
    </w:p>
    <w:p w14:paraId="25AD692B" w14:textId="77777777" w:rsidR="00CC6605" w:rsidRDefault="00CC6605" w:rsidP="00EE0921">
      <w:pPr>
        <w:spacing w:before="240" w:after="120" w:line="240" w:lineRule="auto"/>
        <w:rPr>
          <w:b/>
          <w:color w:val="012169" w:themeColor="accent4"/>
        </w:rPr>
      </w:pPr>
    </w:p>
    <w:p w14:paraId="08A85A0F" w14:textId="77777777" w:rsidR="00CC6605" w:rsidRDefault="00CC6605" w:rsidP="00EE0921">
      <w:pPr>
        <w:spacing w:before="240" w:after="120" w:line="240" w:lineRule="auto"/>
        <w:rPr>
          <w:b/>
          <w:color w:val="012169" w:themeColor="accent4"/>
        </w:rPr>
      </w:pPr>
    </w:p>
    <w:p w14:paraId="3D93B735" w14:textId="77777777" w:rsidR="005B62B3" w:rsidRDefault="005B62B3">
      <w:pPr>
        <w:rPr>
          <w:b/>
          <w:color w:val="012169" w:themeColor="accent4"/>
        </w:rPr>
      </w:pPr>
      <w:r>
        <w:rPr>
          <w:b/>
          <w:color w:val="012169" w:themeColor="accent4"/>
        </w:rPr>
        <w:br w:type="page"/>
      </w:r>
    </w:p>
    <w:p w14:paraId="66E84A36" w14:textId="77777777" w:rsidR="00933261" w:rsidRPr="000E1076" w:rsidRDefault="00933261" w:rsidP="00EE0921">
      <w:pPr>
        <w:spacing w:before="240" w:after="120" w:line="240" w:lineRule="auto"/>
        <w:rPr>
          <w:b/>
          <w:color w:val="012169" w:themeColor="accent4"/>
        </w:rPr>
      </w:pPr>
      <w:r w:rsidRPr="000E1076">
        <w:rPr>
          <w:b/>
          <w:color w:val="012169" w:themeColor="accent4"/>
        </w:rPr>
        <w:lastRenderedPageBreak/>
        <w:t xml:space="preserve">Evaluační okruh A: Metodické prostředí OP PIK </w:t>
      </w:r>
    </w:p>
    <w:p w14:paraId="7873F146" w14:textId="77777777" w:rsidR="00E93151" w:rsidRDefault="00E93151" w:rsidP="0028578A">
      <w:pPr>
        <w:pStyle w:val="Titulek"/>
        <w:jc w:val="center"/>
      </w:pPr>
      <w:bookmarkStart w:id="15" w:name="_Toc24384728"/>
      <w:r>
        <w:t xml:space="preserve">Tabulka </w:t>
      </w:r>
      <w:r>
        <w:fldChar w:fldCharType="begin"/>
      </w:r>
      <w:r>
        <w:instrText xml:space="preserve"> SEQ Tabulka \* ARABIC </w:instrText>
      </w:r>
      <w:r>
        <w:fldChar w:fldCharType="separate"/>
      </w:r>
      <w:r>
        <w:rPr>
          <w:noProof/>
        </w:rPr>
        <w:t>2</w:t>
      </w:r>
      <w:r>
        <w:fldChar w:fldCharType="end"/>
      </w:r>
      <w:r w:rsidR="0028578A">
        <w:t>:</w:t>
      </w:r>
      <w:r>
        <w:t xml:space="preserve"> </w:t>
      </w:r>
      <w:r w:rsidRPr="00A94016">
        <w:t>Evaluační okruh A: Metodické prostředí OP PIK</w:t>
      </w:r>
      <w:bookmarkEnd w:id="15"/>
    </w:p>
    <w:tbl>
      <w:tblPr>
        <w:tblStyle w:val="Deloittetable21"/>
        <w:tblW w:w="5000" w:type="pct"/>
        <w:tblLook w:val="04A0" w:firstRow="1" w:lastRow="0" w:firstColumn="1" w:lastColumn="0" w:noHBand="0" w:noVBand="1"/>
      </w:tblPr>
      <w:tblGrid>
        <w:gridCol w:w="429"/>
        <w:gridCol w:w="7369"/>
        <w:gridCol w:w="460"/>
        <w:gridCol w:w="458"/>
        <w:gridCol w:w="458"/>
        <w:gridCol w:w="458"/>
        <w:gridCol w:w="460"/>
      </w:tblGrid>
      <w:tr w:rsidR="00933261" w:rsidRPr="00351B75" w14:paraId="0026D915" w14:textId="77777777" w:rsidTr="0028578A">
        <w:trPr>
          <w:cnfStyle w:val="100000000000" w:firstRow="1" w:lastRow="0" w:firstColumn="0" w:lastColumn="0" w:oddVBand="0" w:evenVBand="0" w:oddHBand="0" w:evenHBand="0" w:firstRowFirstColumn="0" w:firstRowLastColumn="0" w:lastRowFirstColumn="0" w:lastRowLastColumn="0"/>
          <w:trHeight w:val="254"/>
          <w:tblHeader/>
        </w:trPr>
        <w:tc>
          <w:tcPr>
            <w:cnfStyle w:val="001000000000" w:firstRow="0" w:lastRow="0" w:firstColumn="1" w:lastColumn="0" w:oddVBand="0" w:evenVBand="0" w:oddHBand="0" w:evenHBand="0" w:firstRowFirstColumn="0" w:firstRowLastColumn="0" w:lastRowFirstColumn="0" w:lastRowLastColumn="0"/>
            <w:tcW w:w="212" w:type="pct"/>
            <w:vMerge w:val="restart"/>
            <w:vAlign w:val="center"/>
          </w:tcPr>
          <w:p w14:paraId="12FC0DB5" w14:textId="77777777" w:rsidR="00933261" w:rsidRPr="00351B75" w:rsidRDefault="00933261" w:rsidP="003C3817">
            <w:pPr>
              <w:spacing w:after="60"/>
              <w:rPr>
                <w:sz w:val="16"/>
                <w:szCs w:val="16"/>
              </w:rPr>
            </w:pPr>
            <w:r>
              <w:rPr>
                <w:sz w:val="16"/>
                <w:szCs w:val="16"/>
              </w:rPr>
              <w:t>Č.</w:t>
            </w:r>
          </w:p>
        </w:tc>
        <w:tc>
          <w:tcPr>
            <w:tcW w:w="3651" w:type="pct"/>
            <w:vMerge w:val="restart"/>
            <w:vAlign w:val="center"/>
          </w:tcPr>
          <w:p w14:paraId="6AA69538" w14:textId="77777777" w:rsidR="00933261" w:rsidRPr="00351B75" w:rsidRDefault="00933261" w:rsidP="003C3817">
            <w:pPr>
              <w:spacing w:after="60"/>
              <w:cnfStyle w:val="100000000000" w:firstRow="1" w:lastRow="0" w:firstColumn="0" w:lastColumn="0" w:oddVBand="0" w:evenVBand="0" w:oddHBand="0" w:evenHBand="0" w:firstRowFirstColumn="0" w:firstRowLastColumn="0" w:lastRowFirstColumn="0" w:lastRowLastColumn="0"/>
              <w:rPr>
                <w:sz w:val="16"/>
                <w:szCs w:val="16"/>
              </w:rPr>
            </w:pPr>
            <w:r w:rsidRPr="00351B75">
              <w:rPr>
                <w:sz w:val="16"/>
                <w:szCs w:val="16"/>
              </w:rPr>
              <w:t>Evaluační otázka</w:t>
            </w:r>
          </w:p>
        </w:tc>
        <w:tc>
          <w:tcPr>
            <w:tcW w:w="1138" w:type="pct"/>
            <w:gridSpan w:val="5"/>
          </w:tcPr>
          <w:p w14:paraId="13B77597" w14:textId="77777777" w:rsidR="00933261" w:rsidRPr="00351B75" w:rsidRDefault="00933261" w:rsidP="003C3817">
            <w:pPr>
              <w:spacing w:after="60"/>
              <w:jc w:val="center"/>
              <w:cnfStyle w:val="100000000000" w:firstRow="1" w:lastRow="0" w:firstColumn="0" w:lastColumn="0" w:oddVBand="0" w:evenVBand="0" w:oddHBand="0" w:evenHBand="0" w:firstRowFirstColumn="0" w:firstRowLastColumn="0" w:lastRowFirstColumn="0" w:lastRowLastColumn="0"/>
              <w:rPr>
                <w:sz w:val="16"/>
                <w:szCs w:val="16"/>
              </w:rPr>
            </w:pPr>
            <w:r w:rsidRPr="00351B75">
              <w:rPr>
                <w:sz w:val="16"/>
                <w:szCs w:val="16"/>
              </w:rPr>
              <w:t>Evaluační metody</w:t>
            </w:r>
          </w:p>
        </w:tc>
      </w:tr>
      <w:tr w:rsidR="00933261" w:rsidRPr="00351B75" w14:paraId="7A6EA4DD" w14:textId="77777777" w:rsidTr="0028578A">
        <w:trPr>
          <w:cnfStyle w:val="100000000000" w:firstRow="1" w:lastRow="0" w:firstColumn="0" w:lastColumn="0" w:oddVBand="0" w:evenVBand="0" w:oddHBand="0" w:evenHBand="0" w:firstRowFirstColumn="0" w:firstRowLastColumn="0" w:lastRowFirstColumn="0" w:lastRowLastColumn="0"/>
          <w:cantSplit/>
          <w:trHeight w:val="1085"/>
          <w:tblHeader/>
        </w:trPr>
        <w:tc>
          <w:tcPr>
            <w:cnfStyle w:val="001000000000" w:firstRow="0" w:lastRow="0" w:firstColumn="1" w:lastColumn="0" w:oddVBand="0" w:evenVBand="0" w:oddHBand="0" w:evenHBand="0" w:firstRowFirstColumn="0" w:firstRowLastColumn="0" w:lastRowFirstColumn="0" w:lastRowLastColumn="0"/>
            <w:tcW w:w="212" w:type="pct"/>
            <w:vMerge/>
          </w:tcPr>
          <w:p w14:paraId="6D62A915" w14:textId="77777777" w:rsidR="00933261" w:rsidRPr="00351B75" w:rsidRDefault="00933261" w:rsidP="003C3817">
            <w:pPr>
              <w:spacing w:after="60"/>
              <w:rPr>
                <w:sz w:val="16"/>
                <w:szCs w:val="16"/>
              </w:rPr>
            </w:pPr>
          </w:p>
        </w:tc>
        <w:tc>
          <w:tcPr>
            <w:tcW w:w="3651" w:type="pct"/>
            <w:vMerge/>
          </w:tcPr>
          <w:p w14:paraId="7CFD7C25" w14:textId="77777777" w:rsidR="00933261" w:rsidRPr="00351B75" w:rsidRDefault="00933261" w:rsidP="003C3817">
            <w:pPr>
              <w:spacing w:after="60"/>
              <w:cnfStyle w:val="100000000000" w:firstRow="1" w:lastRow="0" w:firstColumn="0" w:lastColumn="0" w:oddVBand="0" w:evenVBand="0" w:oddHBand="0" w:evenHBand="0" w:firstRowFirstColumn="0" w:firstRowLastColumn="0" w:lastRowFirstColumn="0" w:lastRowLastColumn="0"/>
              <w:rPr>
                <w:sz w:val="16"/>
                <w:szCs w:val="16"/>
              </w:rPr>
            </w:pPr>
          </w:p>
        </w:tc>
        <w:tc>
          <w:tcPr>
            <w:tcW w:w="228" w:type="pct"/>
            <w:textDirection w:val="btLr"/>
            <w:vAlign w:val="center"/>
          </w:tcPr>
          <w:p w14:paraId="239086DD" w14:textId="77777777" w:rsidR="00933261" w:rsidRPr="00351B75" w:rsidRDefault="00933261" w:rsidP="003C3817">
            <w:pPr>
              <w:ind w:left="113" w:right="113"/>
              <w:cnfStyle w:val="100000000000" w:firstRow="1" w:lastRow="0" w:firstColumn="0" w:lastColumn="0" w:oddVBand="0" w:evenVBand="0" w:oddHBand="0" w:evenHBand="0" w:firstRowFirstColumn="0" w:firstRowLastColumn="0" w:lastRowFirstColumn="0" w:lastRowLastColumn="0"/>
              <w:rPr>
                <w:sz w:val="16"/>
                <w:szCs w:val="16"/>
              </w:rPr>
            </w:pPr>
            <w:r w:rsidRPr="00351B75">
              <w:rPr>
                <w:sz w:val="16"/>
                <w:szCs w:val="16"/>
              </w:rPr>
              <w:t>Analýza sek. dat</w:t>
            </w:r>
          </w:p>
        </w:tc>
        <w:tc>
          <w:tcPr>
            <w:tcW w:w="227" w:type="pct"/>
            <w:textDirection w:val="btLr"/>
            <w:vAlign w:val="center"/>
          </w:tcPr>
          <w:p w14:paraId="7A9283A7" w14:textId="77777777" w:rsidR="00933261" w:rsidRPr="00351B75" w:rsidRDefault="00933261" w:rsidP="003C3817">
            <w:pPr>
              <w:ind w:left="113" w:right="113"/>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DŠ</w:t>
            </w:r>
          </w:p>
        </w:tc>
        <w:tc>
          <w:tcPr>
            <w:tcW w:w="227" w:type="pct"/>
            <w:textDirection w:val="btLr"/>
            <w:vAlign w:val="center"/>
          </w:tcPr>
          <w:p w14:paraId="61D1A6C9" w14:textId="77777777" w:rsidR="00933261" w:rsidRPr="00351B75" w:rsidRDefault="00933261" w:rsidP="003C3817">
            <w:pPr>
              <w:ind w:left="113" w:right="113"/>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Ind. r</w:t>
            </w:r>
            <w:r w:rsidRPr="00351B75">
              <w:rPr>
                <w:sz w:val="16"/>
                <w:szCs w:val="16"/>
              </w:rPr>
              <w:t>ozhovor</w:t>
            </w:r>
          </w:p>
        </w:tc>
        <w:tc>
          <w:tcPr>
            <w:tcW w:w="227" w:type="pct"/>
            <w:textDirection w:val="btLr"/>
            <w:vAlign w:val="center"/>
          </w:tcPr>
          <w:p w14:paraId="42F85672" w14:textId="77777777" w:rsidR="00933261" w:rsidRPr="00351B75" w:rsidRDefault="00933261" w:rsidP="003C3817">
            <w:pPr>
              <w:ind w:left="113" w:right="113"/>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FS</w:t>
            </w:r>
          </w:p>
        </w:tc>
        <w:tc>
          <w:tcPr>
            <w:tcW w:w="229" w:type="pct"/>
            <w:textDirection w:val="btLr"/>
            <w:vAlign w:val="center"/>
          </w:tcPr>
          <w:p w14:paraId="4C191CB2" w14:textId="77777777" w:rsidR="00933261" w:rsidRPr="00351B75" w:rsidRDefault="00933261" w:rsidP="003C3817">
            <w:pPr>
              <w:ind w:left="113" w:right="113"/>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EP</w:t>
            </w:r>
          </w:p>
        </w:tc>
      </w:tr>
      <w:tr w:rsidR="00933261" w:rsidRPr="00351B75" w14:paraId="29969E00" w14:textId="77777777" w:rsidTr="0028578A">
        <w:tc>
          <w:tcPr>
            <w:cnfStyle w:val="001000000000" w:firstRow="0" w:lastRow="0" w:firstColumn="1" w:lastColumn="0" w:oddVBand="0" w:evenVBand="0" w:oddHBand="0" w:evenHBand="0" w:firstRowFirstColumn="0" w:firstRowLastColumn="0" w:lastRowFirstColumn="0" w:lastRowLastColumn="0"/>
            <w:tcW w:w="212" w:type="pct"/>
          </w:tcPr>
          <w:p w14:paraId="01B7A814" w14:textId="77777777" w:rsidR="00933261" w:rsidRPr="00351B75" w:rsidRDefault="00933261" w:rsidP="003C3817">
            <w:pPr>
              <w:spacing w:after="60"/>
              <w:rPr>
                <w:sz w:val="16"/>
                <w:szCs w:val="16"/>
              </w:rPr>
            </w:pPr>
            <w:r w:rsidRPr="00351B75">
              <w:rPr>
                <w:sz w:val="16"/>
                <w:szCs w:val="16"/>
              </w:rPr>
              <w:t>A1</w:t>
            </w:r>
          </w:p>
        </w:tc>
        <w:tc>
          <w:tcPr>
            <w:tcW w:w="3651" w:type="pct"/>
          </w:tcPr>
          <w:p w14:paraId="7DB7A90E" w14:textId="77777777" w:rsidR="00933261" w:rsidRPr="00351B75" w:rsidRDefault="00933261" w:rsidP="003D6DE3">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351B75">
              <w:rPr>
                <w:sz w:val="16"/>
                <w:szCs w:val="16"/>
              </w:rPr>
              <w:t xml:space="preserve">Je metodické prostředí OP PIK trvalé, přehledné a uživatelsky přívětivé? </w:t>
            </w:r>
            <w:r w:rsidR="003D6DE3">
              <w:rPr>
                <w:sz w:val="16"/>
                <w:szCs w:val="16"/>
              </w:rPr>
              <w:t xml:space="preserve">Jak </w:t>
            </w:r>
            <w:r w:rsidRPr="00351B75">
              <w:rPr>
                <w:sz w:val="16"/>
                <w:szCs w:val="16"/>
              </w:rPr>
              <w:t xml:space="preserve">žadatelé/příjemci vnímají metodické prostředí s ohledem na četnost prováděných změn pravidel OP PIK? </w:t>
            </w:r>
          </w:p>
        </w:tc>
        <w:tc>
          <w:tcPr>
            <w:tcW w:w="228" w:type="pct"/>
            <w:shd w:val="clear" w:color="auto" w:fill="auto"/>
          </w:tcPr>
          <w:p w14:paraId="09DD7B39"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4F0BAE82" wp14:editId="0E327F28">
                  <wp:extent cx="153619" cy="153619"/>
                  <wp:effectExtent l="0" t="0" r="0" b="0"/>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27" w:type="pct"/>
            <w:shd w:val="clear" w:color="auto" w:fill="auto"/>
          </w:tcPr>
          <w:p w14:paraId="10CCEAF0"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c>
          <w:tcPr>
            <w:tcW w:w="227" w:type="pct"/>
            <w:shd w:val="clear" w:color="auto" w:fill="auto"/>
          </w:tcPr>
          <w:p w14:paraId="205DB9A1"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4244D169" wp14:editId="6522859B">
                  <wp:extent cx="153619" cy="153619"/>
                  <wp:effectExtent l="0" t="0" r="0" b="0"/>
                  <wp:docPr id="202" name="Obrázek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27" w:type="pct"/>
            <w:shd w:val="clear" w:color="auto" w:fill="auto"/>
          </w:tcPr>
          <w:p w14:paraId="46A7110E"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786C6AB0" wp14:editId="7245EAE7">
                  <wp:extent cx="153619" cy="153619"/>
                  <wp:effectExtent l="0" t="0" r="0" b="0"/>
                  <wp:docPr id="203" name="Obrázek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29" w:type="pct"/>
            <w:shd w:val="clear" w:color="auto" w:fill="auto"/>
          </w:tcPr>
          <w:p w14:paraId="12462F70"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r>
      <w:tr w:rsidR="00933261" w:rsidRPr="00351B75" w14:paraId="51F9F9CF" w14:textId="77777777" w:rsidTr="0028578A">
        <w:tc>
          <w:tcPr>
            <w:cnfStyle w:val="001000000000" w:firstRow="0" w:lastRow="0" w:firstColumn="1" w:lastColumn="0" w:oddVBand="0" w:evenVBand="0" w:oddHBand="0" w:evenHBand="0" w:firstRowFirstColumn="0" w:firstRowLastColumn="0" w:lastRowFirstColumn="0" w:lastRowLastColumn="0"/>
            <w:tcW w:w="212" w:type="pct"/>
          </w:tcPr>
          <w:p w14:paraId="12383654" w14:textId="77777777" w:rsidR="00933261" w:rsidRPr="00351B75" w:rsidRDefault="00933261" w:rsidP="003C3817">
            <w:pPr>
              <w:spacing w:after="60"/>
              <w:rPr>
                <w:sz w:val="16"/>
                <w:szCs w:val="16"/>
              </w:rPr>
            </w:pPr>
            <w:r w:rsidRPr="00351B75">
              <w:rPr>
                <w:sz w:val="16"/>
                <w:szCs w:val="16"/>
              </w:rPr>
              <w:t>A2</w:t>
            </w:r>
          </w:p>
        </w:tc>
        <w:tc>
          <w:tcPr>
            <w:tcW w:w="3651" w:type="pct"/>
          </w:tcPr>
          <w:p w14:paraId="1188DD34" w14:textId="77777777" w:rsidR="00933261" w:rsidRPr="00351B75" w:rsidRDefault="00933261" w:rsidP="003D6DE3">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351B75">
              <w:rPr>
                <w:sz w:val="16"/>
                <w:szCs w:val="16"/>
              </w:rPr>
              <w:t>Jsou v metodickém prostředí OP PIK uplatňovány procesy či jejich části, které lze označit jako nadbytečné?</w:t>
            </w:r>
            <w:r w:rsidRPr="00351B75">
              <w:rPr>
                <w:rStyle w:val="Znakapoznpodarou"/>
                <w:rFonts w:cs="Calibri"/>
                <w:sz w:val="16"/>
                <w:szCs w:val="16"/>
              </w:rPr>
              <w:footnoteReference w:id="5"/>
            </w:r>
            <w:r w:rsidRPr="00351B75">
              <w:rPr>
                <w:sz w:val="16"/>
                <w:szCs w:val="16"/>
              </w:rPr>
              <w:t xml:space="preserve"> </w:t>
            </w:r>
          </w:p>
        </w:tc>
        <w:tc>
          <w:tcPr>
            <w:tcW w:w="228" w:type="pct"/>
            <w:shd w:val="clear" w:color="auto" w:fill="auto"/>
          </w:tcPr>
          <w:p w14:paraId="4A9ADF91"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7F51A19E" wp14:editId="79B2146B">
                  <wp:extent cx="153619" cy="153619"/>
                  <wp:effectExtent l="0" t="0" r="0" b="0"/>
                  <wp:docPr id="204" name="Obrázek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27" w:type="pct"/>
            <w:shd w:val="clear" w:color="auto" w:fill="auto"/>
          </w:tcPr>
          <w:p w14:paraId="327FA90D"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3FC64DF9" wp14:editId="35AA2219">
                  <wp:extent cx="153619" cy="153619"/>
                  <wp:effectExtent l="0" t="0" r="0" b="0"/>
                  <wp:docPr id="205" name="Obrázek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27" w:type="pct"/>
            <w:shd w:val="clear" w:color="auto" w:fill="auto"/>
          </w:tcPr>
          <w:p w14:paraId="6685165C"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5AEAEE59" wp14:editId="01C6C14D">
                  <wp:extent cx="153619" cy="153619"/>
                  <wp:effectExtent l="0" t="0" r="0" b="0"/>
                  <wp:docPr id="206" name="Obrázek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27" w:type="pct"/>
            <w:shd w:val="clear" w:color="auto" w:fill="auto"/>
          </w:tcPr>
          <w:p w14:paraId="1AB7C1EF"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40F248D7" wp14:editId="29E13DD8">
                  <wp:extent cx="153619" cy="153619"/>
                  <wp:effectExtent l="0" t="0" r="0" b="0"/>
                  <wp:docPr id="207" name="Obrázek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29" w:type="pct"/>
            <w:shd w:val="clear" w:color="auto" w:fill="auto"/>
          </w:tcPr>
          <w:p w14:paraId="1697A0A1"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r>
      <w:tr w:rsidR="00933261" w:rsidRPr="00351B75" w14:paraId="50A8E1E7" w14:textId="77777777" w:rsidTr="0028578A">
        <w:tc>
          <w:tcPr>
            <w:cnfStyle w:val="001000000000" w:firstRow="0" w:lastRow="0" w:firstColumn="1" w:lastColumn="0" w:oddVBand="0" w:evenVBand="0" w:oddHBand="0" w:evenHBand="0" w:firstRowFirstColumn="0" w:firstRowLastColumn="0" w:lastRowFirstColumn="0" w:lastRowLastColumn="0"/>
            <w:tcW w:w="212" w:type="pct"/>
          </w:tcPr>
          <w:p w14:paraId="7DF15250" w14:textId="77777777" w:rsidR="00933261" w:rsidRPr="00351B75" w:rsidRDefault="00933261" w:rsidP="003C3817">
            <w:pPr>
              <w:spacing w:after="60"/>
              <w:rPr>
                <w:sz w:val="16"/>
                <w:szCs w:val="16"/>
              </w:rPr>
            </w:pPr>
            <w:r w:rsidRPr="00351B75">
              <w:rPr>
                <w:sz w:val="16"/>
                <w:szCs w:val="16"/>
              </w:rPr>
              <w:t>A3</w:t>
            </w:r>
          </w:p>
        </w:tc>
        <w:tc>
          <w:tcPr>
            <w:tcW w:w="3651" w:type="pct"/>
          </w:tcPr>
          <w:p w14:paraId="2DEFB848"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351B75">
              <w:rPr>
                <w:sz w:val="16"/>
                <w:szCs w:val="16"/>
              </w:rPr>
              <w:t xml:space="preserve">Z čeho vyplývá potřeba provádění nadbytečných procesů? Přetrvává tato potřeba? </w:t>
            </w:r>
          </w:p>
        </w:tc>
        <w:tc>
          <w:tcPr>
            <w:tcW w:w="228" w:type="pct"/>
            <w:shd w:val="clear" w:color="auto" w:fill="auto"/>
          </w:tcPr>
          <w:p w14:paraId="607D6750"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410E5ADD" wp14:editId="5EC0B07E">
                  <wp:extent cx="153619" cy="153619"/>
                  <wp:effectExtent l="0" t="0" r="0" b="0"/>
                  <wp:docPr id="208" name="Obrázek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27" w:type="pct"/>
            <w:shd w:val="clear" w:color="auto" w:fill="auto"/>
          </w:tcPr>
          <w:p w14:paraId="45F15B01" w14:textId="77777777" w:rsidR="00933261" w:rsidRPr="00351B75" w:rsidRDefault="003D6DE3"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213FB44E" wp14:editId="23F4E8B5">
                  <wp:extent cx="153619" cy="153619"/>
                  <wp:effectExtent l="0" t="0" r="0" b="0"/>
                  <wp:docPr id="4" name="Obrázek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27" w:type="pct"/>
            <w:shd w:val="clear" w:color="auto" w:fill="auto"/>
          </w:tcPr>
          <w:p w14:paraId="573D0144"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05902F77" wp14:editId="07799531">
                  <wp:extent cx="153619" cy="153619"/>
                  <wp:effectExtent l="0" t="0" r="0" b="0"/>
                  <wp:docPr id="209" name="Obrázek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27" w:type="pct"/>
            <w:shd w:val="clear" w:color="auto" w:fill="auto"/>
          </w:tcPr>
          <w:p w14:paraId="5A66679E"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c>
          <w:tcPr>
            <w:tcW w:w="229" w:type="pct"/>
            <w:shd w:val="clear" w:color="auto" w:fill="auto"/>
          </w:tcPr>
          <w:p w14:paraId="25A1F10A"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r>
      <w:tr w:rsidR="00933261" w:rsidRPr="00351B75" w14:paraId="23A80CDB" w14:textId="77777777" w:rsidTr="0028578A">
        <w:tc>
          <w:tcPr>
            <w:cnfStyle w:val="001000000000" w:firstRow="0" w:lastRow="0" w:firstColumn="1" w:lastColumn="0" w:oddVBand="0" w:evenVBand="0" w:oddHBand="0" w:evenHBand="0" w:firstRowFirstColumn="0" w:firstRowLastColumn="0" w:lastRowFirstColumn="0" w:lastRowLastColumn="0"/>
            <w:tcW w:w="212" w:type="pct"/>
          </w:tcPr>
          <w:p w14:paraId="79EF2984" w14:textId="77777777" w:rsidR="00933261" w:rsidRPr="00351B75" w:rsidRDefault="00933261" w:rsidP="003C3817">
            <w:pPr>
              <w:spacing w:after="60"/>
              <w:rPr>
                <w:sz w:val="16"/>
                <w:szCs w:val="16"/>
              </w:rPr>
            </w:pPr>
            <w:r w:rsidRPr="00351B75">
              <w:rPr>
                <w:sz w:val="16"/>
                <w:szCs w:val="16"/>
              </w:rPr>
              <w:t>A4</w:t>
            </w:r>
          </w:p>
        </w:tc>
        <w:tc>
          <w:tcPr>
            <w:tcW w:w="3651" w:type="pct"/>
          </w:tcPr>
          <w:p w14:paraId="67189B8C"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351B75">
              <w:rPr>
                <w:sz w:val="16"/>
                <w:szCs w:val="16"/>
              </w:rPr>
              <w:t>Jaký dopad na implementaci OP PIK by mělo zrušení každého nadbytečného procesu?</w:t>
            </w:r>
          </w:p>
        </w:tc>
        <w:tc>
          <w:tcPr>
            <w:tcW w:w="228" w:type="pct"/>
            <w:shd w:val="clear" w:color="auto" w:fill="auto"/>
          </w:tcPr>
          <w:p w14:paraId="36142798"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5E5D2BAD" wp14:editId="37617280">
                  <wp:extent cx="153619" cy="153619"/>
                  <wp:effectExtent l="0" t="0" r="0" b="0"/>
                  <wp:docPr id="210" name="Obrázek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27" w:type="pct"/>
            <w:shd w:val="clear" w:color="auto" w:fill="auto"/>
          </w:tcPr>
          <w:p w14:paraId="3E3FD4FA"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c>
          <w:tcPr>
            <w:tcW w:w="227" w:type="pct"/>
            <w:shd w:val="clear" w:color="auto" w:fill="auto"/>
          </w:tcPr>
          <w:p w14:paraId="31DA3DBC"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30726C7F" wp14:editId="30B90F5E">
                  <wp:extent cx="153619" cy="153619"/>
                  <wp:effectExtent l="0" t="0" r="0" b="0"/>
                  <wp:docPr id="211" name="Obrázek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27" w:type="pct"/>
            <w:shd w:val="clear" w:color="auto" w:fill="auto"/>
          </w:tcPr>
          <w:p w14:paraId="1C7F10A5"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c>
          <w:tcPr>
            <w:tcW w:w="229" w:type="pct"/>
            <w:shd w:val="clear" w:color="auto" w:fill="auto"/>
          </w:tcPr>
          <w:p w14:paraId="51AE3806"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468F4AB6" wp14:editId="0231FF7D">
                  <wp:extent cx="153619" cy="153619"/>
                  <wp:effectExtent l="0" t="0" r="0" b="0"/>
                  <wp:docPr id="212" name="Obrázek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r>
      <w:tr w:rsidR="00933261" w:rsidRPr="00351B75" w14:paraId="5D64C964" w14:textId="77777777" w:rsidTr="0028578A">
        <w:tc>
          <w:tcPr>
            <w:cnfStyle w:val="001000000000" w:firstRow="0" w:lastRow="0" w:firstColumn="1" w:lastColumn="0" w:oddVBand="0" w:evenVBand="0" w:oddHBand="0" w:evenHBand="0" w:firstRowFirstColumn="0" w:firstRowLastColumn="0" w:lastRowFirstColumn="0" w:lastRowLastColumn="0"/>
            <w:tcW w:w="212" w:type="pct"/>
          </w:tcPr>
          <w:p w14:paraId="0101FCC3" w14:textId="77777777" w:rsidR="00933261" w:rsidRPr="00351B75" w:rsidRDefault="00933261" w:rsidP="003C3817">
            <w:pPr>
              <w:spacing w:after="60"/>
              <w:rPr>
                <w:sz w:val="16"/>
                <w:szCs w:val="16"/>
              </w:rPr>
            </w:pPr>
            <w:r w:rsidRPr="00351B75">
              <w:rPr>
                <w:sz w:val="16"/>
                <w:szCs w:val="16"/>
              </w:rPr>
              <w:t>A5</w:t>
            </w:r>
          </w:p>
        </w:tc>
        <w:tc>
          <w:tcPr>
            <w:tcW w:w="3651" w:type="pct"/>
          </w:tcPr>
          <w:p w14:paraId="444A7817"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351B75">
              <w:rPr>
                <w:sz w:val="16"/>
                <w:szCs w:val="16"/>
              </w:rPr>
              <w:t>Nedochází vlivem nadbytečných procesů k nepřiměřenému zatížení žadatelů/příjemců?</w:t>
            </w:r>
          </w:p>
        </w:tc>
        <w:tc>
          <w:tcPr>
            <w:tcW w:w="228" w:type="pct"/>
            <w:shd w:val="clear" w:color="auto" w:fill="auto"/>
          </w:tcPr>
          <w:p w14:paraId="77EDED7C"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532309F1" wp14:editId="024150DA">
                  <wp:extent cx="153619" cy="153619"/>
                  <wp:effectExtent l="0" t="0" r="0" b="0"/>
                  <wp:docPr id="213" name="Obrázek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27" w:type="pct"/>
            <w:shd w:val="clear" w:color="auto" w:fill="auto"/>
          </w:tcPr>
          <w:p w14:paraId="7DBC9F43"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c>
          <w:tcPr>
            <w:tcW w:w="227" w:type="pct"/>
            <w:shd w:val="clear" w:color="auto" w:fill="auto"/>
          </w:tcPr>
          <w:p w14:paraId="4836B8DD"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1EC76DB3" wp14:editId="63C82FD7">
                  <wp:extent cx="153619" cy="153619"/>
                  <wp:effectExtent l="0" t="0" r="0" b="0"/>
                  <wp:docPr id="215" name="Obrázek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27" w:type="pct"/>
            <w:shd w:val="clear" w:color="auto" w:fill="auto"/>
          </w:tcPr>
          <w:p w14:paraId="765EC2EF"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11E02459" wp14:editId="5EDF2A9E">
                  <wp:extent cx="153619" cy="153619"/>
                  <wp:effectExtent l="0" t="0" r="0" b="0"/>
                  <wp:docPr id="216" name="Obrázek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29" w:type="pct"/>
            <w:shd w:val="clear" w:color="auto" w:fill="auto"/>
          </w:tcPr>
          <w:p w14:paraId="2C69440F"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r>
      <w:tr w:rsidR="00933261" w:rsidRPr="00351B75" w14:paraId="61E7E562" w14:textId="77777777" w:rsidTr="0028578A">
        <w:tc>
          <w:tcPr>
            <w:cnfStyle w:val="001000000000" w:firstRow="0" w:lastRow="0" w:firstColumn="1" w:lastColumn="0" w:oddVBand="0" w:evenVBand="0" w:oddHBand="0" w:evenHBand="0" w:firstRowFirstColumn="0" w:firstRowLastColumn="0" w:lastRowFirstColumn="0" w:lastRowLastColumn="0"/>
            <w:tcW w:w="212" w:type="pct"/>
          </w:tcPr>
          <w:p w14:paraId="7E8EE847" w14:textId="77777777" w:rsidR="00933261" w:rsidRPr="00351B75" w:rsidRDefault="00933261" w:rsidP="003C3817">
            <w:pPr>
              <w:spacing w:after="60"/>
              <w:rPr>
                <w:sz w:val="16"/>
                <w:szCs w:val="16"/>
              </w:rPr>
            </w:pPr>
            <w:r w:rsidRPr="00351B75">
              <w:rPr>
                <w:sz w:val="16"/>
                <w:szCs w:val="16"/>
              </w:rPr>
              <w:t>A6</w:t>
            </w:r>
          </w:p>
        </w:tc>
        <w:tc>
          <w:tcPr>
            <w:tcW w:w="3651" w:type="pct"/>
          </w:tcPr>
          <w:p w14:paraId="4B71DBA9"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351B75">
              <w:rPr>
                <w:sz w:val="16"/>
                <w:szCs w:val="16"/>
              </w:rPr>
              <w:t xml:space="preserve">Neobsahuje metodické prostředí OP PIK tzv. hluchá místa, tedy situaci, kdy platná metodika danou problematiku vůbec neupravuje? </w:t>
            </w:r>
          </w:p>
        </w:tc>
        <w:tc>
          <w:tcPr>
            <w:tcW w:w="228" w:type="pct"/>
            <w:shd w:val="clear" w:color="auto" w:fill="auto"/>
          </w:tcPr>
          <w:p w14:paraId="6A04C393"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3272E9C2" wp14:editId="7D7E82B3">
                  <wp:extent cx="153619" cy="153619"/>
                  <wp:effectExtent l="0" t="0" r="0" b="0"/>
                  <wp:docPr id="218" name="Obrázek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27" w:type="pct"/>
            <w:shd w:val="clear" w:color="auto" w:fill="auto"/>
          </w:tcPr>
          <w:p w14:paraId="53CFCECB"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79691B50" wp14:editId="5049C9DE">
                  <wp:extent cx="153619" cy="153619"/>
                  <wp:effectExtent l="0" t="0" r="0" b="0"/>
                  <wp:docPr id="219" name="Obrázek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27" w:type="pct"/>
            <w:shd w:val="clear" w:color="auto" w:fill="auto"/>
          </w:tcPr>
          <w:p w14:paraId="663D2D44"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39D22297" wp14:editId="4D85C5A2">
                  <wp:extent cx="153619" cy="153619"/>
                  <wp:effectExtent l="0" t="0" r="0" b="0"/>
                  <wp:docPr id="220" name="Obrázek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27" w:type="pct"/>
            <w:shd w:val="clear" w:color="auto" w:fill="auto"/>
          </w:tcPr>
          <w:p w14:paraId="53FE7CA4"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c>
          <w:tcPr>
            <w:tcW w:w="229" w:type="pct"/>
            <w:shd w:val="clear" w:color="auto" w:fill="auto"/>
          </w:tcPr>
          <w:p w14:paraId="650091D8"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r>
      <w:tr w:rsidR="00933261" w:rsidRPr="00351B75" w14:paraId="12D16BC7" w14:textId="77777777" w:rsidTr="0028578A">
        <w:tc>
          <w:tcPr>
            <w:cnfStyle w:val="001000000000" w:firstRow="0" w:lastRow="0" w:firstColumn="1" w:lastColumn="0" w:oddVBand="0" w:evenVBand="0" w:oddHBand="0" w:evenHBand="0" w:firstRowFirstColumn="0" w:firstRowLastColumn="0" w:lastRowFirstColumn="0" w:lastRowLastColumn="0"/>
            <w:tcW w:w="212" w:type="pct"/>
          </w:tcPr>
          <w:p w14:paraId="1857B93F" w14:textId="77777777" w:rsidR="00933261" w:rsidRPr="00351B75" w:rsidRDefault="00933261" w:rsidP="003C3817">
            <w:pPr>
              <w:spacing w:after="60"/>
              <w:rPr>
                <w:sz w:val="16"/>
                <w:szCs w:val="16"/>
              </w:rPr>
            </w:pPr>
            <w:r w:rsidRPr="00351B75">
              <w:rPr>
                <w:sz w:val="16"/>
                <w:szCs w:val="16"/>
              </w:rPr>
              <w:t>A7</w:t>
            </w:r>
          </w:p>
        </w:tc>
        <w:tc>
          <w:tcPr>
            <w:tcW w:w="3651" w:type="pct"/>
          </w:tcPr>
          <w:p w14:paraId="786A54CA"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351B75">
              <w:rPr>
                <w:sz w:val="16"/>
                <w:szCs w:val="16"/>
              </w:rPr>
              <w:t>Je posuzování a ověřování vlastnické struktury a statutu žadatele/příjemce jako malého a středního podniku nastaveno dostatečně, jednoznačně a zároveň tak, aby co nejméně zatěžovalo žadatele?</w:t>
            </w:r>
          </w:p>
        </w:tc>
        <w:tc>
          <w:tcPr>
            <w:tcW w:w="228" w:type="pct"/>
            <w:shd w:val="clear" w:color="auto" w:fill="auto"/>
          </w:tcPr>
          <w:p w14:paraId="2243BE59"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1FFBBC55" wp14:editId="1774D29C">
                  <wp:extent cx="153619" cy="153619"/>
                  <wp:effectExtent l="0" t="0" r="0" b="0"/>
                  <wp:docPr id="222" name="Obrázek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27" w:type="pct"/>
            <w:shd w:val="clear" w:color="auto" w:fill="auto"/>
          </w:tcPr>
          <w:p w14:paraId="1BEA24A4"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c>
          <w:tcPr>
            <w:tcW w:w="227" w:type="pct"/>
            <w:shd w:val="clear" w:color="auto" w:fill="auto"/>
          </w:tcPr>
          <w:p w14:paraId="008C65EC"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77C07A51" wp14:editId="2E2178DA">
                  <wp:extent cx="153619" cy="153619"/>
                  <wp:effectExtent l="0" t="0" r="0" b="0"/>
                  <wp:docPr id="224" name="Obrázek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27" w:type="pct"/>
            <w:shd w:val="clear" w:color="auto" w:fill="auto"/>
          </w:tcPr>
          <w:p w14:paraId="252EC702"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55260DBF" wp14:editId="2FEA4E53">
                  <wp:extent cx="153619" cy="153619"/>
                  <wp:effectExtent l="0" t="0" r="0" b="0"/>
                  <wp:docPr id="225" name="Obrázek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29" w:type="pct"/>
            <w:shd w:val="clear" w:color="auto" w:fill="auto"/>
          </w:tcPr>
          <w:p w14:paraId="0E955B04"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r>
    </w:tbl>
    <w:p w14:paraId="07207FC9" w14:textId="77777777" w:rsidR="00933261" w:rsidRDefault="00933261" w:rsidP="00933261">
      <w:pPr>
        <w:pStyle w:val="Bodyodsazene"/>
      </w:pPr>
    </w:p>
    <w:p w14:paraId="04D2EC9F" w14:textId="77777777" w:rsidR="00933261" w:rsidRPr="000E1076" w:rsidRDefault="00933261" w:rsidP="00EE0921">
      <w:pPr>
        <w:spacing w:before="240" w:after="120" w:line="240" w:lineRule="auto"/>
        <w:rPr>
          <w:b/>
          <w:color w:val="012169" w:themeColor="accent4"/>
        </w:rPr>
      </w:pPr>
      <w:r w:rsidRPr="000E1076">
        <w:rPr>
          <w:b/>
          <w:color w:val="012169" w:themeColor="accent4"/>
        </w:rPr>
        <w:t>Evaluační okruh B: Implementace</w:t>
      </w:r>
    </w:p>
    <w:p w14:paraId="2ACC3A23" w14:textId="77777777" w:rsidR="00E93151" w:rsidRDefault="00E93151" w:rsidP="0028578A">
      <w:pPr>
        <w:pStyle w:val="Titulek"/>
        <w:jc w:val="center"/>
      </w:pPr>
      <w:bookmarkStart w:id="16" w:name="_Toc24384729"/>
      <w:r>
        <w:t xml:space="preserve">Tabulka </w:t>
      </w:r>
      <w:r>
        <w:fldChar w:fldCharType="begin"/>
      </w:r>
      <w:r>
        <w:instrText xml:space="preserve"> SEQ Tabulka \* ARABIC </w:instrText>
      </w:r>
      <w:r>
        <w:fldChar w:fldCharType="separate"/>
      </w:r>
      <w:r>
        <w:rPr>
          <w:noProof/>
        </w:rPr>
        <w:t>3</w:t>
      </w:r>
      <w:r>
        <w:fldChar w:fldCharType="end"/>
      </w:r>
      <w:r w:rsidR="0028578A">
        <w:t>:</w:t>
      </w:r>
      <w:r>
        <w:t xml:space="preserve"> </w:t>
      </w:r>
      <w:r w:rsidRPr="003B2A08">
        <w:t>Evaluační okruh B: Implementace</w:t>
      </w:r>
      <w:bookmarkEnd w:id="16"/>
    </w:p>
    <w:tbl>
      <w:tblPr>
        <w:tblStyle w:val="Deloittetable21"/>
        <w:tblW w:w="5000" w:type="pct"/>
        <w:tblLook w:val="04A0" w:firstRow="1" w:lastRow="0" w:firstColumn="1" w:lastColumn="0" w:noHBand="0" w:noVBand="1"/>
      </w:tblPr>
      <w:tblGrid>
        <w:gridCol w:w="417"/>
        <w:gridCol w:w="7383"/>
        <w:gridCol w:w="458"/>
        <w:gridCol w:w="458"/>
        <w:gridCol w:w="458"/>
        <w:gridCol w:w="458"/>
        <w:gridCol w:w="460"/>
      </w:tblGrid>
      <w:tr w:rsidR="00933261" w:rsidRPr="00EC57D5" w14:paraId="58EFF71A" w14:textId="77777777" w:rsidTr="0028578A">
        <w:trPr>
          <w:cnfStyle w:val="100000000000" w:firstRow="1" w:lastRow="0" w:firstColumn="0" w:lastColumn="0" w:oddVBand="0" w:evenVBand="0" w:oddHBand="0" w:evenHBand="0" w:firstRowFirstColumn="0" w:firstRowLastColumn="0" w:lastRowFirstColumn="0" w:lastRowLastColumn="0"/>
          <w:trHeight w:val="168"/>
          <w:tblHeader/>
        </w:trPr>
        <w:tc>
          <w:tcPr>
            <w:cnfStyle w:val="001000000000" w:firstRow="0" w:lastRow="0" w:firstColumn="1" w:lastColumn="0" w:oddVBand="0" w:evenVBand="0" w:oddHBand="0" w:evenHBand="0" w:firstRowFirstColumn="0" w:firstRowLastColumn="0" w:lastRowFirstColumn="0" w:lastRowLastColumn="0"/>
            <w:tcW w:w="206" w:type="pct"/>
            <w:vMerge w:val="restart"/>
            <w:vAlign w:val="center"/>
          </w:tcPr>
          <w:p w14:paraId="77DF0C8B" w14:textId="77777777" w:rsidR="00933261" w:rsidRPr="00351B75" w:rsidRDefault="00933261" w:rsidP="003C3817">
            <w:pPr>
              <w:keepNext/>
              <w:keepLines/>
              <w:spacing w:after="60"/>
              <w:rPr>
                <w:sz w:val="16"/>
                <w:szCs w:val="16"/>
              </w:rPr>
            </w:pPr>
            <w:r>
              <w:t xml:space="preserve"> </w:t>
            </w:r>
            <w:r>
              <w:rPr>
                <w:sz w:val="16"/>
                <w:szCs w:val="16"/>
              </w:rPr>
              <w:t>Č.</w:t>
            </w:r>
          </w:p>
        </w:tc>
        <w:tc>
          <w:tcPr>
            <w:tcW w:w="3658" w:type="pct"/>
            <w:vMerge w:val="restart"/>
            <w:vAlign w:val="center"/>
          </w:tcPr>
          <w:p w14:paraId="42F11F0E" w14:textId="77777777" w:rsidR="00933261" w:rsidRPr="00351B75" w:rsidRDefault="00933261" w:rsidP="003C3817">
            <w:pPr>
              <w:keepNext/>
              <w:keepLines/>
              <w:spacing w:after="60"/>
              <w:cnfStyle w:val="100000000000" w:firstRow="1" w:lastRow="0" w:firstColumn="0" w:lastColumn="0" w:oddVBand="0" w:evenVBand="0" w:oddHBand="0" w:evenHBand="0" w:firstRowFirstColumn="0" w:firstRowLastColumn="0" w:lastRowFirstColumn="0" w:lastRowLastColumn="0"/>
              <w:rPr>
                <w:sz w:val="16"/>
                <w:szCs w:val="16"/>
              </w:rPr>
            </w:pPr>
            <w:r w:rsidRPr="00351B75">
              <w:rPr>
                <w:sz w:val="16"/>
                <w:szCs w:val="16"/>
              </w:rPr>
              <w:t>Evaluační otázka</w:t>
            </w:r>
          </w:p>
        </w:tc>
        <w:tc>
          <w:tcPr>
            <w:tcW w:w="1137" w:type="pct"/>
            <w:gridSpan w:val="5"/>
          </w:tcPr>
          <w:p w14:paraId="37412332" w14:textId="77777777" w:rsidR="00933261" w:rsidRPr="00351B75" w:rsidRDefault="00933261" w:rsidP="003C3817">
            <w:pPr>
              <w:keepNext/>
              <w:keepLines/>
              <w:spacing w:after="60"/>
              <w:jc w:val="center"/>
              <w:cnfStyle w:val="100000000000" w:firstRow="1" w:lastRow="0" w:firstColumn="0" w:lastColumn="0" w:oddVBand="0" w:evenVBand="0" w:oddHBand="0" w:evenHBand="0" w:firstRowFirstColumn="0" w:firstRowLastColumn="0" w:lastRowFirstColumn="0" w:lastRowLastColumn="0"/>
              <w:rPr>
                <w:sz w:val="16"/>
                <w:szCs w:val="16"/>
              </w:rPr>
            </w:pPr>
            <w:r w:rsidRPr="00351B75">
              <w:rPr>
                <w:sz w:val="16"/>
                <w:szCs w:val="16"/>
              </w:rPr>
              <w:t>Evaluační metody</w:t>
            </w:r>
          </w:p>
        </w:tc>
      </w:tr>
      <w:tr w:rsidR="00933261" w:rsidRPr="00EC57D5" w14:paraId="6443B28B" w14:textId="77777777" w:rsidTr="0028578A">
        <w:trPr>
          <w:cnfStyle w:val="100000000000" w:firstRow="1" w:lastRow="0" w:firstColumn="0" w:lastColumn="0" w:oddVBand="0" w:evenVBand="0" w:oddHBand="0" w:evenHBand="0" w:firstRowFirstColumn="0" w:firstRowLastColumn="0" w:lastRowFirstColumn="0" w:lastRowLastColumn="0"/>
          <w:cantSplit/>
          <w:trHeight w:val="1125"/>
          <w:tblHeader/>
        </w:trPr>
        <w:tc>
          <w:tcPr>
            <w:cnfStyle w:val="001000000000" w:firstRow="0" w:lastRow="0" w:firstColumn="1" w:lastColumn="0" w:oddVBand="0" w:evenVBand="0" w:oddHBand="0" w:evenHBand="0" w:firstRowFirstColumn="0" w:firstRowLastColumn="0" w:lastRowFirstColumn="0" w:lastRowLastColumn="0"/>
            <w:tcW w:w="206" w:type="pct"/>
            <w:vMerge/>
          </w:tcPr>
          <w:p w14:paraId="08E7744B" w14:textId="77777777" w:rsidR="00933261" w:rsidRPr="00351B75" w:rsidRDefault="00933261" w:rsidP="003C3817">
            <w:pPr>
              <w:keepNext/>
              <w:keepLines/>
              <w:spacing w:after="60"/>
              <w:rPr>
                <w:sz w:val="16"/>
                <w:szCs w:val="16"/>
              </w:rPr>
            </w:pPr>
          </w:p>
        </w:tc>
        <w:tc>
          <w:tcPr>
            <w:tcW w:w="3658" w:type="pct"/>
            <w:vMerge/>
          </w:tcPr>
          <w:p w14:paraId="32651E8A" w14:textId="77777777" w:rsidR="00933261" w:rsidRPr="00351B75" w:rsidRDefault="00933261" w:rsidP="003C3817">
            <w:pPr>
              <w:keepNext/>
              <w:keepLines/>
              <w:spacing w:after="60"/>
              <w:cnfStyle w:val="100000000000" w:firstRow="1" w:lastRow="0" w:firstColumn="0" w:lastColumn="0" w:oddVBand="0" w:evenVBand="0" w:oddHBand="0" w:evenHBand="0" w:firstRowFirstColumn="0" w:firstRowLastColumn="0" w:lastRowFirstColumn="0" w:lastRowLastColumn="0"/>
              <w:rPr>
                <w:sz w:val="16"/>
                <w:szCs w:val="16"/>
              </w:rPr>
            </w:pPr>
          </w:p>
        </w:tc>
        <w:tc>
          <w:tcPr>
            <w:tcW w:w="227" w:type="pct"/>
            <w:textDirection w:val="btLr"/>
            <w:vAlign w:val="center"/>
          </w:tcPr>
          <w:p w14:paraId="6C515DEF" w14:textId="77777777" w:rsidR="00933261" w:rsidRPr="00351B75" w:rsidRDefault="00933261" w:rsidP="003C3817">
            <w:pPr>
              <w:keepNext/>
              <w:keepLines/>
              <w:spacing w:after="60"/>
              <w:ind w:left="113" w:right="113"/>
              <w:cnfStyle w:val="100000000000" w:firstRow="1" w:lastRow="0" w:firstColumn="0" w:lastColumn="0" w:oddVBand="0" w:evenVBand="0" w:oddHBand="0" w:evenHBand="0" w:firstRowFirstColumn="0" w:firstRowLastColumn="0" w:lastRowFirstColumn="0" w:lastRowLastColumn="0"/>
              <w:rPr>
                <w:sz w:val="16"/>
                <w:szCs w:val="16"/>
              </w:rPr>
            </w:pPr>
            <w:r w:rsidRPr="00351B75">
              <w:rPr>
                <w:sz w:val="16"/>
                <w:szCs w:val="16"/>
              </w:rPr>
              <w:t>Analýza sek. dat</w:t>
            </w:r>
          </w:p>
        </w:tc>
        <w:tc>
          <w:tcPr>
            <w:tcW w:w="227" w:type="pct"/>
            <w:textDirection w:val="btLr"/>
            <w:vAlign w:val="center"/>
          </w:tcPr>
          <w:p w14:paraId="088D96CF" w14:textId="77777777" w:rsidR="00933261" w:rsidRPr="00351B75" w:rsidRDefault="00933261" w:rsidP="003C3817">
            <w:pPr>
              <w:keepNext/>
              <w:keepLines/>
              <w:spacing w:after="60"/>
              <w:ind w:left="113" w:right="113"/>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DŠ</w:t>
            </w:r>
          </w:p>
        </w:tc>
        <w:tc>
          <w:tcPr>
            <w:tcW w:w="227" w:type="pct"/>
            <w:textDirection w:val="btLr"/>
            <w:vAlign w:val="center"/>
          </w:tcPr>
          <w:p w14:paraId="3ADF35C7" w14:textId="77777777" w:rsidR="00933261" w:rsidRPr="00351B75" w:rsidRDefault="00933261" w:rsidP="003C3817">
            <w:pPr>
              <w:keepNext/>
              <w:keepLines/>
              <w:spacing w:after="60"/>
              <w:ind w:left="113" w:right="113"/>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Ind</w:t>
            </w:r>
            <w:r w:rsidRPr="00351B75">
              <w:rPr>
                <w:sz w:val="16"/>
                <w:szCs w:val="16"/>
              </w:rPr>
              <w:t>. rozhovor</w:t>
            </w:r>
          </w:p>
        </w:tc>
        <w:tc>
          <w:tcPr>
            <w:tcW w:w="227" w:type="pct"/>
            <w:textDirection w:val="btLr"/>
            <w:vAlign w:val="center"/>
          </w:tcPr>
          <w:p w14:paraId="201EDE13" w14:textId="77777777" w:rsidR="00933261" w:rsidRPr="00351B75" w:rsidRDefault="00933261" w:rsidP="003C3817">
            <w:pPr>
              <w:keepNext/>
              <w:keepLines/>
              <w:spacing w:after="60"/>
              <w:ind w:left="113" w:right="113"/>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FS</w:t>
            </w:r>
          </w:p>
        </w:tc>
        <w:tc>
          <w:tcPr>
            <w:tcW w:w="229" w:type="pct"/>
            <w:textDirection w:val="btLr"/>
            <w:vAlign w:val="center"/>
          </w:tcPr>
          <w:p w14:paraId="5B3A3D04" w14:textId="77777777" w:rsidR="00933261" w:rsidRPr="00351B75" w:rsidRDefault="00933261" w:rsidP="003C3817">
            <w:pPr>
              <w:keepNext/>
              <w:keepLines/>
              <w:spacing w:after="60"/>
              <w:ind w:left="113" w:right="113"/>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EP</w:t>
            </w:r>
          </w:p>
        </w:tc>
      </w:tr>
      <w:tr w:rsidR="00933261" w:rsidRPr="00EC57D5" w14:paraId="3DE9C8EB" w14:textId="77777777" w:rsidTr="0028578A">
        <w:tc>
          <w:tcPr>
            <w:cnfStyle w:val="001000000000" w:firstRow="0" w:lastRow="0" w:firstColumn="1" w:lastColumn="0" w:oddVBand="0" w:evenVBand="0" w:oddHBand="0" w:evenHBand="0" w:firstRowFirstColumn="0" w:firstRowLastColumn="0" w:lastRowFirstColumn="0" w:lastRowLastColumn="0"/>
            <w:tcW w:w="206" w:type="pct"/>
          </w:tcPr>
          <w:p w14:paraId="14257483" w14:textId="77777777" w:rsidR="00933261" w:rsidRPr="00351B75" w:rsidRDefault="00933261" w:rsidP="003C3817">
            <w:pPr>
              <w:spacing w:after="60"/>
              <w:rPr>
                <w:sz w:val="16"/>
                <w:szCs w:val="16"/>
              </w:rPr>
            </w:pPr>
            <w:r w:rsidRPr="00351B75">
              <w:rPr>
                <w:sz w:val="16"/>
                <w:szCs w:val="16"/>
              </w:rPr>
              <w:t>B1</w:t>
            </w:r>
          </w:p>
        </w:tc>
        <w:tc>
          <w:tcPr>
            <w:tcW w:w="3658" w:type="pct"/>
          </w:tcPr>
          <w:p w14:paraId="7BF37C49"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351B75">
              <w:rPr>
                <w:sz w:val="16"/>
                <w:szCs w:val="16"/>
              </w:rPr>
              <w:t>Jaká jsou slabá místa a klíčové problémy vyskytující se v implementačních procesech z pohledu pracovníků implementační struktury a z pohledu žadatelů/příjemců? Které fáze projektového cyklu jsou hodnoceny z pohledu příjemců jako nejvíce zatěžující z hlediska času a objemu práce?</w:t>
            </w:r>
          </w:p>
        </w:tc>
        <w:tc>
          <w:tcPr>
            <w:tcW w:w="227" w:type="pct"/>
            <w:shd w:val="clear" w:color="auto" w:fill="auto"/>
          </w:tcPr>
          <w:p w14:paraId="46F3ED49"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4ACB9C3F" wp14:editId="0035EB6A">
                  <wp:extent cx="153619" cy="153619"/>
                  <wp:effectExtent l="0" t="0" r="0" b="0"/>
                  <wp:docPr id="226" name="Obráze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27" w:type="pct"/>
            <w:shd w:val="clear" w:color="auto" w:fill="auto"/>
          </w:tcPr>
          <w:p w14:paraId="16E2F199"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2F9502C6" wp14:editId="0298216E">
                  <wp:extent cx="153619" cy="153619"/>
                  <wp:effectExtent l="0" t="0" r="0" b="0"/>
                  <wp:docPr id="227" name="Obrázek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27" w:type="pct"/>
            <w:shd w:val="clear" w:color="auto" w:fill="auto"/>
          </w:tcPr>
          <w:p w14:paraId="1B5B3986"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21471D01" wp14:editId="40307101">
                  <wp:extent cx="153619" cy="153619"/>
                  <wp:effectExtent l="0" t="0" r="0" b="0"/>
                  <wp:docPr id="228" name="Obráze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27" w:type="pct"/>
            <w:shd w:val="clear" w:color="auto" w:fill="auto"/>
          </w:tcPr>
          <w:p w14:paraId="15BA9356"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1D6C0257" wp14:editId="53A28850">
                  <wp:extent cx="153619" cy="153619"/>
                  <wp:effectExtent l="0" t="0" r="0" b="0"/>
                  <wp:docPr id="229" name="Obrázek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29" w:type="pct"/>
            <w:shd w:val="clear" w:color="auto" w:fill="auto"/>
          </w:tcPr>
          <w:p w14:paraId="31B312ED"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r>
      <w:tr w:rsidR="00933261" w:rsidRPr="00EC57D5" w14:paraId="060F6203" w14:textId="77777777" w:rsidTr="0028578A">
        <w:tc>
          <w:tcPr>
            <w:cnfStyle w:val="001000000000" w:firstRow="0" w:lastRow="0" w:firstColumn="1" w:lastColumn="0" w:oddVBand="0" w:evenVBand="0" w:oddHBand="0" w:evenHBand="0" w:firstRowFirstColumn="0" w:firstRowLastColumn="0" w:lastRowFirstColumn="0" w:lastRowLastColumn="0"/>
            <w:tcW w:w="206" w:type="pct"/>
          </w:tcPr>
          <w:p w14:paraId="4CCDA966" w14:textId="77777777" w:rsidR="00933261" w:rsidRPr="00351B75" w:rsidRDefault="00933261" w:rsidP="003C3817">
            <w:pPr>
              <w:spacing w:after="60"/>
              <w:rPr>
                <w:sz w:val="16"/>
                <w:szCs w:val="16"/>
              </w:rPr>
            </w:pPr>
            <w:r w:rsidRPr="00351B75">
              <w:rPr>
                <w:sz w:val="16"/>
                <w:szCs w:val="16"/>
              </w:rPr>
              <w:t>B2</w:t>
            </w:r>
          </w:p>
        </w:tc>
        <w:tc>
          <w:tcPr>
            <w:tcW w:w="3658" w:type="pct"/>
          </w:tcPr>
          <w:p w14:paraId="08E89995"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351B75">
              <w:rPr>
                <w:sz w:val="16"/>
                <w:szCs w:val="16"/>
              </w:rPr>
              <w:t>Jaké jsou systémové příčiny poměrně velkého množství nepodpořených projektů?</w:t>
            </w:r>
          </w:p>
        </w:tc>
        <w:tc>
          <w:tcPr>
            <w:tcW w:w="227" w:type="pct"/>
            <w:shd w:val="clear" w:color="auto" w:fill="auto"/>
          </w:tcPr>
          <w:p w14:paraId="5E588F57"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1D54548F" wp14:editId="473CB037">
                  <wp:extent cx="153619" cy="153619"/>
                  <wp:effectExtent l="0" t="0" r="0" b="0"/>
                  <wp:docPr id="230" name="Obrázek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27" w:type="pct"/>
            <w:shd w:val="clear" w:color="auto" w:fill="auto"/>
          </w:tcPr>
          <w:p w14:paraId="067FEEE0"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c>
          <w:tcPr>
            <w:tcW w:w="227" w:type="pct"/>
            <w:shd w:val="clear" w:color="auto" w:fill="auto"/>
          </w:tcPr>
          <w:p w14:paraId="74FBBAEC"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7E4105A5" wp14:editId="1F8278B7">
                  <wp:extent cx="153619" cy="153619"/>
                  <wp:effectExtent l="0" t="0" r="0" b="0"/>
                  <wp:docPr id="231" name="Obrázek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27" w:type="pct"/>
            <w:shd w:val="clear" w:color="auto" w:fill="auto"/>
          </w:tcPr>
          <w:p w14:paraId="783EEEBC"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c>
          <w:tcPr>
            <w:tcW w:w="229" w:type="pct"/>
            <w:shd w:val="clear" w:color="auto" w:fill="auto"/>
          </w:tcPr>
          <w:p w14:paraId="21599E01"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r>
      <w:tr w:rsidR="00933261" w:rsidRPr="00EC57D5" w14:paraId="3F03F6A7" w14:textId="77777777" w:rsidTr="0028578A">
        <w:tc>
          <w:tcPr>
            <w:cnfStyle w:val="001000000000" w:firstRow="0" w:lastRow="0" w:firstColumn="1" w:lastColumn="0" w:oddVBand="0" w:evenVBand="0" w:oddHBand="0" w:evenHBand="0" w:firstRowFirstColumn="0" w:firstRowLastColumn="0" w:lastRowFirstColumn="0" w:lastRowLastColumn="0"/>
            <w:tcW w:w="206" w:type="pct"/>
          </w:tcPr>
          <w:p w14:paraId="172FB1CF" w14:textId="77777777" w:rsidR="00933261" w:rsidRPr="00351B75" w:rsidRDefault="00933261" w:rsidP="003C3817">
            <w:pPr>
              <w:spacing w:after="60"/>
              <w:rPr>
                <w:sz w:val="16"/>
                <w:szCs w:val="16"/>
              </w:rPr>
            </w:pPr>
            <w:r w:rsidRPr="00351B75">
              <w:rPr>
                <w:sz w:val="16"/>
                <w:szCs w:val="16"/>
              </w:rPr>
              <w:t>B3</w:t>
            </w:r>
          </w:p>
        </w:tc>
        <w:tc>
          <w:tcPr>
            <w:tcW w:w="3658" w:type="pct"/>
          </w:tcPr>
          <w:p w14:paraId="1BC505D4"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351B75">
              <w:rPr>
                <w:sz w:val="16"/>
                <w:szCs w:val="16"/>
              </w:rPr>
              <w:t>Mohou se žadatelé/příjemci na základě předem zveřejněných informací o plánovaných výzvách a klíčových podmínkách pro získání podpory kvalitně a včas připravit na podání žádosti? Jsou výzvy vhodně načasované? Vyhovuje žadatelům zvolený typ výzev?</w:t>
            </w:r>
          </w:p>
        </w:tc>
        <w:tc>
          <w:tcPr>
            <w:tcW w:w="227" w:type="pct"/>
            <w:shd w:val="clear" w:color="auto" w:fill="auto"/>
          </w:tcPr>
          <w:p w14:paraId="707D4F42"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6B5DBC00" wp14:editId="06023CB2">
                  <wp:extent cx="153619" cy="153619"/>
                  <wp:effectExtent l="0" t="0" r="0" b="0"/>
                  <wp:docPr id="232" name="Obrázek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27" w:type="pct"/>
            <w:shd w:val="clear" w:color="auto" w:fill="auto"/>
          </w:tcPr>
          <w:p w14:paraId="12568E7E"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c>
          <w:tcPr>
            <w:tcW w:w="227" w:type="pct"/>
            <w:shd w:val="clear" w:color="auto" w:fill="auto"/>
          </w:tcPr>
          <w:p w14:paraId="1DA52076"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1EDF3356" wp14:editId="73C12655">
                  <wp:extent cx="153619" cy="153619"/>
                  <wp:effectExtent l="0" t="0" r="0" b="0"/>
                  <wp:docPr id="234" name="Obrázek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27" w:type="pct"/>
            <w:shd w:val="clear" w:color="auto" w:fill="auto"/>
          </w:tcPr>
          <w:p w14:paraId="62DB1A8B"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53E87EA4" wp14:editId="194F4BD9">
                  <wp:extent cx="153619" cy="153619"/>
                  <wp:effectExtent l="0" t="0" r="0" b="0"/>
                  <wp:docPr id="235" name="Obrázek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29" w:type="pct"/>
            <w:shd w:val="clear" w:color="auto" w:fill="auto"/>
          </w:tcPr>
          <w:p w14:paraId="0A9631DF"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r>
      <w:tr w:rsidR="00933261" w:rsidRPr="00EC57D5" w14:paraId="75CF5F2F" w14:textId="77777777" w:rsidTr="0028578A">
        <w:tc>
          <w:tcPr>
            <w:cnfStyle w:val="001000000000" w:firstRow="0" w:lastRow="0" w:firstColumn="1" w:lastColumn="0" w:oddVBand="0" w:evenVBand="0" w:oddHBand="0" w:evenHBand="0" w:firstRowFirstColumn="0" w:firstRowLastColumn="0" w:lastRowFirstColumn="0" w:lastRowLastColumn="0"/>
            <w:tcW w:w="206" w:type="pct"/>
          </w:tcPr>
          <w:p w14:paraId="161A38D1" w14:textId="77777777" w:rsidR="00933261" w:rsidRPr="00351B75" w:rsidRDefault="00933261" w:rsidP="003C3817">
            <w:pPr>
              <w:spacing w:after="60"/>
              <w:rPr>
                <w:sz w:val="16"/>
                <w:szCs w:val="16"/>
              </w:rPr>
            </w:pPr>
            <w:r w:rsidRPr="00351B75">
              <w:rPr>
                <w:sz w:val="16"/>
                <w:szCs w:val="16"/>
              </w:rPr>
              <w:t>B4</w:t>
            </w:r>
          </w:p>
        </w:tc>
        <w:tc>
          <w:tcPr>
            <w:tcW w:w="3658" w:type="pct"/>
          </w:tcPr>
          <w:p w14:paraId="07025CBB"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351B75">
              <w:rPr>
                <w:sz w:val="16"/>
                <w:szCs w:val="16"/>
              </w:rPr>
              <w:t>Jsou podmínky výzev a jejich případných změn ze strany žadatelů/příjemců hodnoceny jako srozumitelné a přehledné? Zvýšila se při porovnání s OPPI nutnost mikro, malých a středních podniků využít služeb poradenské firmy při podání žádosti? Jak zajistit větší úspěšnost žádostí podaných mikro a malými podniky?</w:t>
            </w:r>
          </w:p>
        </w:tc>
        <w:tc>
          <w:tcPr>
            <w:tcW w:w="227" w:type="pct"/>
            <w:shd w:val="clear" w:color="auto" w:fill="auto"/>
          </w:tcPr>
          <w:p w14:paraId="00AC2B42"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c>
          <w:tcPr>
            <w:tcW w:w="227" w:type="pct"/>
            <w:shd w:val="clear" w:color="auto" w:fill="auto"/>
          </w:tcPr>
          <w:p w14:paraId="680434BA"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c>
          <w:tcPr>
            <w:tcW w:w="227" w:type="pct"/>
            <w:shd w:val="clear" w:color="auto" w:fill="auto"/>
          </w:tcPr>
          <w:p w14:paraId="0467B4CB"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121D7763" wp14:editId="0F79C33F">
                  <wp:extent cx="153619" cy="153619"/>
                  <wp:effectExtent l="0" t="0" r="0" b="0"/>
                  <wp:docPr id="237" name="Obrázek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27" w:type="pct"/>
            <w:shd w:val="clear" w:color="auto" w:fill="auto"/>
          </w:tcPr>
          <w:p w14:paraId="198F79EF"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4D43F6CB" wp14:editId="435F9859">
                  <wp:extent cx="153619" cy="153619"/>
                  <wp:effectExtent l="0" t="0" r="0" b="0"/>
                  <wp:docPr id="238" name="Obrázek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29" w:type="pct"/>
            <w:shd w:val="clear" w:color="auto" w:fill="auto"/>
          </w:tcPr>
          <w:p w14:paraId="3045836B"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45645690" wp14:editId="3559B00C">
                  <wp:extent cx="153619" cy="153619"/>
                  <wp:effectExtent l="0" t="0" r="0" b="0"/>
                  <wp:docPr id="239" name="Obrázek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r>
      <w:tr w:rsidR="00933261" w:rsidRPr="00EC57D5" w14:paraId="3E081B74" w14:textId="77777777" w:rsidTr="0028578A">
        <w:tc>
          <w:tcPr>
            <w:cnfStyle w:val="001000000000" w:firstRow="0" w:lastRow="0" w:firstColumn="1" w:lastColumn="0" w:oddVBand="0" w:evenVBand="0" w:oddHBand="0" w:evenHBand="0" w:firstRowFirstColumn="0" w:firstRowLastColumn="0" w:lastRowFirstColumn="0" w:lastRowLastColumn="0"/>
            <w:tcW w:w="206" w:type="pct"/>
          </w:tcPr>
          <w:p w14:paraId="2F837A92" w14:textId="77777777" w:rsidR="00933261" w:rsidRPr="00351B75" w:rsidRDefault="00933261" w:rsidP="003C3817">
            <w:pPr>
              <w:spacing w:after="60"/>
              <w:rPr>
                <w:sz w:val="16"/>
                <w:szCs w:val="16"/>
              </w:rPr>
            </w:pPr>
            <w:r w:rsidRPr="00351B75">
              <w:rPr>
                <w:sz w:val="16"/>
                <w:szCs w:val="16"/>
              </w:rPr>
              <w:t>B5</w:t>
            </w:r>
          </w:p>
        </w:tc>
        <w:tc>
          <w:tcPr>
            <w:tcW w:w="3658" w:type="pct"/>
          </w:tcPr>
          <w:p w14:paraId="62020D7A"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351B75">
              <w:rPr>
                <w:sz w:val="16"/>
                <w:szCs w:val="16"/>
              </w:rPr>
              <w:t xml:space="preserve">Nejsou po žadatelích vyžadovány duplicitní nebo nadbytečné informace? Jsou všechny aktuálně požadované přílohy žádosti o podporu přínosné pro hodnocení či implementaci projektů? Nebylo by možné předložení některých příloh posunout až do fáze před </w:t>
            </w:r>
            <w:r w:rsidRPr="00351B75">
              <w:rPr>
                <w:sz w:val="16"/>
                <w:szCs w:val="16"/>
              </w:rPr>
              <w:lastRenderedPageBreak/>
              <w:t>podpisem právního aktu? Ve kterých případech by bylo možné nahradit povinnost žadatelů/příjemců předkládat určité informace či dokumenty získáním dat dostupných z informačních systémů veřejné správy, aniž by to zároveň znamenalo významné zvýšení zátěže pro implementační strukturu?</w:t>
            </w:r>
          </w:p>
        </w:tc>
        <w:tc>
          <w:tcPr>
            <w:tcW w:w="227" w:type="pct"/>
            <w:shd w:val="clear" w:color="auto" w:fill="auto"/>
          </w:tcPr>
          <w:p w14:paraId="03CBE461"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lastRenderedPageBreak/>
              <w:drawing>
                <wp:inline distT="0" distB="0" distL="0" distR="0" wp14:anchorId="4CC39F1D" wp14:editId="07BC04D0">
                  <wp:extent cx="153619" cy="153619"/>
                  <wp:effectExtent l="0" t="0" r="0" b="0"/>
                  <wp:docPr id="240" name="Obrázek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27" w:type="pct"/>
            <w:shd w:val="clear" w:color="auto" w:fill="auto"/>
          </w:tcPr>
          <w:p w14:paraId="400515A9"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53115AE8" wp14:editId="5BD94AB9">
                  <wp:extent cx="153619" cy="153619"/>
                  <wp:effectExtent l="0" t="0" r="0" b="0"/>
                  <wp:docPr id="241" name="Obrázek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27" w:type="pct"/>
            <w:shd w:val="clear" w:color="auto" w:fill="auto"/>
          </w:tcPr>
          <w:p w14:paraId="1E1CC59F"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3A14903F" wp14:editId="41EE9016">
                  <wp:extent cx="153619" cy="153619"/>
                  <wp:effectExtent l="0" t="0" r="0" b="0"/>
                  <wp:docPr id="242" name="Obrázek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27" w:type="pct"/>
            <w:shd w:val="clear" w:color="auto" w:fill="auto"/>
          </w:tcPr>
          <w:p w14:paraId="50D61457"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c>
          <w:tcPr>
            <w:tcW w:w="229" w:type="pct"/>
            <w:shd w:val="clear" w:color="auto" w:fill="auto"/>
          </w:tcPr>
          <w:p w14:paraId="3FD7348F"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781A759A" wp14:editId="2A1E9E71">
                  <wp:extent cx="153619" cy="153619"/>
                  <wp:effectExtent l="0" t="0" r="0" b="0"/>
                  <wp:docPr id="244" name="Obrázek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r>
      <w:tr w:rsidR="00933261" w:rsidRPr="00EC57D5" w14:paraId="463F0E89" w14:textId="77777777" w:rsidTr="0028578A">
        <w:tc>
          <w:tcPr>
            <w:cnfStyle w:val="001000000000" w:firstRow="0" w:lastRow="0" w:firstColumn="1" w:lastColumn="0" w:oddVBand="0" w:evenVBand="0" w:oddHBand="0" w:evenHBand="0" w:firstRowFirstColumn="0" w:firstRowLastColumn="0" w:lastRowFirstColumn="0" w:lastRowLastColumn="0"/>
            <w:tcW w:w="206" w:type="pct"/>
          </w:tcPr>
          <w:p w14:paraId="5812123F" w14:textId="77777777" w:rsidR="00933261" w:rsidRPr="00351B75" w:rsidRDefault="00933261" w:rsidP="003C3817">
            <w:pPr>
              <w:spacing w:after="60"/>
              <w:rPr>
                <w:sz w:val="16"/>
                <w:szCs w:val="16"/>
              </w:rPr>
            </w:pPr>
            <w:r w:rsidRPr="00351B75">
              <w:rPr>
                <w:sz w:val="16"/>
                <w:szCs w:val="16"/>
              </w:rPr>
              <w:t>B6</w:t>
            </w:r>
          </w:p>
        </w:tc>
        <w:tc>
          <w:tcPr>
            <w:tcW w:w="3658" w:type="pct"/>
          </w:tcPr>
          <w:p w14:paraId="4852E450"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351B75">
              <w:rPr>
                <w:sz w:val="16"/>
                <w:szCs w:val="16"/>
              </w:rPr>
              <w:t>Jsou procesy a výstupy týkající se schvalování projektu pro žadatele srozumitelné? Poskytuje implementační struktura dostatečnou zpětnou vazbu žadatelům, kteří se svou žádostí neuspěli?</w:t>
            </w:r>
          </w:p>
        </w:tc>
        <w:tc>
          <w:tcPr>
            <w:tcW w:w="227" w:type="pct"/>
            <w:shd w:val="clear" w:color="auto" w:fill="auto"/>
          </w:tcPr>
          <w:p w14:paraId="2F0D9A58"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c>
          <w:tcPr>
            <w:tcW w:w="227" w:type="pct"/>
            <w:shd w:val="clear" w:color="auto" w:fill="auto"/>
          </w:tcPr>
          <w:p w14:paraId="37E6EE2C"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c>
          <w:tcPr>
            <w:tcW w:w="227" w:type="pct"/>
            <w:shd w:val="clear" w:color="auto" w:fill="auto"/>
          </w:tcPr>
          <w:p w14:paraId="314BDD69"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73B11483" wp14:editId="6B6CE005">
                  <wp:extent cx="153619" cy="153619"/>
                  <wp:effectExtent l="0" t="0" r="0" b="0"/>
                  <wp:docPr id="246" name="Obrázek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27" w:type="pct"/>
            <w:shd w:val="clear" w:color="auto" w:fill="auto"/>
          </w:tcPr>
          <w:p w14:paraId="4679CD4D"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4ADB1887" wp14:editId="5248BE7F">
                  <wp:extent cx="153619" cy="153619"/>
                  <wp:effectExtent l="0" t="0" r="0" b="0"/>
                  <wp:docPr id="247" name="Obrázek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29" w:type="pct"/>
            <w:shd w:val="clear" w:color="auto" w:fill="auto"/>
          </w:tcPr>
          <w:p w14:paraId="49C5D9BD"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r>
      <w:tr w:rsidR="00933261" w:rsidRPr="00EC57D5" w14:paraId="21F929A8" w14:textId="77777777" w:rsidTr="0028578A">
        <w:tc>
          <w:tcPr>
            <w:cnfStyle w:val="001000000000" w:firstRow="0" w:lastRow="0" w:firstColumn="1" w:lastColumn="0" w:oddVBand="0" w:evenVBand="0" w:oddHBand="0" w:evenHBand="0" w:firstRowFirstColumn="0" w:firstRowLastColumn="0" w:lastRowFirstColumn="0" w:lastRowLastColumn="0"/>
            <w:tcW w:w="206" w:type="pct"/>
          </w:tcPr>
          <w:p w14:paraId="7C1D86AA" w14:textId="77777777" w:rsidR="00933261" w:rsidRPr="00351B75" w:rsidRDefault="00933261" w:rsidP="003C3817">
            <w:pPr>
              <w:spacing w:after="60"/>
              <w:rPr>
                <w:sz w:val="16"/>
                <w:szCs w:val="16"/>
              </w:rPr>
            </w:pPr>
            <w:r w:rsidRPr="00351B75">
              <w:rPr>
                <w:sz w:val="16"/>
                <w:szCs w:val="16"/>
              </w:rPr>
              <w:t>B7</w:t>
            </w:r>
          </w:p>
        </w:tc>
        <w:tc>
          <w:tcPr>
            <w:tcW w:w="3658" w:type="pct"/>
          </w:tcPr>
          <w:p w14:paraId="13C4335A" w14:textId="0D1F4CDC" w:rsidR="00933261" w:rsidRPr="00351B75" w:rsidRDefault="00933261" w:rsidP="00405DA8">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351B75">
              <w:rPr>
                <w:sz w:val="16"/>
                <w:szCs w:val="16"/>
              </w:rPr>
              <w:t xml:space="preserve">Jaká je průměrná a mediánová doba od podání žádosti po podpis právního aktu? Jsou dodržovány stanovené lhůty hodnocení žádostí? Jak proces schvalování </w:t>
            </w:r>
            <w:r w:rsidR="00405DA8">
              <w:rPr>
                <w:sz w:val="16"/>
                <w:szCs w:val="16"/>
              </w:rPr>
              <w:t>žádostí o podporu</w:t>
            </w:r>
            <w:r w:rsidRPr="00351B75">
              <w:rPr>
                <w:sz w:val="16"/>
                <w:szCs w:val="16"/>
              </w:rPr>
              <w:t xml:space="preserve"> zrychlit? Jaký je společný rys žádostí, jejichž vyhodnocení trvá nadprůměrně dlouho? </w:t>
            </w:r>
          </w:p>
        </w:tc>
        <w:tc>
          <w:tcPr>
            <w:tcW w:w="227" w:type="pct"/>
            <w:shd w:val="clear" w:color="auto" w:fill="auto"/>
          </w:tcPr>
          <w:p w14:paraId="68F2C674"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4BC0E49B" wp14:editId="420ED950">
                  <wp:extent cx="153619" cy="153619"/>
                  <wp:effectExtent l="0" t="0" r="0" b="0"/>
                  <wp:docPr id="248" name="Obrázek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27" w:type="pct"/>
            <w:shd w:val="clear" w:color="auto" w:fill="auto"/>
          </w:tcPr>
          <w:p w14:paraId="44B44A46"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c>
          <w:tcPr>
            <w:tcW w:w="227" w:type="pct"/>
            <w:shd w:val="clear" w:color="auto" w:fill="auto"/>
          </w:tcPr>
          <w:p w14:paraId="53923C1D"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c>
          <w:tcPr>
            <w:tcW w:w="227" w:type="pct"/>
            <w:shd w:val="clear" w:color="auto" w:fill="auto"/>
          </w:tcPr>
          <w:p w14:paraId="2C1918D3"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c>
          <w:tcPr>
            <w:tcW w:w="229" w:type="pct"/>
            <w:shd w:val="clear" w:color="auto" w:fill="auto"/>
          </w:tcPr>
          <w:p w14:paraId="59DA2CE5"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4EB3A515" wp14:editId="5CD0FA5B">
                  <wp:extent cx="153619" cy="153619"/>
                  <wp:effectExtent l="0" t="0" r="0" b="0"/>
                  <wp:docPr id="249" name="Obrázek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r>
      <w:tr w:rsidR="00933261" w:rsidRPr="00EC57D5" w14:paraId="63267B61" w14:textId="77777777" w:rsidTr="0028578A">
        <w:tc>
          <w:tcPr>
            <w:cnfStyle w:val="001000000000" w:firstRow="0" w:lastRow="0" w:firstColumn="1" w:lastColumn="0" w:oddVBand="0" w:evenVBand="0" w:oddHBand="0" w:evenHBand="0" w:firstRowFirstColumn="0" w:firstRowLastColumn="0" w:lastRowFirstColumn="0" w:lastRowLastColumn="0"/>
            <w:tcW w:w="206" w:type="pct"/>
          </w:tcPr>
          <w:p w14:paraId="6EBFCB0D" w14:textId="77777777" w:rsidR="00933261" w:rsidRPr="00351B75" w:rsidRDefault="00933261" w:rsidP="003C3817">
            <w:pPr>
              <w:spacing w:after="60"/>
              <w:rPr>
                <w:sz w:val="16"/>
                <w:szCs w:val="16"/>
              </w:rPr>
            </w:pPr>
            <w:r w:rsidRPr="00351B75">
              <w:rPr>
                <w:sz w:val="16"/>
                <w:szCs w:val="16"/>
              </w:rPr>
              <w:t>B8</w:t>
            </w:r>
          </w:p>
        </w:tc>
        <w:tc>
          <w:tcPr>
            <w:tcW w:w="3658" w:type="pct"/>
          </w:tcPr>
          <w:p w14:paraId="4EDD9454"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351B75">
              <w:rPr>
                <w:sz w:val="16"/>
                <w:szCs w:val="16"/>
              </w:rPr>
              <w:t xml:space="preserve">Jsou pro žadatele srozumitelné podmínky rozhodnutí o poskytnutí dotace a jejich následná aplikace? </w:t>
            </w:r>
          </w:p>
        </w:tc>
        <w:tc>
          <w:tcPr>
            <w:tcW w:w="227" w:type="pct"/>
            <w:shd w:val="clear" w:color="auto" w:fill="auto"/>
          </w:tcPr>
          <w:p w14:paraId="259035DB"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c>
          <w:tcPr>
            <w:tcW w:w="227" w:type="pct"/>
            <w:shd w:val="clear" w:color="auto" w:fill="auto"/>
          </w:tcPr>
          <w:p w14:paraId="286ED625"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58216C32" wp14:editId="15408CAA">
                  <wp:extent cx="153619" cy="153619"/>
                  <wp:effectExtent l="0" t="0" r="0" b="0"/>
                  <wp:docPr id="250" name="Obráze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27" w:type="pct"/>
            <w:shd w:val="clear" w:color="auto" w:fill="auto"/>
          </w:tcPr>
          <w:p w14:paraId="3F1A1D23"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686108B5" wp14:editId="6D97F55F">
                  <wp:extent cx="153619" cy="153619"/>
                  <wp:effectExtent l="0" t="0" r="0" b="0"/>
                  <wp:docPr id="251" name="Obrázek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27" w:type="pct"/>
            <w:shd w:val="clear" w:color="auto" w:fill="auto"/>
          </w:tcPr>
          <w:p w14:paraId="67DC9D6E"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c>
          <w:tcPr>
            <w:tcW w:w="229" w:type="pct"/>
            <w:shd w:val="clear" w:color="auto" w:fill="auto"/>
          </w:tcPr>
          <w:p w14:paraId="15907D60"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r>
      <w:tr w:rsidR="00933261" w:rsidRPr="00EC57D5" w14:paraId="65C338BD" w14:textId="77777777" w:rsidTr="0028578A">
        <w:tc>
          <w:tcPr>
            <w:cnfStyle w:val="001000000000" w:firstRow="0" w:lastRow="0" w:firstColumn="1" w:lastColumn="0" w:oddVBand="0" w:evenVBand="0" w:oddHBand="0" w:evenHBand="0" w:firstRowFirstColumn="0" w:firstRowLastColumn="0" w:lastRowFirstColumn="0" w:lastRowLastColumn="0"/>
            <w:tcW w:w="206" w:type="pct"/>
          </w:tcPr>
          <w:p w14:paraId="56581838" w14:textId="77777777" w:rsidR="00933261" w:rsidRPr="00351B75" w:rsidRDefault="00933261" w:rsidP="003C3817">
            <w:pPr>
              <w:spacing w:after="60"/>
              <w:rPr>
                <w:sz w:val="16"/>
                <w:szCs w:val="16"/>
              </w:rPr>
            </w:pPr>
            <w:r w:rsidRPr="00351B75">
              <w:rPr>
                <w:sz w:val="16"/>
                <w:szCs w:val="16"/>
              </w:rPr>
              <w:t>B9</w:t>
            </w:r>
          </w:p>
        </w:tc>
        <w:tc>
          <w:tcPr>
            <w:tcW w:w="3658" w:type="pct"/>
          </w:tcPr>
          <w:p w14:paraId="0CA61056"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351B75">
              <w:rPr>
                <w:sz w:val="16"/>
                <w:szCs w:val="16"/>
              </w:rPr>
              <w:t>Jsou změnová řízení projektů ze strany pracovníků implementační struktury a příjemců hodnocena jako srozumitelná, přehledná a dostatečně flexibilní? Pokud se musel projekt v průběhu jeho realizace přizpůsobit změnám podmínek, byla tato změna ze strany příjemců hodnocena jako zatěžující? Jak proces změnových řízení zrychlit?</w:t>
            </w:r>
          </w:p>
        </w:tc>
        <w:tc>
          <w:tcPr>
            <w:tcW w:w="227" w:type="pct"/>
            <w:shd w:val="clear" w:color="auto" w:fill="auto"/>
          </w:tcPr>
          <w:p w14:paraId="59CD6D9C"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c>
          <w:tcPr>
            <w:tcW w:w="227" w:type="pct"/>
            <w:shd w:val="clear" w:color="auto" w:fill="auto"/>
          </w:tcPr>
          <w:p w14:paraId="38F2E69E"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79AD33BF" wp14:editId="04A71882">
                  <wp:extent cx="153619" cy="153619"/>
                  <wp:effectExtent l="0" t="0" r="0" b="0"/>
                  <wp:docPr id="252" name="Obrázek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27" w:type="pct"/>
            <w:shd w:val="clear" w:color="auto" w:fill="auto"/>
          </w:tcPr>
          <w:p w14:paraId="59861948"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1963D8EB" wp14:editId="268570DC">
                  <wp:extent cx="153619" cy="153619"/>
                  <wp:effectExtent l="0" t="0" r="0" b="0"/>
                  <wp:docPr id="253" name="Obrázek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27" w:type="pct"/>
            <w:shd w:val="clear" w:color="auto" w:fill="auto"/>
          </w:tcPr>
          <w:p w14:paraId="0884CFDA"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68477851" wp14:editId="18DFB7CF">
                  <wp:extent cx="153619" cy="153619"/>
                  <wp:effectExtent l="0" t="0" r="0" b="0"/>
                  <wp:docPr id="254" name="Obrázek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29" w:type="pct"/>
            <w:shd w:val="clear" w:color="auto" w:fill="auto"/>
          </w:tcPr>
          <w:p w14:paraId="6A2698DD"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599B47C1" wp14:editId="351CA2DC">
                  <wp:extent cx="153619" cy="153619"/>
                  <wp:effectExtent l="0" t="0" r="0" b="0"/>
                  <wp:docPr id="255" name="Obrázek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r>
      <w:tr w:rsidR="00933261" w:rsidRPr="00EC57D5" w14:paraId="31DAE3C8" w14:textId="77777777" w:rsidTr="0028578A">
        <w:tc>
          <w:tcPr>
            <w:cnfStyle w:val="001000000000" w:firstRow="0" w:lastRow="0" w:firstColumn="1" w:lastColumn="0" w:oddVBand="0" w:evenVBand="0" w:oddHBand="0" w:evenHBand="0" w:firstRowFirstColumn="0" w:firstRowLastColumn="0" w:lastRowFirstColumn="0" w:lastRowLastColumn="0"/>
            <w:tcW w:w="206" w:type="pct"/>
          </w:tcPr>
          <w:p w14:paraId="0D649E6E" w14:textId="77777777" w:rsidR="00933261" w:rsidRPr="00351B75" w:rsidRDefault="00933261" w:rsidP="003C3817">
            <w:pPr>
              <w:spacing w:after="60"/>
              <w:rPr>
                <w:sz w:val="16"/>
                <w:szCs w:val="16"/>
              </w:rPr>
            </w:pPr>
            <w:r w:rsidRPr="00351B75">
              <w:rPr>
                <w:sz w:val="16"/>
                <w:szCs w:val="16"/>
              </w:rPr>
              <w:t>B10</w:t>
            </w:r>
          </w:p>
        </w:tc>
        <w:tc>
          <w:tcPr>
            <w:tcW w:w="3658" w:type="pct"/>
          </w:tcPr>
          <w:p w14:paraId="681E876C"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351B75">
              <w:rPr>
                <w:sz w:val="16"/>
                <w:szCs w:val="16"/>
              </w:rPr>
              <w:t>Je proces žádostí o platbu ze strany pracovníků implementační struktury a příjemců hodnocen jako srozumitelný a přehledný? Jaká je průměrná a mediánová doba proplacení finančních prostředků ze strany poskytovatele podpory ode dne podané žádosti o platbu?</w:t>
            </w:r>
            <w:r w:rsidRPr="00351B75">
              <w:rPr>
                <w:sz w:val="16"/>
                <w:szCs w:val="16"/>
                <w:vertAlign w:val="superscript"/>
              </w:rPr>
              <w:footnoteReference w:id="6"/>
            </w:r>
            <w:r w:rsidRPr="00351B75">
              <w:rPr>
                <w:sz w:val="16"/>
                <w:szCs w:val="16"/>
              </w:rPr>
              <w:t xml:space="preserve"> Je z pohledu příjemců doba posuzování žádosti hodnocena jako přiměřená? Jak proces žádostí o platbu zrychlit?</w:t>
            </w:r>
          </w:p>
        </w:tc>
        <w:tc>
          <w:tcPr>
            <w:tcW w:w="227" w:type="pct"/>
            <w:shd w:val="clear" w:color="auto" w:fill="auto"/>
          </w:tcPr>
          <w:p w14:paraId="763E338A"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26A0B368" wp14:editId="7E0F5C51">
                  <wp:extent cx="153619" cy="153619"/>
                  <wp:effectExtent l="0" t="0" r="0" b="0"/>
                  <wp:docPr id="256" name="Obrázek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27" w:type="pct"/>
            <w:shd w:val="clear" w:color="auto" w:fill="auto"/>
          </w:tcPr>
          <w:p w14:paraId="4B4C3842"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c>
          <w:tcPr>
            <w:tcW w:w="227" w:type="pct"/>
            <w:shd w:val="clear" w:color="auto" w:fill="auto"/>
          </w:tcPr>
          <w:p w14:paraId="46171105"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2E5590D4" wp14:editId="23A1E32B">
                  <wp:extent cx="153619" cy="153619"/>
                  <wp:effectExtent l="0" t="0" r="0" b="0"/>
                  <wp:docPr id="258" name="Obrázek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27" w:type="pct"/>
            <w:shd w:val="clear" w:color="auto" w:fill="auto"/>
          </w:tcPr>
          <w:p w14:paraId="7DF4CCDF"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1494AD69" wp14:editId="26CD3EE2">
                  <wp:extent cx="153619" cy="153619"/>
                  <wp:effectExtent l="0" t="0" r="0" b="0"/>
                  <wp:docPr id="259" name="Obrázek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29" w:type="pct"/>
            <w:shd w:val="clear" w:color="auto" w:fill="auto"/>
          </w:tcPr>
          <w:p w14:paraId="336481F8"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2AF21E3F" wp14:editId="257F2EEE">
                  <wp:extent cx="153619" cy="153619"/>
                  <wp:effectExtent l="0" t="0" r="0" b="0"/>
                  <wp:docPr id="260" name="Obrázek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r>
      <w:tr w:rsidR="00933261" w:rsidRPr="00EC57D5" w14:paraId="459EADCA" w14:textId="77777777" w:rsidTr="0028578A">
        <w:tc>
          <w:tcPr>
            <w:cnfStyle w:val="001000000000" w:firstRow="0" w:lastRow="0" w:firstColumn="1" w:lastColumn="0" w:oddVBand="0" w:evenVBand="0" w:oddHBand="0" w:evenHBand="0" w:firstRowFirstColumn="0" w:firstRowLastColumn="0" w:lastRowFirstColumn="0" w:lastRowLastColumn="0"/>
            <w:tcW w:w="206" w:type="pct"/>
          </w:tcPr>
          <w:p w14:paraId="35613D95" w14:textId="77777777" w:rsidR="00933261" w:rsidRPr="00351B75" w:rsidRDefault="00933261" w:rsidP="003C3817">
            <w:pPr>
              <w:spacing w:after="60"/>
              <w:rPr>
                <w:sz w:val="16"/>
                <w:szCs w:val="16"/>
              </w:rPr>
            </w:pPr>
            <w:r w:rsidRPr="00351B75">
              <w:rPr>
                <w:sz w:val="16"/>
                <w:szCs w:val="16"/>
              </w:rPr>
              <w:t>B11</w:t>
            </w:r>
          </w:p>
        </w:tc>
        <w:tc>
          <w:tcPr>
            <w:tcW w:w="3658" w:type="pct"/>
          </w:tcPr>
          <w:p w14:paraId="6E84535E"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351B75">
              <w:rPr>
                <w:sz w:val="16"/>
                <w:szCs w:val="16"/>
              </w:rPr>
              <w:t>Jak žadatelé/příjemci hodnotí práci v systému ISKP14+ v porovnání se systémem ISOP využívaným v programovém období 2007–2013? Lze identifikovat problémy žadatelů/příjemců při práci se systémem ISKP14+, které nemají obecnou povahu inherentně danou monitorovacím systémem, ale vyplývají z činnosti implementační struktury OP PIK?</w:t>
            </w:r>
            <w:r w:rsidRPr="00351B75">
              <w:rPr>
                <w:sz w:val="16"/>
                <w:szCs w:val="16"/>
                <w:vertAlign w:val="superscript"/>
              </w:rPr>
              <w:t xml:space="preserve"> </w:t>
            </w:r>
            <w:r w:rsidRPr="00351B75">
              <w:rPr>
                <w:sz w:val="16"/>
                <w:szCs w:val="16"/>
                <w:vertAlign w:val="superscript"/>
              </w:rPr>
              <w:footnoteReference w:id="7"/>
            </w:r>
          </w:p>
        </w:tc>
        <w:tc>
          <w:tcPr>
            <w:tcW w:w="227" w:type="pct"/>
            <w:shd w:val="clear" w:color="auto" w:fill="auto"/>
          </w:tcPr>
          <w:p w14:paraId="657F3FF9"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1B382459" wp14:editId="53D73389">
                  <wp:extent cx="153619" cy="153619"/>
                  <wp:effectExtent l="0" t="0" r="0" b="0"/>
                  <wp:docPr id="261" name="Obrázek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27" w:type="pct"/>
            <w:shd w:val="clear" w:color="auto" w:fill="auto"/>
          </w:tcPr>
          <w:p w14:paraId="5DC612FD"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c>
          <w:tcPr>
            <w:tcW w:w="227" w:type="pct"/>
            <w:shd w:val="clear" w:color="auto" w:fill="auto"/>
          </w:tcPr>
          <w:p w14:paraId="12D36475"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01E0FA5F" wp14:editId="2EF1BBB2">
                  <wp:extent cx="153619" cy="153619"/>
                  <wp:effectExtent l="0" t="0" r="0" b="0"/>
                  <wp:docPr id="263" name="Obrázek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27" w:type="pct"/>
            <w:shd w:val="clear" w:color="auto" w:fill="auto"/>
          </w:tcPr>
          <w:p w14:paraId="52C1893C"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0ABA6374" wp14:editId="2B85FDB5">
                  <wp:extent cx="153619" cy="153619"/>
                  <wp:effectExtent l="0" t="0" r="0" b="0"/>
                  <wp:docPr id="264" name="Obrázek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29" w:type="pct"/>
            <w:shd w:val="clear" w:color="auto" w:fill="auto"/>
          </w:tcPr>
          <w:p w14:paraId="65BAAD7E"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r>
      <w:tr w:rsidR="00933261" w:rsidRPr="00EC57D5" w14:paraId="74139223" w14:textId="77777777" w:rsidTr="0028578A">
        <w:tc>
          <w:tcPr>
            <w:cnfStyle w:val="001000000000" w:firstRow="0" w:lastRow="0" w:firstColumn="1" w:lastColumn="0" w:oddVBand="0" w:evenVBand="0" w:oddHBand="0" w:evenHBand="0" w:firstRowFirstColumn="0" w:firstRowLastColumn="0" w:lastRowFirstColumn="0" w:lastRowLastColumn="0"/>
            <w:tcW w:w="206" w:type="pct"/>
          </w:tcPr>
          <w:p w14:paraId="737DF140" w14:textId="77777777" w:rsidR="00933261" w:rsidRPr="00351B75" w:rsidRDefault="00933261" w:rsidP="003C3817">
            <w:pPr>
              <w:spacing w:after="60"/>
              <w:rPr>
                <w:sz w:val="16"/>
                <w:szCs w:val="16"/>
              </w:rPr>
            </w:pPr>
            <w:r w:rsidRPr="00351B75">
              <w:rPr>
                <w:sz w:val="16"/>
                <w:szCs w:val="16"/>
              </w:rPr>
              <w:t>B12</w:t>
            </w:r>
          </w:p>
        </w:tc>
        <w:tc>
          <w:tcPr>
            <w:tcW w:w="3658" w:type="pct"/>
          </w:tcPr>
          <w:p w14:paraId="419D2068"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351B75">
              <w:rPr>
                <w:sz w:val="16"/>
                <w:szCs w:val="16"/>
              </w:rPr>
              <w:t>Využívá implementační struktura OP PIK plně možností monitorovacího systému MS2014+? Je možné některé procesy v systému zautomatizovat? Ve kterých oblastech je MS2014+ pro implementační strukturu nejvíce limitující (z hlediska objemu práce, času, kontroly dat apod.)?</w:t>
            </w:r>
          </w:p>
        </w:tc>
        <w:tc>
          <w:tcPr>
            <w:tcW w:w="227" w:type="pct"/>
            <w:shd w:val="clear" w:color="auto" w:fill="auto"/>
          </w:tcPr>
          <w:p w14:paraId="43F10EDF"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4E62D4CE" wp14:editId="408ACAB0">
                  <wp:extent cx="153619" cy="153619"/>
                  <wp:effectExtent l="0" t="0" r="0" b="0"/>
                  <wp:docPr id="265" name="Obrázek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27" w:type="pct"/>
            <w:shd w:val="clear" w:color="auto" w:fill="auto"/>
          </w:tcPr>
          <w:p w14:paraId="11D459BB"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278E9256" wp14:editId="2390C343">
                  <wp:extent cx="153619" cy="153619"/>
                  <wp:effectExtent l="0" t="0" r="0" b="0"/>
                  <wp:docPr id="266" name="Obrázek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27" w:type="pct"/>
            <w:shd w:val="clear" w:color="auto" w:fill="auto"/>
          </w:tcPr>
          <w:p w14:paraId="1A8310CF"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039FA8E6" wp14:editId="1F1F44F1">
                  <wp:extent cx="153619" cy="153619"/>
                  <wp:effectExtent l="0" t="0" r="0" b="0"/>
                  <wp:docPr id="267" name="Obrázek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27" w:type="pct"/>
            <w:shd w:val="clear" w:color="auto" w:fill="auto"/>
          </w:tcPr>
          <w:p w14:paraId="31289FAE"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c>
          <w:tcPr>
            <w:tcW w:w="229" w:type="pct"/>
            <w:shd w:val="clear" w:color="auto" w:fill="auto"/>
          </w:tcPr>
          <w:p w14:paraId="7E829ED0" w14:textId="77777777" w:rsidR="00933261" w:rsidRPr="00351B75"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0DA48CAC" wp14:editId="7CB56205">
                  <wp:extent cx="153619" cy="153619"/>
                  <wp:effectExtent l="0" t="0" r="0" b="0"/>
                  <wp:docPr id="268" name="Obrázek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r>
    </w:tbl>
    <w:p w14:paraId="2DDA3D3B" w14:textId="77777777" w:rsidR="00933261" w:rsidRDefault="00933261" w:rsidP="00933261">
      <w:pPr>
        <w:rPr>
          <w:b/>
        </w:rPr>
      </w:pPr>
    </w:p>
    <w:p w14:paraId="286BC54B" w14:textId="77777777" w:rsidR="00933261" w:rsidRPr="000E1076" w:rsidRDefault="00F57E36" w:rsidP="00EE0921">
      <w:pPr>
        <w:spacing w:before="240" w:after="120" w:line="240" w:lineRule="auto"/>
        <w:rPr>
          <w:b/>
          <w:color w:val="012169" w:themeColor="accent4"/>
        </w:rPr>
      </w:pPr>
      <w:r>
        <w:rPr>
          <w:b/>
          <w:color w:val="012169" w:themeColor="accent4"/>
        </w:rPr>
        <w:t>Evaluační o</w:t>
      </w:r>
      <w:r w:rsidR="00933261" w:rsidRPr="000E1076">
        <w:rPr>
          <w:b/>
          <w:color w:val="012169" w:themeColor="accent4"/>
        </w:rPr>
        <w:t>kruh C</w:t>
      </w:r>
      <w:r>
        <w:rPr>
          <w:b/>
          <w:color w:val="012169" w:themeColor="accent4"/>
        </w:rPr>
        <w:t>:</w:t>
      </w:r>
      <w:r w:rsidR="00933261" w:rsidRPr="000E1076">
        <w:rPr>
          <w:b/>
          <w:color w:val="012169" w:themeColor="accent4"/>
        </w:rPr>
        <w:t xml:space="preserve"> Komunikace</w:t>
      </w:r>
    </w:p>
    <w:p w14:paraId="497CA550" w14:textId="77777777" w:rsidR="00E93151" w:rsidRDefault="00E93151" w:rsidP="0028578A">
      <w:pPr>
        <w:pStyle w:val="Titulek"/>
        <w:jc w:val="center"/>
      </w:pPr>
      <w:bookmarkStart w:id="17" w:name="_Toc24384730"/>
      <w:r>
        <w:t xml:space="preserve">Tabulka </w:t>
      </w:r>
      <w:r>
        <w:fldChar w:fldCharType="begin"/>
      </w:r>
      <w:r>
        <w:instrText xml:space="preserve"> SEQ Tabulka \* ARABIC </w:instrText>
      </w:r>
      <w:r>
        <w:fldChar w:fldCharType="separate"/>
      </w:r>
      <w:r>
        <w:rPr>
          <w:noProof/>
        </w:rPr>
        <w:t>4</w:t>
      </w:r>
      <w:r>
        <w:fldChar w:fldCharType="end"/>
      </w:r>
      <w:r w:rsidR="0028578A">
        <w:t>:</w:t>
      </w:r>
      <w:r>
        <w:t xml:space="preserve"> </w:t>
      </w:r>
      <w:r w:rsidRPr="009077FE">
        <w:t>Evaluační okruh C: Komunikace</w:t>
      </w:r>
      <w:bookmarkEnd w:id="17"/>
    </w:p>
    <w:tbl>
      <w:tblPr>
        <w:tblStyle w:val="Deloittetable21"/>
        <w:tblW w:w="5000" w:type="pct"/>
        <w:tblLook w:val="04A0" w:firstRow="1" w:lastRow="0" w:firstColumn="1" w:lastColumn="0" w:noHBand="0" w:noVBand="1"/>
      </w:tblPr>
      <w:tblGrid>
        <w:gridCol w:w="335"/>
        <w:gridCol w:w="7456"/>
        <w:gridCol w:w="432"/>
        <w:gridCol w:w="432"/>
        <w:gridCol w:w="573"/>
        <w:gridCol w:w="432"/>
        <w:gridCol w:w="432"/>
      </w:tblGrid>
      <w:tr w:rsidR="00933261" w:rsidRPr="00A43454" w14:paraId="6F3B4214" w14:textId="77777777" w:rsidTr="00C93ED5">
        <w:trPr>
          <w:cnfStyle w:val="100000000000" w:firstRow="1" w:lastRow="0" w:firstColumn="0" w:lastColumn="0" w:oddVBand="0" w:evenVBand="0" w:oddHBand="0" w:evenHBand="0" w:firstRowFirstColumn="0" w:firstRowLastColumn="0" w:lastRowFirstColumn="0" w:lastRowLastColumn="0"/>
          <w:trHeight w:val="254"/>
          <w:tblHeader/>
        </w:trPr>
        <w:tc>
          <w:tcPr>
            <w:cnfStyle w:val="001000000000" w:firstRow="0" w:lastRow="0" w:firstColumn="1" w:lastColumn="0" w:oddVBand="0" w:evenVBand="0" w:oddHBand="0" w:evenHBand="0" w:firstRowFirstColumn="0" w:firstRowLastColumn="0" w:lastRowFirstColumn="0" w:lastRowLastColumn="0"/>
            <w:tcW w:w="166" w:type="pct"/>
            <w:vMerge w:val="restart"/>
            <w:vAlign w:val="center"/>
          </w:tcPr>
          <w:p w14:paraId="4DDECA73" w14:textId="77777777" w:rsidR="00933261" w:rsidRPr="008C718E" w:rsidRDefault="00933261" w:rsidP="003C3817">
            <w:pPr>
              <w:spacing w:after="60"/>
              <w:rPr>
                <w:sz w:val="16"/>
                <w:szCs w:val="16"/>
              </w:rPr>
            </w:pPr>
            <w:r w:rsidRPr="008C718E">
              <w:rPr>
                <w:sz w:val="16"/>
                <w:szCs w:val="16"/>
              </w:rPr>
              <w:t>Č.</w:t>
            </w:r>
          </w:p>
        </w:tc>
        <w:tc>
          <w:tcPr>
            <w:tcW w:w="3694" w:type="pct"/>
            <w:vMerge w:val="restart"/>
            <w:vAlign w:val="center"/>
          </w:tcPr>
          <w:p w14:paraId="77097631" w14:textId="77777777" w:rsidR="00933261" w:rsidRPr="008C718E" w:rsidRDefault="00933261" w:rsidP="003C3817">
            <w:pPr>
              <w:spacing w:after="60"/>
              <w:cnfStyle w:val="100000000000" w:firstRow="1" w:lastRow="0" w:firstColumn="0" w:lastColumn="0" w:oddVBand="0" w:evenVBand="0" w:oddHBand="0" w:evenHBand="0" w:firstRowFirstColumn="0" w:firstRowLastColumn="0" w:lastRowFirstColumn="0" w:lastRowLastColumn="0"/>
              <w:rPr>
                <w:sz w:val="16"/>
                <w:szCs w:val="16"/>
              </w:rPr>
            </w:pPr>
            <w:r w:rsidRPr="008C718E">
              <w:rPr>
                <w:sz w:val="16"/>
                <w:szCs w:val="16"/>
              </w:rPr>
              <w:t>Evaluační otázka</w:t>
            </w:r>
          </w:p>
        </w:tc>
        <w:tc>
          <w:tcPr>
            <w:tcW w:w="1140" w:type="pct"/>
            <w:gridSpan w:val="5"/>
          </w:tcPr>
          <w:p w14:paraId="41081C87" w14:textId="77777777" w:rsidR="00933261" w:rsidRPr="008C718E" w:rsidRDefault="00933261" w:rsidP="003C3817">
            <w:pPr>
              <w:spacing w:after="60"/>
              <w:jc w:val="center"/>
              <w:cnfStyle w:val="100000000000" w:firstRow="1" w:lastRow="0" w:firstColumn="0" w:lastColumn="0" w:oddVBand="0" w:evenVBand="0" w:oddHBand="0" w:evenHBand="0" w:firstRowFirstColumn="0" w:firstRowLastColumn="0" w:lastRowFirstColumn="0" w:lastRowLastColumn="0"/>
              <w:rPr>
                <w:sz w:val="16"/>
                <w:szCs w:val="16"/>
              </w:rPr>
            </w:pPr>
            <w:r w:rsidRPr="008C718E">
              <w:rPr>
                <w:sz w:val="16"/>
                <w:szCs w:val="16"/>
              </w:rPr>
              <w:t>Evaluační metody</w:t>
            </w:r>
          </w:p>
        </w:tc>
      </w:tr>
      <w:tr w:rsidR="00933261" w:rsidRPr="00A43454" w14:paraId="49971FA2" w14:textId="77777777" w:rsidTr="00C93ED5">
        <w:trPr>
          <w:cnfStyle w:val="100000000000" w:firstRow="1" w:lastRow="0" w:firstColumn="0" w:lastColumn="0" w:oddVBand="0" w:evenVBand="0" w:oddHBand="0" w:evenHBand="0" w:firstRowFirstColumn="0" w:firstRowLastColumn="0" w:lastRowFirstColumn="0" w:lastRowLastColumn="0"/>
          <w:cantSplit/>
          <w:trHeight w:val="1272"/>
          <w:tblHeader/>
        </w:trPr>
        <w:tc>
          <w:tcPr>
            <w:cnfStyle w:val="001000000000" w:firstRow="0" w:lastRow="0" w:firstColumn="1" w:lastColumn="0" w:oddVBand="0" w:evenVBand="0" w:oddHBand="0" w:evenHBand="0" w:firstRowFirstColumn="0" w:firstRowLastColumn="0" w:lastRowFirstColumn="0" w:lastRowLastColumn="0"/>
            <w:tcW w:w="166" w:type="pct"/>
            <w:vMerge/>
          </w:tcPr>
          <w:p w14:paraId="4F62EDB4" w14:textId="77777777" w:rsidR="00933261" w:rsidRPr="008C718E" w:rsidRDefault="00933261" w:rsidP="003C3817">
            <w:pPr>
              <w:spacing w:after="60"/>
              <w:rPr>
                <w:sz w:val="16"/>
                <w:szCs w:val="16"/>
              </w:rPr>
            </w:pPr>
          </w:p>
        </w:tc>
        <w:tc>
          <w:tcPr>
            <w:tcW w:w="3694" w:type="pct"/>
            <w:vMerge/>
          </w:tcPr>
          <w:p w14:paraId="2145F6B9" w14:textId="77777777" w:rsidR="00933261" w:rsidRPr="008C718E" w:rsidRDefault="00933261" w:rsidP="003C3817">
            <w:pPr>
              <w:spacing w:after="60"/>
              <w:cnfStyle w:val="100000000000" w:firstRow="1" w:lastRow="0" w:firstColumn="0" w:lastColumn="0" w:oddVBand="0" w:evenVBand="0" w:oddHBand="0" w:evenHBand="0" w:firstRowFirstColumn="0" w:firstRowLastColumn="0" w:lastRowFirstColumn="0" w:lastRowLastColumn="0"/>
              <w:rPr>
                <w:sz w:val="16"/>
                <w:szCs w:val="16"/>
              </w:rPr>
            </w:pPr>
          </w:p>
        </w:tc>
        <w:tc>
          <w:tcPr>
            <w:tcW w:w="214" w:type="pct"/>
            <w:textDirection w:val="btLr"/>
            <w:vAlign w:val="center"/>
          </w:tcPr>
          <w:p w14:paraId="1416D301" w14:textId="77777777" w:rsidR="00933261" w:rsidRPr="008C718E" w:rsidRDefault="00933261" w:rsidP="003C3817">
            <w:pPr>
              <w:spacing w:after="60"/>
              <w:ind w:left="113" w:right="113"/>
              <w:cnfStyle w:val="100000000000" w:firstRow="1" w:lastRow="0" w:firstColumn="0" w:lastColumn="0" w:oddVBand="0" w:evenVBand="0" w:oddHBand="0" w:evenHBand="0" w:firstRowFirstColumn="0" w:firstRowLastColumn="0" w:lastRowFirstColumn="0" w:lastRowLastColumn="0"/>
              <w:rPr>
                <w:sz w:val="16"/>
                <w:szCs w:val="16"/>
              </w:rPr>
            </w:pPr>
            <w:r w:rsidRPr="008C718E">
              <w:rPr>
                <w:sz w:val="16"/>
                <w:szCs w:val="16"/>
              </w:rPr>
              <w:t>Analýza sek. dat</w:t>
            </w:r>
          </w:p>
        </w:tc>
        <w:tc>
          <w:tcPr>
            <w:tcW w:w="214" w:type="pct"/>
            <w:textDirection w:val="btLr"/>
            <w:vAlign w:val="center"/>
          </w:tcPr>
          <w:p w14:paraId="4AA97EE4" w14:textId="77777777" w:rsidR="00933261" w:rsidRPr="008C718E" w:rsidRDefault="00933261" w:rsidP="003C3817">
            <w:pPr>
              <w:spacing w:after="60"/>
              <w:ind w:left="113" w:right="113"/>
              <w:cnfStyle w:val="100000000000" w:firstRow="1" w:lastRow="0" w:firstColumn="0" w:lastColumn="0" w:oddVBand="0" w:evenVBand="0" w:oddHBand="0" w:evenHBand="0" w:firstRowFirstColumn="0" w:firstRowLastColumn="0" w:lastRowFirstColumn="0" w:lastRowLastColumn="0"/>
              <w:rPr>
                <w:sz w:val="16"/>
                <w:szCs w:val="16"/>
              </w:rPr>
            </w:pPr>
            <w:r w:rsidRPr="008C718E">
              <w:rPr>
                <w:sz w:val="16"/>
                <w:szCs w:val="16"/>
              </w:rPr>
              <w:t>DŠ</w:t>
            </w:r>
          </w:p>
        </w:tc>
        <w:tc>
          <w:tcPr>
            <w:tcW w:w="284" w:type="pct"/>
            <w:textDirection w:val="btLr"/>
            <w:vAlign w:val="center"/>
          </w:tcPr>
          <w:p w14:paraId="6375CD23" w14:textId="77777777" w:rsidR="00933261" w:rsidRPr="008C718E" w:rsidRDefault="00933261" w:rsidP="003C3817">
            <w:pPr>
              <w:spacing w:after="60"/>
              <w:ind w:left="113" w:right="113"/>
              <w:cnfStyle w:val="100000000000" w:firstRow="1" w:lastRow="0" w:firstColumn="0" w:lastColumn="0" w:oddVBand="0" w:evenVBand="0" w:oddHBand="0" w:evenHBand="0" w:firstRowFirstColumn="0" w:firstRowLastColumn="0" w:lastRowFirstColumn="0" w:lastRowLastColumn="0"/>
              <w:rPr>
                <w:sz w:val="16"/>
                <w:szCs w:val="16"/>
              </w:rPr>
            </w:pPr>
            <w:r w:rsidRPr="008C718E">
              <w:rPr>
                <w:sz w:val="16"/>
                <w:szCs w:val="16"/>
              </w:rPr>
              <w:t>Ind. rozhovor</w:t>
            </w:r>
          </w:p>
        </w:tc>
        <w:tc>
          <w:tcPr>
            <w:tcW w:w="214" w:type="pct"/>
            <w:textDirection w:val="btLr"/>
            <w:vAlign w:val="center"/>
          </w:tcPr>
          <w:p w14:paraId="394BAF87" w14:textId="77777777" w:rsidR="00933261" w:rsidRPr="008C718E" w:rsidRDefault="00933261" w:rsidP="003C3817">
            <w:pPr>
              <w:spacing w:after="60"/>
              <w:ind w:left="113" w:right="113"/>
              <w:cnfStyle w:val="100000000000" w:firstRow="1" w:lastRow="0" w:firstColumn="0" w:lastColumn="0" w:oddVBand="0" w:evenVBand="0" w:oddHBand="0" w:evenHBand="0" w:firstRowFirstColumn="0" w:firstRowLastColumn="0" w:lastRowFirstColumn="0" w:lastRowLastColumn="0"/>
              <w:rPr>
                <w:sz w:val="16"/>
                <w:szCs w:val="16"/>
              </w:rPr>
            </w:pPr>
            <w:r w:rsidRPr="008C718E">
              <w:rPr>
                <w:sz w:val="16"/>
                <w:szCs w:val="16"/>
              </w:rPr>
              <w:t>FS</w:t>
            </w:r>
          </w:p>
        </w:tc>
        <w:tc>
          <w:tcPr>
            <w:tcW w:w="214" w:type="pct"/>
            <w:textDirection w:val="btLr"/>
            <w:vAlign w:val="center"/>
          </w:tcPr>
          <w:p w14:paraId="27999287" w14:textId="77777777" w:rsidR="00933261" w:rsidRPr="008C718E" w:rsidRDefault="00933261" w:rsidP="003C3817">
            <w:pPr>
              <w:spacing w:after="60"/>
              <w:ind w:left="113" w:right="113"/>
              <w:cnfStyle w:val="100000000000" w:firstRow="1" w:lastRow="0" w:firstColumn="0" w:lastColumn="0" w:oddVBand="0" w:evenVBand="0" w:oddHBand="0" w:evenHBand="0" w:firstRowFirstColumn="0" w:firstRowLastColumn="0" w:lastRowFirstColumn="0" w:lastRowLastColumn="0"/>
              <w:rPr>
                <w:sz w:val="16"/>
                <w:szCs w:val="16"/>
              </w:rPr>
            </w:pPr>
            <w:r w:rsidRPr="008C718E">
              <w:rPr>
                <w:sz w:val="16"/>
                <w:szCs w:val="16"/>
              </w:rPr>
              <w:t>EP</w:t>
            </w:r>
          </w:p>
        </w:tc>
      </w:tr>
      <w:tr w:rsidR="00933261" w:rsidRPr="00A43454" w14:paraId="53988946" w14:textId="77777777" w:rsidTr="00C93ED5">
        <w:tc>
          <w:tcPr>
            <w:cnfStyle w:val="001000000000" w:firstRow="0" w:lastRow="0" w:firstColumn="1" w:lastColumn="0" w:oddVBand="0" w:evenVBand="0" w:oddHBand="0" w:evenHBand="0" w:firstRowFirstColumn="0" w:firstRowLastColumn="0" w:lastRowFirstColumn="0" w:lastRowLastColumn="0"/>
            <w:tcW w:w="166" w:type="pct"/>
          </w:tcPr>
          <w:p w14:paraId="45A5547B" w14:textId="77777777" w:rsidR="00933261" w:rsidRPr="00A43454" w:rsidRDefault="00933261" w:rsidP="003C3817">
            <w:pPr>
              <w:spacing w:after="60"/>
              <w:rPr>
                <w:sz w:val="16"/>
                <w:szCs w:val="16"/>
              </w:rPr>
            </w:pPr>
            <w:r w:rsidRPr="00A43454">
              <w:rPr>
                <w:sz w:val="16"/>
                <w:szCs w:val="16"/>
              </w:rPr>
              <w:t>C1</w:t>
            </w:r>
          </w:p>
        </w:tc>
        <w:tc>
          <w:tcPr>
            <w:tcW w:w="3694" w:type="pct"/>
          </w:tcPr>
          <w:p w14:paraId="72A6C939"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A43454">
              <w:rPr>
                <w:sz w:val="16"/>
                <w:szCs w:val="16"/>
              </w:rPr>
              <w:t>Jsou procesy interní komunikace uvnitř ŘO OP PIK i ve vztahu ke zprostředkujícím subjektům nastaveny efektivně? Jsou na ŘO OP PIK ustanoveny platformy pro vzájemné informování se, řešení problémů, sdílené zkušeností apod.? V případě, kdy tato komunikace probíhá spíše neformálně, lze ji hodnotit jako dostatečnou?</w:t>
            </w:r>
          </w:p>
        </w:tc>
        <w:tc>
          <w:tcPr>
            <w:tcW w:w="214" w:type="pct"/>
            <w:shd w:val="clear" w:color="auto" w:fill="auto"/>
          </w:tcPr>
          <w:p w14:paraId="0382880C"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A43454">
              <w:rPr>
                <w:noProof/>
                <w:sz w:val="16"/>
                <w:szCs w:val="16"/>
              </w:rPr>
              <w:drawing>
                <wp:inline distT="0" distB="0" distL="0" distR="0" wp14:anchorId="557E5B37" wp14:editId="6B7E417E">
                  <wp:extent cx="153619" cy="153619"/>
                  <wp:effectExtent l="0" t="0" r="0" b="0"/>
                  <wp:docPr id="269" name="Obrázek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14" w:type="pct"/>
            <w:shd w:val="clear" w:color="auto" w:fill="auto"/>
          </w:tcPr>
          <w:p w14:paraId="41A9DD0C"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A43454">
              <w:rPr>
                <w:noProof/>
                <w:sz w:val="16"/>
                <w:szCs w:val="16"/>
              </w:rPr>
              <w:drawing>
                <wp:inline distT="0" distB="0" distL="0" distR="0" wp14:anchorId="65A369EB" wp14:editId="492352FB">
                  <wp:extent cx="153619" cy="153619"/>
                  <wp:effectExtent l="0" t="0" r="0" b="0"/>
                  <wp:docPr id="270" name="Obrázek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84" w:type="pct"/>
            <w:shd w:val="clear" w:color="auto" w:fill="auto"/>
          </w:tcPr>
          <w:p w14:paraId="2C91E10A"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A43454">
              <w:rPr>
                <w:noProof/>
                <w:sz w:val="16"/>
                <w:szCs w:val="16"/>
              </w:rPr>
              <w:drawing>
                <wp:inline distT="0" distB="0" distL="0" distR="0" wp14:anchorId="6B3355A0" wp14:editId="2B68D14A">
                  <wp:extent cx="153619" cy="153619"/>
                  <wp:effectExtent l="0" t="0" r="0" b="0"/>
                  <wp:docPr id="271" name="Obrázek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14" w:type="pct"/>
            <w:shd w:val="clear" w:color="auto" w:fill="auto"/>
          </w:tcPr>
          <w:p w14:paraId="737301A4"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c>
          <w:tcPr>
            <w:tcW w:w="214" w:type="pct"/>
            <w:shd w:val="clear" w:color="auto" w:fill="auto"/>
          </w:tcPr>
          <w:p w14:paraId="1E12D595"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r>
      <w:tr w:rsidR="00933261" w:rsidRPr="00A43454" w14:paraId="3A4495A1" w14:textId="77777777" w:rsidTr="00C93ED5">
        <w:tc>
          <w:tcPr>
            <w:cnfStyle w:val="001000000000" w:firstRow="0" w:lastRow="0" w:firstColumn="1" w:lastColumn="0" w:oddVBand="0" w:evenVBand="0" w:oddHBand="0" w:evenHBand="0" w:firstRowFirstColumn="0" w:firstRowLastColumn="0" w:lastRowFirstColumn="0" w:lastRowLastColumn="0"/>
            <w:tcW w:w="166" w:type="pct"/>
          </w:tcPr>
          <w:p w14:paraId="1DD71B99" w14:textId="77777777" w:rsidR="00933261" w:rsidRPr="00A43454" w:rsidRDefault="00933261" w:rsidP="003C3817">
            <w:pPr>
              <w:spacing w:after="60"/>
              <w:rPr>
                <w:sz w:val="16"/>
                <w:szCs w:val="16"/>
              </w:rPr>
            </w:pPr>
            <w:r w:rsidRPr="00A43454">
              <w:rPr>
                <w:sz w:val="16"/>
                <w:szCs w:val="16"/>
              </w:rPr>
              <w:lastRenderedPageBreak/>
              <w:t>C2</w:t>
            </w:r>
          </w:p>
        </w:tc>
        <w:tc>
          <w:tcPr>
            <w:tcW w:w="3694" w:type="pct"/>
          </w:tcPr>
          <w:p w14:paraId="604A75E7"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A43454">
              <w:rPr>
                <w:rFonts w:cs="Calibri"/>
                <w:sz w:val="16"/>
                <w:szCs w:val="16"/>
              </w:rPr>
              <w:t>Probíhá komunikace mezi ŘO OP PIK a správci finančního nástroje/fondu fondů efektivně? Jsou nastaveny adekvátní komunikační kanály?</w:t>
            </w:r>
          </w:p>
        </w:tc>
        <w:tc>
          <w:tcPr>
            <w:tcW w:w="214" w:type="pct"/>
            <w:shd w:val="clear" w:color="auto" w:fill="auto"/>
          </w:tcPr>
          <w:p w14:paraId="2399F709"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A43454">
              <w:rPr>
                <w:noProof/>
                <w:sz w:val="16"/>
                <w:szCs w:val="16"/>
              </w:rPr>
              <w:drawing>
                <wp:inline distT="0" distB="0" distL="0" distR="0" wp14:anchorId="6F31C897" wp14:editId="63E93859">
                  <wp:extent cx="153619" cy="153619"/>
                  <wp:effectExtent l="0" t="0" r="0" b="0"/>
                  <wp:docPr id="273" name="Obrázek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14" w:type="pct"/>
            <w:shd w:val="clear" w:color="auto" w:fill="auto"/>
          </w:tcPr>
          <w:p w14:paraId="64A6DF1F"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A43454">
              <w:rPr>
                <w:noProof/>
                <w:sz w:val="16"/>
                <w:szCs w:val="16"/>
              </w:rPr>
              <w:drawing>
                <wp:inline distT="0" distB="0" distL="0" distR="0" wp14:anchorId="052392F7" wp14:editId="40C9BF09">
                  <wp:extent cx="153619" cy="153619"/>
                  <wp:effectExtent l="0" t="0" r="0" b="0"/>
                  <wp:docPr id="274" name="Obrázek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84" w:type="pct"/>
            <w:shd w:val="clear" w:color="auto" w:fill="auto"/>
          </w:tcPr>
          <w:p w14:paraId="70CA93B5"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A43454">
              <w:rPr>
                <w:noProof/>
                <w:sz w:val="16"/>
                <w:szCs w:val="16"/>
              </w:rPr>
              <w:drawing>
                <wp:inline distT="0" distB="0" distL="0" distR="0" wp14:anchorId="16B283AE" wp14:editId="597261A8">
                  <wp:extent cx="153619" cy="153619"/>
                  <wp:effectExtent l="0" t="0" r="0" b="0"/>
                  <wp:docPr id="275" name="Obrázek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14" w:type="pct"/>
            <w:shd w:val="clear" w:color="auto" w:fill="auto"/>
          </w:tcPr>
          <w:p w14:paraId="269172BA"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c>
          <w:tcPr>
            <w:tcW w:w="214" w:type="pct"/>
            <w:shd w:val="clear" w:color="auto" w:fill="auto"/>
          </w:tcPr>
          <w:p w14:paraId="34EB19AB"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r>
      <w:tr w:rsidR="00933261" w:rsidRPr="00A43454" w14:paraId="52125CEA" w14:textId="77777777" w:rsidTr="00C93ED5">
        <w:tc>
          <w:tcPr>
            <w:cnfStyle w:val="001000000000" w:firstRow="0" w:lastRow="0" w:firstColumn="1" w:lastColumn="0" w:oddVBand="0" w:evenVBand="0" w:oddHBand="0" w:evenHBand="0" w:firstRowFirstColumn="0" w:firstRowLastColumn="0" w:lastRowFirstColumn="0" w:lastRowLastColumn="0"/>
            <w:tcW w:w="166" w:type="pct"/>
          </w:tcPr>
          <w:p w14:paraId="742D1987" w14:textId="77777777" w:rsidR="00933261" w:rsidRPr="00A43454" w:rsidRDefault="00933261" w:rsidP="003C3817">
            <w:pPr>
              <w:spacing w:after="60"/>
              <w:rPr>
                <w:sz w:val="16"/>
                <w:szCs w:val="16"/>
              </w:rPr>
            </w:pPr>
            <w:r w:rsidRPr="00A43454">
              <w:rPr>
                <w:sz w:val="16"/>
                <w:szCs w:val="16"/>
              </w:rPr>
              <w:t>C3</w:t>
            </w:r>
          </w:p>
        </w:tc>
        <w:tc>
          <w:tcPr>
            <w:tcW w:w="3694" w:type="pct"/>
          </w:tcPr>
          <w:p w14:paraId="01393A4C"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A43454">
              <w:rPr>
                <w:sz w:val="16"/>
                <w:szCs w:val="16"/>
              </w:rPr>
              <w:t>S čím a jakými kanály se žadatelé/příjemci nejčastěji obrací na pracovníky implementační struktury OP PIK?</w:t>
            </w:r>
          </w:p>
        </w:tc>
        <w:tc>
          <w:tcPr>
            <w:tcW w:w="214" w:type="pct"/>
            <w:shd w:val="clear" w:color="auto" w:fill="auto"/>
          </w:tcPr>
          <w:p w14:paraId="0B7E189B"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A43454">
              <w:rPr>
                <w:noProof/>
                <w:sz w:val="16"/>
                <w:szCs w:val="16"/>
              </w:rPr>
              <w:drawing>
                <wp:inline distT="0" distB="0" distL="0" distR="0" wp14:anchorId="141953C2" wp14:editId="2AAEF845">
                  <wp:extent cx="153619" cy="153619"/>
                  <wp:effectExtent l="0" t="0" r="0" b="0"/>
                  <wp:docPr id="277" name="Obrázek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14" w:type="pct"/>
            <w:shd w:val="clear" w:color="auto" w:fill="auto"/>
          </w:tcPr>
          <w:p w14:paraId="7F829F1D"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A43454">
              <w:rPr>
                <w:noProof/>
                <w:sz w:val="16"/>
                <w:szCs w:val="16"/>
              </w:rPr>
              <w:drawing>
                <wp:inline distT="0" distB="0" distL="0" distR="0" wp14:anchorId="15772ACA" wp14:editId="17B131F2">
                  <wp:extent cx="153619" cy="153619"/>
                  <wp:effectExtent l="0" t="0" r="0" b="0"/>
                  <wp:docPr id="278" name="Obrázek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84" w:type="pct"/>
            <w:shd w:val="clear" w:color="auto" w:fill="auto"/>
          </w:tcPr>
          <w:p w14:paraId="511F18B4"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A43454">
              <w:rPr>
                <w:noProof/>
                <w:sz w:val="16"/>
                <w:szCs w:val="16"/>
              </w:rPr>
              <w:drawing>
                <wp:inline distT="0" distB="0" distL="0" distR="0" wp14:anchorId="03D5CAFD" wp14:editId="3BD8F69F">
                  <wp:extent cx="153619" cy="153619"/>
                  <wp:effectExtent l="0" t="0" r="0" b="0"/>
                  <wp:docPr id="279" name="Obrázek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14" w:type="pct"/>
            <w:shd w:val="clear" w:color="auto" w:fill="auto"/>
          </w:tcPr>
          <w:p w14:paraId="310388AF"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c>
          <w:tcPr>
            <w:tcW w:w="214" w:type="pct"/>
            <w:shd w:val="clear" w:color="auto" w:fill="auto"/>
          </w:tcPr>
          <w:p w14:paraId="6F9F6C80"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r>
      <w:tr w:rsidR="00933261" w:rsidRPr="00A43454" w14:paraId="428641C0" w14:textId="77777777" w:rsidTr="00C93ED5">
        <w:tc>
          <w:tcPr>
            <w:cnfStyle w:val="001000000000" w:firstRow="0" w:lastRow="0" w:firstColumn="1" w:lastColumn="0" w:oddVBand="0" w:evenVBand="0" w:oddHBand="0" w:evenHBand="0" w:firstRowFirstColumn="0" w:firstRowLastColumn="0" w:lastRowFirstColumn="0" w:lastRowLastColumn="0"/>
            <w:tcW w:w="166" w:type="pct"/>
          </w:tcPr>
          <w:p w14:paraId="258364EF" w14:textId="77777777" w:rsidR="00933261" w:rsidRPr="00A43454" w:rsidRDefault="00933261" w:rsidP="003C3817">
            <w:pPr>
              <w:spacing w:after="60"/>
              <w:rPr>
                <w:sz w:val="16"/>
                <w:szCs w:val="16"/>
              </w:rPr>
            </w:pPr>
            <w:r w:rsidRPr="00A43454">
              <w:rPr>
                <w:sz w:val="16"/>
                <w:szCs w:val="16"/>
              </w:rPr>
              <w:t>C4</w:t>
            </w:r>
          </w:p>
        </w:tc>
        <w:tc>
          <w:tcPr>
            <w:tcW w:w="3694" w:type="pct"/>
          </w:tcPr>
          <w:p w14:paraId="3CC3FC31"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A43454">
              <w:rPr>
                <w:sz w:val="16"/>
                <w:szCs w:val="16"/>
              </w:rPr>
              <w:t>Lze komunikaci pracovníků implementační struktury se žadateli/příjemci z jejich pohledu označit jako jednoduchou, rychlou při vyřizování požadavků a dodržování předepsaných lhůt?</w:t>
            </w:r>
          </w:p>
        </w:tc>
        <w:tc>
          <w:tcPr>
            <w:tcW w:w="214" w:type="pct"/>
            <w:shd w:val="clear" w:color="auto" w:fill="auto"/>
          </w:tcPr>
          <w:p w14:paraId="45AEB5B3"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c>
          <w:tcPr>
            <w:tcW w:w="214" w:type="pct"/>
            <w:shd w:val="clear" w:color="auto" w:fill="auto"/>
          </w:tcPr>
          <w:p w14:paraId="5A7D5BF5"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A43454">
              <w:rPr>
                <w:noProof/>
                <w:sz w:val="16"/>
                <w:szCs w:val="16"/>
              </w:rPr>
              <w:drawing>
                <wp:inline distT="0" distB="0" distL="0" distR="0" wp14:anchorId="0D79F9C5" wp14:editId="1B6FC366">
                  <wp:extent cx="153619" cy="153619"/>
                  <wp:effectExtent l="0" t="0" r="0" b="0"/>
                  <wp:docPr id="280" name="Obrázek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84" w:type="pct"/>
            <w:shd w:val="clear" w:color="auto" w:fill="auto"/>
          </w:tcPr>
          <w:p w14:paraId="163DAE3B"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A43454">
              <w:rPr>
                <w:noProof/>
                <w:sz w:val="16"/>
                <w:szCs w:val="16"/>
              </w:rPr>
              <w:drawing>
                <wp:inline distT="0" distB="0" distL="0" distR="0" wp14:anchorId="29A7E8D0" wp14:editId="299B355A">
                  <wp:extent cx="153619" cy="153619"/>
                  <wp:effectExtent l="0" t="0" r="0" b="0"/>
                  <wp:docPr id="281" name="Obrázek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14" w:type="pct"/>
            <w:shd w:val="clear" w:color="auto" w:fill="auto"/>
          </w:tcPr>
          <w:p w14:paraId="5751DA4F"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c>
          <w:tcPr>
            <w:tcW w:w="214" w:type="pct"/>
            <w:shd w:val="clear" w:color="auto" w:fill="auto"/>
          </w:tcPr>
          <w:p w14:paraId="7A30F079"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r>
      <w:tr w:rsidR="00933261" w:rsidRPr="00A43454" w14:paraId="51F81611" w14:textId="77777777" w:rsidTr="00C93ED5">
        <w:tc>
          <w:tcPr>
            <w:cnfStyle w:val="001000000000" w:firstRow="0" w:lastRow="0" w:firstColumn="1" w:lastColumn="0" w:oddVBand="0" w:evenVBand="0" w:oddHBand="0" w:evenHBand="0" w:firstRowFirstColumn="0" w:firstRowLastColumn="0" w:lastRowFirstColumn="0" w:lastRowLastColumn="0"/>
            <w:tcW w:w="166" w:type="pct"/>
          </w:tcPr>
          <w:p w14:paraId="33953CE4" w14:textId="77777777" w:rsidR="00933261" w:rsidRPr="00A43454" w:rsidRDefault="00933261" w:rsidP="003C3817">
            <w:pPr>
              <w:spacing w:after="60"/>
              <w:rPr>
                <w:sz w:val="16"/>
                <w:szCs w:val="16"/>
              </w:rPr>
            </w:pPr>
            <w:r w:rsidRPr="00A43454">
              <w:rPr>
                <w:sz w:val="16"/>
                <w:szCs w:val="16"/>
              </w:rPr>
              <w:t>C5</w:t>
            </w:r>
          </w:p>
        </w:tc>
        <w:tc>
          <w:tcPr>
            <w:tcW w:w="3694" w:type="pct"/>
          </w:tcPr>
          <w:p w14:paraId="7F4DBE02"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A43454">
              <w:rPr>
                <w:sz w:val="16"/>
                <w:szCs w:val="16"/>
              </w:rPr>
              <w:t>Lze komunikaci pracovníků implementační struktury se žadateli/příjemci z jejich pohledu označit jako věcnou, správnou? Umí pracovníci implementační struktury žadatelům/příjemcům z jejich pohledu účinně poradit?</w:t>
            </w:r>
          </w:p>
        </w:tc>
        <w:tc>
          <w:tcPr>
            <w:tcW w:w="214" w:type="pct"/>
            <w:shd w:val="clear" w:color="auto" w:fill="auto"/>
          </w:tcPr>
          <w:p w14:paraId="647F41FE"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c>
          <w:tcPr>
            <w:tcW w:w="214" w:type="pct"/>
            <w:shd w:val="clear" w:color="auto" w:fill="auto"/>
          </w:tcPr>
          <w:p w14:paraId="0113A371"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c>
          <w:tcPr>
            <w:tcW w:w="284" w:type="pct"/>
            <w:shd w:val="clear" w:color="auto" w:fill="auto"/>
          </w:tcPr>
          <w:p w14:paraId="6971C452"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A43454">
              <w:rPr>
                <w:noProof/>
                <w:sz w:val="16"/>
                <w:szCs w:val="16"/>
              </w:rPr>
              <w:drawing>
                <wp:inline distT="0" distB="0" distL="0" distR="0" wp14:anchorId="425A839B" wp14:editId="257796D8">
                  <wp:extent cx="153619" cy="153619"/>
                  <wp:effectExtent l="0" t="0" r="0" b="0"/>
                  <wp:docPr id="283" name="Obrázek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14" w:type="pct"/>
            <w:shd w:val="clear" w:color="auto" w:fill="auto"/>
          </w:tcPr>
          <w:p w14:paraId="4C856651"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A43454">
              <w:rPr>
                <w:noProof/>
                <w:sz w:val="16"/>
                <w:szCs w:val="16"/>
              </w:rPr>
              <w:drawing>
                <wp:inline distT="0" distB="0" distL="0" distR="0" wp14:anchorId="77E2A585" wp14:editId="4CF4E357">
                  <wp:extent cx="153619" cy="153619"/>
                  <wp:effectExtent l="0" t="0" r="0" b="0"/>
                  <wp:docPr id="284" name="Obrázek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14" w:type="pct"/>
            <w:shd w:val="clear" w:color="auto" w:fill="auto"/>
          </w:tcPr>
          <w:p w14:paraId="34B2FF47"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r>
      <w:tr w:rsidR="00933261" w:rsidRPr="00A43454" w14:paraId="68600937" w14:textId="77777777" w:rsidTr="00C93ED5">
        <w:tc>
          <w:tcPr>
            <w:cnfStyle w:val="001000000000" w:firstRow="0" w:lastRow="0" w:firstColumn="1" w:lastColumn="0" w:oddVBand="0" w:evenVBand="0" w:oddHBand="0" w:evenHBand="0" w:firstRowFirstColumn="0" w:firstRowLastColumn="0" w:lastRowFirstColumn="0" w:lastRowLastColumn="0"/>
            <w:tcW w:w="166" w:type="pct"/>
          </w:tcPr>
          <w:p w14:paraId="35736AC2" w14:textId="77777777" w:rsidR="00933261" w:rsidRPr="00A43454" w:rsidRDefault="00933261" w:rsidP="003C3817">
            <w:pPr>
              <w:spacing w:after="60"/>
              <w:rPr>
                <w:sz w:val="16"/>
                <w:szCs w:val="16"/>
              </w:rPr>
            </w:pPr>
            <w:r w:rsidRPr="00A43454">
              <w:rPr>
                <w:sz w:val="16"/>
                <w:szCs w:val="16"/>
              </w:rPr>
              <w:t>C6</w:t>
            </w:r>
          </w:p>
        </w:tc>
        <w:tc>
          <w:tcPr>
            <w:tcW w:w="3694" w:type="pct"/>
          </w:tcPr>
          <w:p w14:paraId="27D3737D"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A43454">
              <w:rPr>
                <w:sz w:val="16"/>
                <w:szCs w:val="16"/>
              </w:rPr>
              <w:t xml:space="preserve">Jak hodnotí žadatelé/příjemci webové stránky </w:t>
            </w:r>
            <w:hyperlink r:id="rId18" w:history="1">
              <w:r w:rsidRPr="00A43454">
                <w:rPr>
                  <w:sz w:val="16"/>
                  <w:szCs w:val="16"/>
                </w:rPr>
                <w:t>ŘO</w:t>
              </w:r>
            </w:hyperlink>
            <w:r w:rsidRPr="00A43454">
              <w:rPr>
                <w:sz w:val="16"/>
                <w:szCs w:val="16"/>
              </w:rPr>
              <w:t xml:space="preserve"> a </w:t>
            </w:r>
            <w:hyperlink r:id="rId19" w:history="1">
              <w:r w:rsidRPr="00A43454">
                <w:rPr>
                  <w:sz w:val="16"/>
                  <w:szCs w:val="16"/>
                </w:rPr>
                <w:t>ZS</w:t>
              </w:r>
            </w:hyperlink>
            <w:r w:rsidRPr="00A43454">
              <w:rPr>
                <w:sz w:val="16"/>
                <w:szCs w:val="16"/>
              </w:rPr>
              <w:t>? Který z obou webů žadatelé/příjemci spíše využívají (či raději využívají neoficiální, komerční weby)? Jsou pro ně webové stránky přehledné a poskytují dostatečné množství relevantních informací?</w:t>
            </w:r>
          </w:p>
        </w:tc>
        <w:tc>
          <w:tcPr>
            <w:tcW w:w="214" w:type="pct"/>
            <w:shd w:val="clear" w:color="auto" w:fill="auto"/>
          </w:tcPr>
          <w:p w14:paraId="7602422C"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A43454">
              <w:rPr>
                <w:noProof/>
                <w:sz w:val="16"/>
                <w:szCs w:val="16"/>
              </w:rPr>
              <w:drawing>
                <wp:inline distT="0" distB="0" distL="0" distR="0" wp14:anchorId="69C25C8A" wp14:editId="60651577">
                  <wp:extent cx="153619" cy="153619"/>
                  <wp:effectExtent l="0" t="0" r="0" b="0"/>
                  <wp:docPr id="285" name="Obrázek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14" w:type="pct"/>
            <w:shd w:val="clear" w:color="auto" w:fill="auto"/>
          </w:tcPr>
          <w:p w14:paraId="4FB181ED"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c>
          <w:tcPr>
            <w:tcW w:w="284" w:type="pct"/>
            <w:shd w:val="clear" w:color="auto" w:fill="auto"/>
          </w:tcPr>
          <w:p w14:paraId="67D24952"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A43454">
              <w:rPr>
                <w:noProof/>
                <w:sz w:val="16"/>
                <w:szCs w:val="16"/>
              </w:rPr>
              <w:drawing>
                <wp:inline distT="0" distB="0" distL="0" distR="0" wp14:anchorId="20F54F53" wp14:editId="7DF0D580">
                  <wp:extent cx="153619" cy="153619"/>
                  <wp:effectExtent l="0" t="0" r="0" b="0"/>
                  <wp:docPr id="287" name="Obrázek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14" w:type="pct"/>
            <w:shd w:val="clear" w:color="auto" w:fill="auto"/>
          </w:tcPr>
          <w:p w14:paraId="0953C208"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A43454">
              <w:rPr>
                <w:noProof/>
                <w:sz w:val="16"/>
                <w:szCs w:val="16"/>
              </w:rPr>
              <w:drawing>
                <wp:inline distT="0" distB="0" distL="0" distR="0" wp14:anchorId="1B3B921A" wp14:editId="5760B9FF">
                  <wp:extent cx="153619" cy="153619"/>
                  <wp:effectExtent l="0" t="0" r="0" b="0"/>
                  <wp:docPr id="288" name="Obrázek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14" w:type="pct"/>
            <w:shd w:val="clear" w:color="auto" w:fill="auto"/>
          </w:tcPr>
          <w:p w14:paraId="6D476E51"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r>
      <w:tr w:rsidR="00933261" w:rsidRPr="00A43454" w14:paraId="26E46EB8" w14:textId="77777777" w:rsidTr="00C93ED5">
        <w:tc>
          <w:tcPr>
            <w:cnfStyle w:val="001000000000" w:firstRow="0" w:lastRow="0" w:firstColumn="1" w:lastColumn="0" w:oddVBand="0" w:evenVBand="0" w:oddHBand="0" w:evenHBand="0" w:firstRowFirstColumn="0" w:firstRowLastColumn="0" w:lastRowFirstColumn="0" w:lastRowLastColumn="0"/>
            <w:tcW w:w="166" w:type="pct"/>
          </w:tcPr>
          <w:p w14:paraId="474E837B" w14:textId="77777777" w:rsidR="00933261" w:rsidRPr="00A43454" w:rsidRDefault="00933261" w:rsidP="003C3817">
            <w:pPr>
              <w:spacing w:after="60"/>
              <w:rPr>
                <w:sz w:val="16"/>
                <w:szCs w:val="16"/>
              </w:rPr>
            </w:pPr>
            <w:r w:rsidRPr="00A43454">
              <w:rPr>
                <w:sz w:val="16"/>
                <w:szCs w:val="16"/>
              </w:rPr>
              <w:t>C7</w:t>
            </w:r>
          </w:p>
        </w:tc>
        <w:tc>
          <w:tcPr>
            <w:tcW w:w="3694" w:type="pct"/>
          </w:tcPr>
          <w:p w14:paraId="2A16F33B"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A43454">
              <w:rPr>
                <w:sz w:val="16"/>
                <w:szCs w:val="16"/>
              </w:rPr>
              <w:t>Jak žadatelé/příjemci hodnotí semináře/konference pořádané implementační strukturou OP PIK? O jaká témata je největší zájem? Je tento zájem dostatečně saturován?</w:t>
            </w:r>
          </w:p>
        </w:tc>
        <w:tc>
          <w:tcPr>
            <w:tcW w:w="214" w:type="pct"/>
            <w:shd w:val="clear" w:color="auto" w:fill="auto"/>
          </w:tcPr>
          <w:p w14:paraId="4D7DE757"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A43454">
              <w:rPr>
                <w:noProof/>
                <w:sz w:val="16"/>
                <w:szCs w:val="16"/>
              </w:rPr>
              <w:drawing>
                <wp:inline distT="0" distB="0" distL="0" distR="0" wp14:anchorId="34CC6193" wp14:editId="1FC81A7F">
                  <wp:extent cx="153619" cy="153619"/>
                  <wp:effectExtent l="0" t="0" r="0" b="0"/>
                  <wp:docPr id="289" name="Obrázek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14" w:type="pct"/>
            <w:shd w:val="clear" w:color="auto" w:fill="auto"/>
          </w:tcPr>
          <w:p w14:paraId="7220C454"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c>
          <w:tcPr>
            <w:tcW w:w="284" w:type="pct"/>
            <w:shd w:val="clear" w:color="auto" w:fill="auto"/>
          </w:tcPr>
          <w:p w14:paraId="6E18AE8B"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A43454">
              <w:rPr>
                <w:noProof/>
                <w:sz w:val="16"/>
                <w:szCs w:val="16"/>
              </w:rPr>
              <w:drawing>
                <wp:inline distT="0" distB="0" distL="0" distR="0" wp14:anchorId="5AAD48A9" wp14:editId="44C96305">
                  <wp:extent cx="153619" cy="153619"/>
                  <wp:effectExtent l="0" t="0" r="0" b="0"/>
                  <wp:docPr id="291" name="Obrázek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14" w:type="pct"/>
            <w:shd w:val="clear" w:color="auto" w:fill="auto"/>
          </w:tcPr>
          <w:p w14:paraId="43ECF738"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A43454">
              <w:rPr>
                <w:noProof/>
                <w:sz w:val="16"/>
                <w:szCs w:val="16"/>
              </w:rPr>
              <w:drawing>
                <wp:inline distT="0" distB="0" distL="0" distR="0" wp14:anchorId="7CE898AB" wp14:editId="0235E0DF">
                  <wp:extent cx="153619" cy="153619"/>
                  <wp:effectExtent l="0" t="0" r="0" b="0"/>
                  <wp:docPr id="292" name="Obrázek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14" w:type="pct"/>
            <w:shd w:val="clear" w:color="auto" w:fill="auto"/>
          </w:tcPr>
          <w:p w14:paraId="74D4E865"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r>
      <w:tr w:rsidR="00933261" w:rsidRPr="00A43454" w14:paraId="732157FA" w14:textId="77777777" w:rsidTr="00C93ED5">
        <w:tc>
          <w:tcPr>
            <w:cnfStyle w:val="001000000000" w:firstRow="0" w:lastRow="0" w:firstColumn="1" w:lastColumn="0" w:oddVBand="0" w:evenVBand="0" w:oddHBand="0" w:evenHBand="0" w:firstRowFirstColumn="0" w:firstRowLastColumn="0" w:lastRowFirstColumn="0" w:lastRowLastColumn="0"/>
            <w:tcW w:w="166" w:type="pct"/>
          </w:tcPr>
          <w:p w14:paraId="24783E6B" w14:textId="77777777" w:rsidR="00933261" w:rsidRPr="00A43454" w:rsidRDefault="00933261" w:rsidP="003C3817">
            <w:pPr>
              <w:spacing w:after="60"/>
              <w:rPr>
                <w:sz w:val="16"/>
                <w:szCs w:val="16"/>
              </w:rPr>
            </w:pPr>
            <w:r w:rsidRPr="00A43454">
              <w:rPr>
                <w:sz w:val="16"/>
                <w:szCs w:val="16"/>
              </w:rPr>
              <w:t>C8</w:t>
            </w:r>
          </w:p>
        </w:tc>
        <w:tc>
          <w:tcPr>
            <w:tcW w:w="3694" w:type="pct"/>
          </w:tcPr>
          <w:p w14:paraId="33FF63D7"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A43454">
              <w:rPr>
                <w:sz w:val="16"/>
                <w:szCs w:val="16"/>
              </w:rPr>
              <w:t>Jak jsou žadatelé/příjemci spokojeni s dalšími komunikačními nástroji (sociální sítě, informační zpravodaj OPIK, Zelená linka API)? Jaké další komunikační nástroje lze doporučit?</w:t>
            </w:r>
          </w:p>
        </w:tc>
        <w:tc>
          <w:tcPr>
            <w:tcW w:w="214" w:type="pct"/>
            <w:shd w:val="clear" w:color="auto" w:fill="auto"/>
          </w:tcPr>
          <w:p w14:paraId="67A60831"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A43454">
              <w:rPr>
                <w:noProof/>
                <w:sz w:val="16"/>
                <w:szCs w:val="16"/>
              </w:rPr>
              <w:drawing>
                <wp:inline distT="0" distB="0" distL="0" distR="0" wp14:anchorId="68006B27" wp14:editId="731BB473">
                  <wp:extent cx="153619" cy="153619"/>
                  <wp:effectExtent l="0" t="0" r="0" b="0"/>
                  <wp:docPr id="293" name="Obrázek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14" w:type="pct"/>
            <w:shd w:val="clear" w:color="auto" w:fill="auto"/>
          </w:tcPr>
          <w:p w14:paraId="67953EE1"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c>
          <w:tcPr>
            <w:tcW w:w="284" w:type="pct"/>
            <w:shd w:val="clear" w:color="auto" w:fill="auto"/>
          </w:tcPr>
          <w:p w14:paraId="639A19F9"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A43454">
              <w:rPr>
                <w:noProof/>
                <w:sz w:val="16"/>
                <w:szCs w:val="16"/>
              </w:rPr>
              <w:drawing>
                <wp:inline distT="0" distB="0" distL="0" distR="0" wp14:anchorId="08E6853C" wp14:editId="0E92002E">
                  <wp:extent cx="153619" cy="153619"/>
                  <wp:effectExtent l="0" t="0" r="0" b="0"/>
                  <wp:docPr id="295" name="Obrázek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14" w:type="pct"/>
            <w:shd w:val="clear" w:color="auto" w:fill="auto"/>
          </w:tcPr>
          <w:p w14:paraId="29E3564D"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A43454">
              <w:rPr>
                <w:noProof/>
                <w:sz w:val="16"/>
                <w:szCs w:val="16"/>
              </w:rPr>
              <w:drawing>
                <wp:inline distT="0" distB="0" distL="0" distR="0" wp14:anchorId="121D8CBA" wp14:editId="12AC6EE6">
                  <wp:extent cx="153619" cy="153619"/>
                  <wp:effectExtent l="0" t="0" r="0" b="0"/>
                  <wp:docPr id="296" name="Obrázek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14" w:type="pct"/>
            <w:shd w:val="clear" w:color="auto" w:fill="auto"/>
          </w:tcPr>
          <w:p w14:paraId="11729095"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r>
    </w:tbl>
    <w:p w14:paraId="61390655" w14:textId="77777777" w:rsidR="00933261" w:rsidRDefault="00933261" w:rsidP="00933261">
      <w:pPr>
        <w:rPr>
          <w:b/>
        </w:rPr>
      </w:pPr>
    </w:p>
    <w:p w14:paraId="63B4D619" w14:textId="77777777" w:rsidR="00933261" w:rsidRPr="00EE0921" w:rsidRDefault="00F57E36" w:rsidP="00EE0921">
      <w:pPr>
        <w:spacing w:before="240" w:after="120" w:line="240" w:lineRule="auto"/>
        <w:rPr>
          <w:b/>
          <w:color w:val="012169" w:themeColor="accent4"/>
        </w:rPr>
      </w:pPr>
      <w:r>
        <w:rPr>
          <w:b/>
          <w:color w:val="012169" w:themeColor="accent4"/>
        </w:rPr>
        <w:t>Evaluační o</w:t>
      </w:r>
      <w:r w:rsidR="00933261" w:rsidRPr="00EE0921">
        <w:rPr>
          <w:b/>
          <w:color w:val="012169" w:themeColor="accent4"/>
        </w:rPr>
        <w:t>kruh D</w:t>
      </w:r>
      <w:r>
        <w:rPr>
          <w:b/>
          <w:color w:val="012169" w:themeColor="accent4"/>
        </w:rPr>
        <w:t>:</w:t>
      </w:r>
      <w:r w:rsidR="00933261" w:rsidRPr="00EE0921">
        <w:rPr>
          <w:b/>
          <w:color w:val="012169" w:themeColor="accent4"/>
        </w:rPr>
        <w:t xml:space="preserve"> Kontroly a nesrovnalosti</w:t>
      </w:r>
    </w:p>
    <w:p w14:paraId="2B867A83" w14:textId="77777777" w:rsidR="00E93151" w:rsidRDefault="00E93151" w:rsidP="0028578A">
      <w:pPr>
        <w:pStyle w:val="Titulek"/>
        <w:jc w:val="center"/>
      </w:pPr>
      <w:bookmarkStart w:id="18" w:name="_Toc24384731"/>
      <w:r>
        <w:t xml:space="preserve">Tabulka </w:t>
      </w:r>
      <w:r>
        <w:fldChar w:fldCharType="begin"/>
      </w:r>
      <w:r>
        <w:instrText xml:space="preserve"> SEQ Tabulka \* ARABIC </w:instrText>
      </w:r>
      <w:r>
        <w:fldChar w:fldCharType="separate"/>
      </w:r>
      <w:r>
        <w:rPr>
          <w:noProof/>
        </w:rPr>
        <w:t>5</w:t>
      </w:r>
      <w:r>
        <w:fldChar w:fldCharType="end"/>
      </w:r>
      <w:r w:rsidR="0028578A">
        <w:t>:</w:t>
      </w:r>
      <w:r>
        <w:t xml:space="preserve"> </w:t>
      </w:r>
      <w:r w:rsidRPr="0053612E">
        <w:t>Evaluační okruh D: Kontroly a nesrovnalosti</w:t>
      </w:r>
      <w:bookmarkEnd w:id="18"/>
    </w:p>
    <w:tbl>
      <w:tblPr>
        <w:tblStyle w:val="Deloittetable21"/>
        <w:tblW w:w="5000" w:type="pct"/>
        <w:tblCellMar>
          <w:top w:w="0" w:type="dxa"/>
          <w:bottom w:w="0" w:type="dxa"/>
        </w:tblCellMar>
        <w:tblLook w:val="04A0" w:firstRow="1" w:lastRow="0" w:firstColumn="1" w:lastColumn="0" w:noHBand="0" w:noVBand="1"/>
      </w:tblPr>
      <w:tblGrid>
        <w:gridCol w:w="335"/>
        <w:gridCol w:w="7458"/>
        <w:gridCol w:w="434"/>
        <w:gridCol w:w="432"/>
        <w:gridCol w:w="569"/>
        <w:gridCol w:w="432"/>
        <w:gridCol w:w="432"/>
      </w:tblGrid>
      <w:tr w:rsidR="00933261" w:rsidRPr="00A43454" w14:paraId="75E9D5A4" w14:textId="77777777" w:rsidTr="00DC0542">
        <w:trPr>
          <w:cnfStyle w:val="100000000000" w:firstRow="1" w:lastRow="0" w:firstColumn="0" w:lastColumn="0" w:oddVBand="0" w:evenVBand="0" w:oddHBand="0" w:evenHBand="0" w:firstRowFirstColumn="0" w:firstRowLastColumn="0" w:lastRowFirstColumn="0" w:lastRowLastColumn="0"/>
          <w:trHeight w:val="254"/>
          <w:tblHeader/>
        </w:trPr>
        <w:tc>
          <w:tcPr>
            <w:cnfStyle w:val="001000000000" w:firstRow="0" w:lastRow="0" w:firstColumn="1" w:lastColumn="0" w:oddVBand="0" w:evenVBand="0" w:oddHBand="0" w:evenHBand="0" w:firstRowFirstColumn="0" w:firstRowLastColumn="0" w:lastRowFirstColumn="0" w:lastRowLastColumn="0"/>
            <w:tcW w:w="166" w:type="pct"/>
            <w:vMerge w:val="restart"/>
            <w:vAlign w:val="center"/>
          </w:tcPr>
          <w:p w14:paraId="6116CFFA" w14:textId="77777777" w:rsidR="00933261" w:rsidRPr="008C718E" w:rsidRDefault="00933261" w:rsidP="003C3817">
            <w:pPr>
              <w:spacing w:after="60"/>
              <w:rPr>
                <w:sz w:val="16"/>
                <w:szCs w:val="16"/>
              </w:rPr>
            </w:pPr>
            <w:r w:rsidRPr="008C718E">
              <w:rPr>
                <w:sz w:val="16"/>
                <w:szCs w:val="16"/>
              </w:rPr>
              <w:t>Č.</w:t>
            </w:r>
          </w:p>
        </w:tc>
        <w:tc>
          <w:tcPr>
            <w:tcW w:w="3695" w:type="pct"/>
            <w:vMerge w:val="restart"/>
            <w:vAlign w:val="center"/>
          </w:tcPr>
          <w:p w14:paraId="4335823C" w14:textId="77777777" w:rsidR="00933261" w:rsidRPr="008C718E" w:rsidRDefault="00933261" w:rsidP="003C3817">
            <w:pPr>
              <w:spacing w:after="60"/>
              <w:cnfStyle w:val="100000000000" w:firstRow="1" w:lastRow="0" w:firstColumn="0" w:lastColumn="0" w:oddVBand="0" w:evenVBand="0" w:oddHBand="0" w:evenHBand="0" w:firstRowFirstColumn="0" w:firstRowLastColumn="0" w:lastRowFirstColumn="0" w:lastRowLastColumn="0"/>
              <w:rPr>
                <w:sz w:val="16"/>
                <w:szCs w:val="16"/>
              </w:rPr>
            </w:pPr>
            <w:r w:rsidRPr="008C718E">
              <w:rPr>
                <w:sz w:val="16"/>
                <w:szCs w:val="16"/>
              </w:rPr>
              <w:t>Evaluační otázka</w:t>
            </w:r>
          </w:p>
        </w:tc>
        <w:tc>
          <w:tcPr>
            <w:tcW w:w="1139" w:type="pct"/>
            <w:gridSpan w:val="5"/>
          </w:tcPr>
          <w:p w14:paraId="76D21E85" w14:textId="77777777" w:rsidR="00933261" w:rsidRPr="008C718E" w:rsidRDefault="00933261" w:rsidP="003C3817">
            <w:pPr>
              <w:spacing w:after="60"/>
              <w:jc w:val="center"/>
              <w:cnfStyle w:val="100000000000" w:firstRow="1" w:lastRow="0" w:firstColumn="0" w:lastColumn="0" w:oddVBand="0" w:evenVBand="0" w:oddHBand="0" w:evenHBand="0" w:firstRowFirstColumn="0" w:firstRowLastColumn="0" w:lastRowFirstColumn="0" w:lastRowLastColumn="0"/>
              <w:rPr>
                <w:sz w:val="16"/>
                <w:szCs w:val="16"/>
              </w:rPr>
            </w:pPr>
            <w:r w:rsidRPr="008C718E">
              <w:rPr>
                <w:sz w:val="16"/>
                <w:szCs w:val="16"/>
              </w:rPr>
              <w:t>Evaluační metody</w:t>
            </w:r>
          </w:p>
        </w:tc>
      </w:tr>
      <w:tr w:rsidR="00933261" w:rsidRPr="00A43454" w14:paraId="5D4C3509" w14:textId="77777777" w:rsidTr="00DC0542">
        <w:trPr>
          <w:cnfStyle w:val="100000000000" w:firstRow="1" w:lastRow="0" w:firstColumn="0" w:lastColumn="0" w:oddVBand="0" w:evenVBand="0" w:oddHBand="0" w:evenHBand="0" w:firstRowFirstColumn="0" w:firstRowLastColumn="0" w:lastRowFirstColumn="0" w:lastRowLastColumn="0"/>
          <w:cantSplit/>
          <w:trHeight w:val="1077"/>
          <w:tblHeader/>
        </w:trPr>
        <w:tc>
          <w:tcPr>
            <w:cnfStyle w:val="001000000000" w:firstRow="0" w:lastRow="0" w:firstColumn="1" w:lastColumn="0" w:oddVBand="0" w:evenVBand="0" w:oddHBand="0" w:evenHBand="0" w:firstRowFirstColumn="0" w:firstRowLastColumn="0" w:lastRowFirstColumn="0" w:lastRowLastColumn="0"/>
            <w:tcW w:w="166" w:type="pct"/>
            <w:vMerge/>
          </w:tcPr>
          <w:p w14:paraId="26B5E233" w14:textId="77777777" w:rsidR="00933261" w:rsidRPr="008C718E" w:rsidRDefault="00933261" w:rsidP="003C3817">
            <w:pPr>
              <w:spacing w:after="60"/>
              <w:rPr>
                <w:sz w:val="16"/>
                <w:szCs w:val="16"/>
              </w:rPr>
            </w:pPr>
          </w:p>
        </w:tc>
        <w:tc>
          <w:tcPr>
            <w:tcW w:w="3695" w:type="pct"/>
            <w:vMerge/>
          </w:tcPr>
          <w:p w14:paraId="2AB38E7A" w14:textId="77777777" w:rsidR="00933261" w:rsidRPr="008C718E" w:rsidRDefault="00933261" w:rsidP="003C3817">
            <w:pPr>
              <w:spacing w:after="60"/>
              <w:cnfStyle w:val="100000000000" w:firstRow="1" w:lastRow="0" w:firstColumn="0" w:lastColumn="0" w:oddVBand="0" w:evenVBand="0" w:oddHBand="0" w:evenHBand="0" w:firstRowFirstColumn="0" w:firstRowLastColumn="0" w:lastRowFirstColumn="0" w:lastRowLastColumn="0"/>
              <w:rPr>
                <w:sz w:val="16"/>
                <w:szCs w:val="16"/>
              </w:rPr>
            </w:pPr>
          </w:p>
        </w:tc>
        <w:tc>
          <w:tcPr>
            <w:tcW w:w="215" w:type="pct"/>
            <w:textDirection w:val="btLr"/>
            <w:vAlign w:val="center"/>
          </w:tcPr>
          <w:p w14:paraId="456DB0E4" w14:textId="77777777" w:rsidR="00933261" w:rsidRPr="008C718E" w:rsidRDefault="00933261" w:rsidP="003C3817">
            <w:pPr>
              <w:spacing w:after="60"/>
              <w:ind w:left="113" w:right="113"/>
              <w:cnfStyle w:val="100000000000" w:firstRow="1" w:lastRow="0" w:firstColumn="0" w:lastColumn="0" w:oddVBand="0" w:evenVBand="0" w:oddHBand="0" w:evenHBand="0" w:firstRowFirstColumn="0" w:firstRowLastColumn="0" w:lastRowFirstColumn="0" w:lastRowLastColumn="0"/>
              <w:rPr>
                <w:sz w:val="16"/>
                <w:szCs w:val="16"/>
              </w:rPr>
            </w:pPr>
            <w:r w:rsidRPr="008C718E">
              <w:rPr>
                <w:sz w:val="16"/>
                <w:szCs w:val="16"/>
              </w:rPr>
              <w:t>Analýza sek. dat</w:t>
            </w:r>
          </w:p>
        </w:tc>
        <w:tc>
          <w:tcPr>
            <w:tcW w:w="214" w:type="pct"/>
            <w:textDirection w:val="btLr"/>
            <w:vAlign w:val="center"/>
          </w:tcPr>
          <w:p w14:paraId="1C27FB1D" w14:textId="77777777" w:rsidR="00933261" w:rsidRPr="008C718E" w:rsidRDefault="00933261" w:rsidP="003C3817">
            <w:pPr>
              <w:spacing w:after="60"/>
              <w:ind w:left="113" w:right="113"/>
              <w:cnfStyle w:val="100000000000" w:firstRow="1" w:lastRow="0" w:firstColumn="0" w:lastColumn="0" w:oddVBand="0" w:evenVBand="0" w:oddHBand="0" w:evenHBand="0" w:firstRowFirstColumn="0" w:firstRowLastColumn="0" w:lastRowFirstColumn="0" w:lastRowLastColumn="0"/>
              <w:rPr>
                <w:sz w:val="16"/>
                <w:szCs w:val="16"/>
              </w:rPr>
            </w:pPr>
            <w:r w:rsidRPr="008C718E">
              <w:rPr>
                <w:sz w:val="16"/>
                <w:szCs w:val="16"/>
              </w:rPr>
              <w:t>DŠ</w:t>
            </w:r>
          </w:p>
        </w:tc>
        <w:tc>
          <w:tcPr>
            <w:tcW w:w="282" w:type="pct"/>
            <w:textDirection w:val="btLr"/>
            <w:vAlign w:val="center"/>
          </w:tcPr>
          <w:p w14:paraId="44D94AAC" w14:textId="77777777" w:rsidR="00933261" w:rsidRPr="008C718E" w:rsidRDefault="00933261" w:rsidP="003C3817">
            <w:pPr>
              <w:spacing w:after="60"/>
              <w:ind w:left="113" w:right="113"/>
              <w:cnfStyle w:val="100000000000" w:firstRow="1" w:lastRow="0" w:firstColumn="0" w:lastColumn="0" w:oddVBand="0" w:evenVBand="0" w:oddHBand="0" w:evenHBand="0" w:firstRowFirstColumn="0" w:firstRowLastColumn="0" w:lastRowFirstColumn="0" w:lastRowLastColumn="0"/>
              <w:rPr>
                <w:sz w:val="16"/>
                <w:szCs w:val="16"/>
              </w:rPr>
            </w:pPr>
            <w:r w:rsidRPr="008C718E">
              <w:rPr>
                <w:sz w:val="16"/>
                <w:szCs w:val="16"/>
              </w:rPr>
              <w:t>Ind. rozhovor</w:t>
            </w:r>
          </w:p>
        </w:tc>
        <w:tc>
          <w:tcPr>
            <w:tcW w:w="214" w:type="pct"/>
            <w:textDirection w:val="btLr"/>
            <w:vAlign w:val="center"/>
          </w:tcPr>
          <w:p w14:paraId="5F1278BB" w14:textId="77777777" w:rsidR="00933261" w:rsidRPr="008C718E" w:rsidRDefault="00933261" w:rsidP="003C3817">
            <w:pPr>
              <w:spacing w:after="60"/>
              <w:ind w:left="113" w:right="113"/>
              <w:cnfStyle w:val="100000000000" w:firstRow="1" w:lastRow="0" w:firstColumn="0" w:lastColumn="0" w:oddVBand="0" w:evenVBand="0" w:oddHBand="0" w:evenHBand="0" w:firstRowFirstColumn="0" w:firstRowLastColumn="0" w:lastRowFirstColumn="0" w:lastRowLastColumn="0"/>
              <w:rPr>
                <w:sz w:val="16"/>
                <w:szCs w:val="16"/>
              </w:rPr>
            </w:pPr>
            <w:r w:rsidRPr="008C718E">
              <w:rPr>
                <w:sz w:val="16"/>
                <w:szCs w:val="16"/>
              </w:rPr>
              <w:t>FS</w:t>
            </w:r>
          </w:p>
        </w:tc>
        <w:tc>
          <w:tcPr>
            <w:tcW w:w="214" w:type="pct"/>
            <w:textDirection w:val="btLr"/>
            <w:vAlign w:val="center"/>
          </w:tcPr>
          <w:p w14:paraId="62AE8C60" w14:textId="77777777" w:rsidR="00933261" w:rsidRPr="008C718E" w:rsidRDefault="00933261" w:rsidP="003C3817">
            <w:pPr>
              <w:spacing w:after="60"/>
              <w:ind w:left="113" w:right="113"/>
              <w:cnfStyle w:val="100000000000" w:firstRow="1" w:lastRow="0" w:firstColumn="0" w:lastColumn="0" w:oddVBand="0" w:evenVBand="0" w:oddHBand="0" w:evenHBand="0" w:firstRowFirstColumn="0" w:firstRowLastColumn="0" w:lastRowFirstColumn="0" w:lastRowLastColumn="0"/>
              <w:rPr>
                <w:sz w:val="16"/>
                <w:szCs w:val="16"/>
              </w:rPr>
            </w:pPr>
            <w:r w:rsidRPr="008C718E">
              <w:rPr>
                <w:sz w:val="16"/>
                <w:szCs w:val="16"/>
              </w:rPr>
              <w:t>EP</w:t>
            </w:r>
          </w:p>
        </w:tc>
      </w:tr>
      <w:tr w:rsidR="00933261" w:rsidRPr="00A43454" w14:paraId="0CD7574D" w14:textId="77777777" w:rsidTr="00DC0542">
        <w:tc>
          <w:tcPr>
            <w:cnfStyle w:val="001000000000" w:firstRow="0" w:lastRow="0" w:firstColumn="1" w:lastColumn="0" w:oddVBand="0" w:evenVBand="0" w:oddHBand="0" w:evenHBand="0" w:firstRowFirstColumn="0" w:firstRowLastColumn="0" w:lastRowFirstColumn="0" w:lastRowLastColumn="0"/>
            <w:tcW w:w="166" w:type="pct"/>
          </w:tcPr>
          <w:p w14:paraId="4F9B8544" w14:textId="77777777" w:rsidR="00933261" w:rsidRPr="00A43454" w:rsidRDefault="00933261" w:rsidP="003C3817">
            <w:pPr>
              <w:spacing w:after="60"/>
              <w:rPr>
                <w:sz w:val="16"/>
                <w:szCs w:val="16"/>
              </w:rPr>
            </w:pPr>
            <w:r w:rsidRPr="00A43454">
              <w:rPr>
                <w:sz w:val="16"/>
                <w:szCs w:val="16"/>
              </w:rPr>
              <w:t>D1</w:t>
            </w:r>
          </w:p>
        </w:tc>
        <w:tc>
          <w:tcPr>
            <w:tcW w:w="3695" w:type="pct"/>
          </w:tcPr>
          <w:p w14:paraId="1C546A3B" w14:textId="77777777" w:rsidR="00933261" w:rsidRPr="00A43454" w:rsidRDefault="00933261" w:rsidP="00F1029F">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A43454">
              <w:rPr>
                <w:sz w:val="16"/>
                <w:szCs w:val="16"/>
              </w:rPr>
              <w:t xml:space="preserve">Je proces kontrol projektů, včetně kontrol výběrových řízení, nastaven a vykonáván efektivně? </w:t>
            </w:r>
          </w:p>
        </w:tc>
        <w:tc>
          <w:tcPr>
            <w:tcW w:w="215" w:type="pct"/>
            <w:shd w:val="clear" w:color="auto" w:fill="auto"/>
          </w:tcPr>
          <w:p w14:paraId="6D7C1BD1"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7C273149" wp14:editId="069AC585">
                  <wp:extent cx="153619" cy="153619"/>
                  <wp:effectExtent l="0" t="0" r="0" b="0"/>
                  <wp:docPr id="297" name="Obrázek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14" w:type="pct"/>
            <w:shd w:val="clear" w:color="auto" w:fill="auto"/>
          </w:tcPr>
          <w:p w14:paraId="4D441E94"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7A982680" wp14:editId="3A09FCA1">
                  <wp:extent cx="153619" cy="153619"/>
                  <wp:effectExtent l="0" t="0" r="0" b="0"/>
                  <wp:docPr id="298" name="Obrázek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82" w:type="pct"/>
            <w:shd w:val="clear" w:color="auto" w:fill="auto"/>
          </w:tcPr>
          <w:p w14:paraId="49560522"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2C2D7758" wp14:editId="6748300D">
                  <wp:extent cx="153619" cy="153619"/>
                  <wp:effectExtent l="0" t="0" r="0" b="0"/>
                  <wp:docPr id="299" name="Obrázek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14" w:type="pct"/>
            <w:shd w:val="clear" w:color="auto" w:fill="auto"/>
          </w:tcPr>
          <w:p w14:paraId="040FBC60"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c>
          <w:tcPr>
            <w:tcW w:w="214" w:type="pct"/>
            <w:shd w:val="clear" w:color="auto" w:fill="auto"/>
          </w:tcPr>
          <w:p w14:paraId="6ABA6C3D"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r>
      <w:tr w:rsidR="00933261" w:rsidRPr="00A43454" w14:paraId="7A39395F" w14:textId="77777777" w:rsidTr="00DC0542">
        <w:tc>
          <w:tcPr>
            <w:cnfStyle w:val="001000000000" w:firstRow="0" w:lastRow="0" w:firstColumn="1" w:lastColumn="0" w:oddVBand="0" w:evenVBand="0" w:oddHBand="0" w:evenHBand="0" w:firstRowFirstColumn="0" w:firstRowLastColumn="0" w:lastRowFirstColumn="0" w:lastRowLastColumn="0"/>
            <w:tcW w:w="166" w:type="pct"/>
          </w:tcPr>
          <w:p w14:paraId="3C3CD11B" w14:textId="77777777" w:rsidR="00933261" w:rsidRPr="00A43454" w:rsidRDefault="00933261" w:rsidP="003C3817">
            <w:pPr>
              <w:spacing w:after="60"/>
              <w:rPr>
                <w:sz w:val="16"/>
                <w:szCs w:val="16"/>
              </w:rPr>
            </w:pPr>
            <w:r w:rsidRPr="00A43454">
              <w:rPr>
                <w:sz w:val="16"/>
                <w:szCs w:val="16"/>
              </w:rPr>
              <w:t>D2</w:t>
            </w:r>
          </w:p>
        </w:tc>
        <w:tc>
          <w:tcPr>
            <w:tcW w:w="3695" w:type="pct"/>
          </w:tcPr>
          <w:p w14:paraId="042ED221"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A43454">
              <w:rPr>
                <w:sz w:val="16"/>
                <w:szCs w:val="16"/>
              </w:rPr>
              <w:t>Vnímají žadatelé kontroly jako účelné ve smyslu snahy ŘO předejít případným problémům při budoucím auditu, nebo spíše vnímají ŘO jako kontrolora, který za každou cenu hledá chybu?</w:t>
            </w:r>
          </w:p>
        </w:tc>
        <w:tc>
          <w:tcPr>
            <w:tcW w:w="215" w:type="pct"/>
            <w:shd w:val="clear" w:color="auto" w:fill="auto"/>
          </w:tcPr>
          <w:p w14:paraId="133FDCE3"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c>
          <w:tcPr>
            <w:tcW w:w="214" w:type="pct"/>
            <w:shd w:val="clear" w:color="auto" w:fill="auto"/>
          </w:tcPr>
          <w:p w14:paraId="140999FA"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c>
          <w:tcPr>
            <w:tcW w:w="282" w:type="pct"/>
            <w:shd w:val="clear" w:color="auto" w:fill="auto"/>
          </w:tcPr>
          <w:p w14:paraId="4F64D76C"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57684EB1" wp14:editId="579FD2B0">
                  <wp:extent cx="153619" cy="153619"/>
                  <wp:effectExtent l="0" t="0" r="0" b="0"/>
                  <wp:docPr id="302" name="Obrázek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14" w:type="pct"/>
            <w:shd w:val="clear" w:color="auto" w:fill="auto"/>
          </w:tcPr>
          <w:p w14:paraId="6AA92EA3"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2962837A" wp14:editId="435ABB7B">
                  <wp:extent cx="153619" cy="153619"/>
                  <wp:effectExtent l="0" t="0" r="0" b="0"/>
                  <wp:docPr id="303" name="Obrázek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14" w:type="pct"/>
            <w:shd w:val="clear" w:color="auto" w:fill="auto"/>
          </w:tcPr>
          <w:p w14:paraId="776F0C56"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r>
      <w:tr w:rsidR="00933261" w:rsidRPr="00A43454" w14:paraId="4AA6C658" w14:textId="77777777" w:rsidTr="00DC0542">
        <w:tc>
          <w:tcPr>
            <w:cnfStyle w:val="001000000000" w:firstRow="0" w:lastRow="0" w:firstColumn="1" w:lastColumn="0" w:oddVBand="0" w:evenVBand="0" w:oddHBand="0" w:evenHBand="0" w:firstRowFirstColumn="0" w:firstRowLastColumn="0" w:lastRowFirstColumn="0" w:lastRowLastColumn="0"/>
            <w:tcW w:w="166" w:type="pct"/>
          </w:tcPr>
          <w:p w14:paraId="005AF4B7" w14:textId="77777777" w:rsidR="00933261" w:rsidRPr="00A43454" w:rsidRDefault="00933261" w:rsidP="003C3817">
            <w:pPr>
              <w:spacing w:after="60"/>
              <w:rPr>
                <w:sz w:val="16"/>
                <w:szCs w:val="16"/>
              </w:rPr>
            </w:pPr>
            <w:r w:rsidRPr="00A43454">
              <w:rPr>
                <w:sz w:val="16"/>
                <w:szCs w:val="16"/>
              </w:rPr>
              <w:t>D3</w:t>
            </w:r>
          </w:p>
        </w:tc>
        <w:tc>
          <w:tcPr>
            <w:tcW w:w="3695" w:type="pct"/>
          </w:tcPr>
          <w:p w14:paraId="3C6AC60E"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A43454">
              <w:rPr>
                <w:sz w:val="16"/>
                <w:szCs w:val="16"/>
              </w:rPr>
              <w:t>Jaký je nejnižší možný rozsah kontrol, aniž by došlo k porušení platné legislativy a JMP? Co je vhodné kontrolovat nad rámec nejnižšího možného rozsahu kontroly? Jaké benefity a jaké náklady zvýšená úroveň kontroly přinese ŘO/ZS OP PIK a jaké příjemci?</w:t>
            </w:r>
          </w:p>
        </w:tc>
        <w:tc>
          <w:tcPr>
            <w:tcW w:w="215" w:type="pct"/>
            <w:shd w:val="clear" w:color="auto" w:fill="auto"/>
          </w:tcPr>
          <w:p w14:paraId="673CDC0E"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0AD74790" wp14:editId="7FE105AC">
                  <wp:extent cx="153619" cy="153619"/>
                  <wp:effectExtent l="0" t="0" r="0" b="0"/>
                  <wp:docPr id="304" name="Obrázek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14" w:type="pct"/>
            <w:shd w:val="clear" w:color="auto" w:fill="auto"/>
          </w:tcPr>
          <w:p w14:paraId="24D2EC90"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c>
          <w:tcPr>
            <w:tcW w:w="282" w:type="pct"/>
            <w:shd w:val="clear" w:color="auto" w:fill="auto"/>
          </w:tcPr>
          <w:p w14:paraId="4ACA243B"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76A397AF" wp14:editId="7CFF0CAE">
                  <wp:extent cx="153619" cy="153619"/>
                  <wp:effectExtent l="0" t="0" r="0" b="0"/>
                  <wp:docPr id="305" name="Obrázek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14" w:type="pct"/>
            <w:shd w:val="clear" w:color="auto" w:fill="auto"/>
          </w:tcPr>
          <w:p w14:paraId="47DCD60E"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c>
          <w:tcPr>
            <w:tcW w:w="214" w:type="pct"/>
            <w:shd w:val="clear" w:color="auto" w:fill="auto"/>
          </w:tcPr>
          <w:p w14:paraId="7E0CC321"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5F967601" wp14:editId="2A39FBE0">
                  <wp:extent cx="153619" cy="153619"/>
                  <wp:effectExtent l="0" t="0" r="0" b="0"/>
                  <wp:docPr id="306" name="Obrázek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r>
      <w:tr w:rsidR="00933261" w:rsidRPr="00A43454" w14:paraId="28FF34D9" w14:textId="77777777" w:rsidTr="00DC0542">
        <w:tc>
          <w:tcPr>
            <w:cnfStyle w:val="001000000000" w:firstRow="0" w:lastRow="0" w:firstColumn="1" w:lastColumn="0" w:oddVBand="0" w:evenVBand="0" w:oddHBand="0" w:evenHBand="0" w:firstRowFirstColumn="0" w:firstRowLastColumn="0" w:lastRowFirstColumn="0" w:lastRowLastColumn="0"/>
            <w:tcW w:w="166" w:type="pct"/>
          </w:tcPr>
          <w:p w14:paraId="7B13F375" w14:textId="77777777" w:rsidR="00933261" w:rsidRPr="00A43454" w:rsidRDefault="00933261" w:rsidP="003C3817">
            <w:pPr>
              <w:spacing w:after="60"/>
              <w:rPr>
                <w:sz w:val="16"/>
                <w:szCs w:val="16"/>
              </w:rPr>
            </w:pPr>
            <w:r w:rsidRPr="00A43454">
              <w:rPr>
                <w:sz w:val="16"/>
                <w:szCs w:val="16"/>
              </w:rPr>
              <w:t>D4</w:t>
            </w:r>
          </w:p>
        </w:tc>
        <w:tc>
          <w:tcPr>
            <w:tcW w:w="3695" w:type="pct"/>
          </w:tcPr>
          <w:p w14:paraId="476FD95F"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A43454">
              <w:rPr>
                <w:rFonts w:cs="Calibri"/>
                <w:sz w:val="16"/>
                <w:szCs w:val="16"/>
              </w:rPr>
              <w:t>Jsou procesy kontroly správců FN a konečných příjemců FN nastaveny smysluplně a efektivně? Lze upravit nastavení/kvantitu tak, aby bylo omezeno narušení běžného chodu kontrolovaných subjektů a byly minimalizovány kontroly na úrovni konečných příjemců? Mají pracovníci odpovědní za kontroly správců FN a konečných příjemců FN dostatečné kapacity na vykonávání kontrol?</w:t>
            </w:r>
          </w:p>
        </w:tc>
        <w:tc>
          <w:tcPr>
            <w:tcW w:w="215" w:type="pct"/>
            <w:shd w:val="clear" w:color="auto" w:fill="auto"/>
          </w:tcPr>
          <w:p w14:paraId="28F2F3BF"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0D808F5A" wp14:editId="18083468">
                  <wp:extent cx="153619" cy="153619"/>
                  <wp:effectExtent l="0" t="0" r="0" b="0"/>
                  <wp:docPr id="310" name="Obrázek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14" w:type="pct"/>
            <w:shd w:val="clear" w:color="auto" w:fill="auto"/>
          </w:tcPr>
          <w:p w14:paraId="0B7D9EE3"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c>
          <w:tcPr>
            <w:tcW w:w="282" w:type="pct"/>
            <w:shd w:val="clear" w:color="auto" w:fill="auto"/>
          </w:tcPr>
          <w:p w14:paraId="6D451C4A"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0DCF42EA" wp14:editId="6346C945">
                  <wp:extent cx="153619" cy="153619"/>
                  <wp:effectExtent l="0" t="0" r="0" b="0"/>
                  <wp:docPr id="309" name="Obrázek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14" w:type="pct"/>
            <w:shd w:val="clear" w:color="auto" w:fill="auto"/>
          </w:tcPr>
          <w:p w14:paraId="0F5B3B12"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c>
          <w:tcPr>
            <w:tcW w:w="214" w:type="pct"/>
            <w:shd w:val="clear" w:color="auto" w:fill="auto"/>
          </w:tcPr>
          <w:p w14:paraId="39F5E281"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2DA45A19" wp14:editId="1521387E">
                  <wp:extent cx="153619" cy="153619"/>
                  <wp:effectExtent l="0" t="0" r="0" b="0"/>
                  <wp:docPr id="307" name="Obrázek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r>
      <w:tr w:rsidR="00933261" w:rsidRPr="00A43454" w14:paraId="76597D33" w14:textId="77777777" w:rsidTr="00DC0542">
        <w:tc>
          <w:tcPr>
            <w:cnfStyle w:val="001000000000" w:firstRow="0" w:lastRow="0" w:firstColumn="1" w:lastColumn="0" w:oddVBand="0" w:evenVBand="0" w:oddHBand="0" w:evenHBand="0" w:firstRowFirstColumn="0" w:firstRowLastColumn="0" w:lastRowFirstColumn="0" w:lastRowLastColumn="0"/>
            <w:tcW w:w="166" w:type="pct"/>
          </w:tcPr>
          <w:p w14:paraId="619B3555" w14:textId="77777777" w:rsidR="00933261" w:rsidRPr="00A43454" w:rsidRDefault="00933261" w:rsidP="003C3817">
            <w:pPr>
              <w:spacing w:after="60"/>
              <w:rPr>
                <w:sz w:val="16"/>
                <w:szCs w:val="16"/>
              </w:rPr>
            </w:pPr>
            <w:r w:rsidRPr="00A43454">
              <w:rPr>
                <w:sz w:val="16"/>
                <w:szCs w:val="16"/>
              </w:rPr>
              <w:t>D5</w:t>
            </w:r>
          </w:p>
        </w:tc>
        <w:tc>
          <w:tcPr>
            <w:tcW w:w="3695" w:type="pct"/>
          </w:tcPr>
          <w:p w14:paraId="1A59E92E"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sidRPr="00A43454">
              <w:rPr>
                <w:sz w:val="16"/>
                <w:szCs w:val="16"/>
              </w:rPr>
              <w:t xml:space="preserve">Je proces nesrovnalostí nastaven a vykonáván efektivně? Z jakých důvodů na straně příjemce/poskytovatele nejčastěji dochází k nesrovnalostem? </w:t>
            </w:r>
          </w:p>
        </w:tc>
        <w:tc>
          <w:tcPr>
            <w:tcW w:w="215" w:type="pct"/>
            <w:shd w:val="clear" w:color="auto" w:fill="auto"/>
          </w:tcPr>
          <w:p w14:paraId="06534163"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3680F139" wp14:editId="0BB2DB12">
                  <wp:extent cx="153619" cy="153619"/>
                  <wp:effectExtent l="0" t="0" r="0" b="0"/>
                  <wp:docPr id="311" name="Obrázek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14" w:type="pct"/>
            <w:shd w:val="clear" w:color="auto" w:fill="auto"/>
          </w:tcPr>
          <w:p w14:paraId="430024DE"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678B0054" wp14:editId="5A987898">
                  <wp:extent cx="153619" cy="153619"/>
                  <wp:effectExtent l="0" t="0" r="0" b="0"/>
                  <wp:docPr id="312" name="Obrázek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82" w:type="pct"/>
            <w:shd w:val="clear" w:color="auto" w:fill="auto"/>
          </w:tcPr>
          <w:p w14:paraId="7793316F"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26575682" wp14:editId="7F9E734B">
                  <wp:extent cx="153619" cy="153619"/>
                  <wp:effectExtent l="0" t="0" r="0" b="0"/>
                  <wp:docPr id="313" name="Obrázek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14" w:type="pct"/>
            <w:shd w:val="clear" w:color="auto" w:fill="auto"/>
          </w:tcPr>
          <w:p w14:paraId="64DC78E4"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c>
          <w:tcPr>
            <w:tcW w:w="214" w:type="pct"/>
            <w:shd w:val="clear" w:color="auto" w:fill="auto"/>
          </w:tcPr>
          <w:p w14:paraId="7916AF8C" w14:textId="77777777" w:rsidR="00933261" w:rsidRPr="00A43454" w:rsidRDefault="00933261" w:rsidP="003C3817">
            <w:pPr>
              <w:spacing w:after="60"/>
              <w:cnfStyle w:val="000000000000" w:firstRow="0" w:lastRow="0" w:firstColumn="0" w:lastColumn="0" w:oddVBand="0" w:evenVBand="0" w:oddHBand="0" w:evenHBand="0" w:firstRowFirstColumn="0" w:firstRowLastColumn="0" w:lastRowFirstColumn="0" w:lastRowLastColumn="0"/>
              <w:rPr>
                <w:sz w:val="16"/>
                <w:szCs w:val="16"/>
              </w:rPr>
            </w:pPr>
          </w:p>
        </w:tc>
      </w:tr>
      <w:tr w:rsidR="00933261" w:rsidRPr="00A43454" w14:paraId="6758BE20" w14:textId="77777777" w:rsidTr="00DC0542">
        <w:tc>
          <w:tcPr>
            <w:cnfStyle w:val="001000000000" w:firstRow="0" w:lastRow="0" w:firstColumn="1" w:lastColumn="0" w:oddVBand="0" w:evenVBand="0" w:oddHBand="0" w:evenHBand="0" w:firstRowFirstColumn="0" w:firstRowLastColumn="0" w:lastRowFirstColumn="0" w:lastRowLastColumn="0"/>
            <w:tcW w:w="166" w:type="pct"/>
          </w:tcPr>
          <w:p w14:paraId="62250ABB" w14:textId="77777777" w:rsidR="00933261" w:rsidRPr="00A43454" w:rsidRDefault="00933261" w:rsidP="003C3817">
            <w:pPr>
              <w:keepNext/>
              <w:keepLines/>
              <w:spacing w:after="60"/>
              <w:rPr>
                <w:sz w:val="16"/>
                <w:szCs w:val="16"/>
              </w:rPr>
            </w:pPr>
            <w:r w:rsidRPr="00A43454">
              <w:rPr>
                <w:sz w:val="16"/>
                <w:szCs w:val="16"/>
              </w:rPr>
              <w:t>D6</w:t>
            </w:r>
          </w:p>
        </w:tc>
        <w:tc>
          <w:tcPr>
            <w:tcW w:w="3695" w:type="pct"/>
          </w:tcPr>
          <w:p w14:paraId="421995DB" w14:textId="77777777" w:rsidR="00933261" w:rsidRPr="00A43454" w:rsidRDefault="00933261" w:rsidP="003C3817">
            <w:pPr>
              <w:keepNext/>
              <w:keepLines/>
              <w:spacing w:after="60"/>
              <w:cnfStyle w:val="000000000000" w:firstRow="0" w:lastRow="0" w:firstColumn="0" w:lastColumn="0" w:oddVBand="0" w:evenVBand="0" w:oddHBand="0" w:evenHBand="0" w:firstRowFirstColumn="0" w:firstRowLastColumn="0" w:lastRowFirstColumn="0" w:lastRowLastColumn="0"/>
              <w:rPr>
                <w:sz w:val="16"/>
                <w:szCs w:val="16"/>
              </w:rPr>
            </w:pPr>
            <w:r w:rsidRPr="00A43454">
              <w:rPr>
                <w:sz w:val="16"/>
                <w:szCs w:val="16"/>
              </w:rPr>
              <w:t>Má implementační struktura OP PIK dostatečnou administrativní kapacitu pro vypořádávání externích auditů a kontrol</w:t>
            </w:r>
            <w:bookmarkStart w:id="19" w:name="_Hlk12266082"/>
            <w:r w:rsidRPr="00A43454">
              <w:rPr>
                <w:sz w:val="16"/>
                <w:szCs w:val="16"/>
              </w:rPr>
              <w:t xml:space="preserve"> (NKÚ, AO-PCO, EK, EÚD, FÚ)</w:t>
            </w:r>
            <w:bookmarkEnd w:id="19"/>
            <w:r w:rsidRPr="00A43454">
              <w:rPr>
                <w:sz w:val="16"/>
                <w:szCs w:val="16"/>
              </w:rPr>
              <w:t>?</w:t>
            </w:r>
          </w:p>
        </w:tc>
        <w:tc>
          <w:tcPr>
            <w:tcW w:w="215" w:type="pct"/>
            <w:shd w:val="clear" w:color="auto" w:fill="auto"/>
          </w:tcPr>
          <w:p w14:paraId="6A96B7F1" w14:textId="77777777" w:rsidR="00933261" w:rsidRPr="00A43454" w:rsidRDefault="00933261" w:rsidP="003C3817">
            <w:pPr>
              <w:keepNext/>
              <w:keepLines/>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7CB9FBAE" wp14:editId="05F930BC">
                  <wp:extent cx="153619" cy="153619"/>
                  <wp:effectExtent l="0" t="0" r="0" b="0"/>
                  <wp:docPr id="316" name="Obrázek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14" w:type="pct"/>
            <w:shd w:val="clear" w:color="auto" w:fill="auto"/>
          </w:tcPr>
          <w:p w14:paraId="331B7A09" w14:textId="77777777" w:rsidR="00933261" w:rsidRPr="00A43454" w:rsidRDefault="00933261" w:rsidP="003C3817">
            <w:pPr>
              <w:keepNext/>
              <w:keepLines/>
              <w:spacing w:after="60"/>
              <w:cnfStyle w:val="000000000000" w:firstRow="0" w:lastRow="0" w:firstColumn="0" w:lastColumn="0" w:oddVBand="0" w:evenVBand="0" w:oddHBand="0" w:evenHBand="0" w:firstRowFirstColumn="0" w:firstRowLastColumn="0" w:lastRowFirstColumn="0" w:lastRowLastColumn="0"/>
              <w:rPr>
                <w:sz w:val="16"/>
                <w:szCs w:val="16"/>
              </w:rPr>
            </w:pPr>
          </w:p>
        </w:tc>
        <w:tc>
          <w:tcPr>
            <w:tcW w:w="282" w:type="pct"/>
            <w:shd w:val="clear" w:color="auto" w:fill="auto"/>
          </w:tcPr>
          <w:p w14:paraId="40256ACF" w14:textId="77777777" w:rsidR="00933261" w:rsidRPr="00A43454" w:rsidRDefault="00933261" w:rsidP="003C3817">
            <w:pPr>
              <w:keepNext/>
              <w:keepLines/>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43CF4CC7" wp14:editId="02C135C7">
                  <wp:extent cx="153619" cy="153619"/>
                  <wp:effectExtent l="0" t="0" r="0" b="0"/>
                  <wp:docPr id="315" name="Obrázek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14" w:type="pct"/>
            <w:shd w:val="clear" w:color="auto" w:fill="auto"/>
          </w:tcPr>
          <w:p w14:paraId="767F623C" w14:textId="77777777" w:rsidR="00933261" w:rsidRPr="00A43454" w:rsidRDefault="00933261" w:rsidP="003C3817">
            <w:pPr>
              <w:keepNext/>
              <w:keepLines/>
              <w:spacing w:after="60"/>
              <w:cnfStyle w:val="000000000000" w:firstRow="0" w:lastRow="0" w:firstColumn="0" w:lastColumn="0" w:oddVBand="0" w:evenVBand="0" w:oddHBand="0" w:evenHBand="0" w:firstRowFirstColumn="0" w:firstRowLastColumn="0" w:lastRowFirstColumn="0" w:lastRowLastColumn="0"/>
              <w:rPr>
                <w:sz w:val="16"/>
                <w:szCs w:val="16"/>
              </w:rPr>
            </w:pPr>
          </w:p>
        </w:tc>
        <w:tc>
          <w:tcPr>
            <w:tcW w:w="214" w:type="pct"/>
            <w:shd w:val="clear" w:color="auto" w:fill="auto"/>
          </w:tcPr>
          <w:p w14:paraId="0FE88C3D" w14:textId="77777777" w:rsidR="00933261" w:rsidRPr="00A43454" w:rsidRDefault="0040552B" w:rsidP="003C3817">
            <w:pPr>
              <w:keepNext/>
              <w:keepLines/>
              <w:spacing w:after="60"/>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4938D1B5" wp14:editId="23D1F25C">
                  <wp:extent cx="153619" cy="153619"/>
                  <wp:effectExtent l="0" t="0" r="0" b="0"/>
                  <wp:docPr id="10" name="Obrázek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r>
    </w:tbl>
    <w:p w14:paraId="5282B3C8" w14:textId="77777777" w:rsidR="00933261" w:rsidRPr="00214F05" w:rsidRDefault="00933261" w:rsidP="002318FD">
      <w:pPr>
        <w:spacing w:before="113" w:after="113" w:line="240" w:lineRule="auto"/>
        <w:jc w:val="both"/>
        <w:rPr>
          <w:szCs w:val="18"/>
        </w:rPr>
      </w:pPr>
    </w:p>
    <w:p w14:paraId="7B37D78B" w14:textId="77777777" w:rsidR="00CC6605" w:rsidRDefault="00CC6605">
      <w:pPr>
        <w:rPr>
          <w:rFonts w:asciiTheme="majorHAnsi" w:eastAsiaTheme="majorEastAsia" w:hAnsiTheme="majorHAnsi" w:cstheme="majorBidi"/>
          <w:b/>
          <w:bCs/>
          <w:color w:val="000000" w:themeColor="text1"/>
        </w:rPr>
      </w:pPr>
      <w:r>
        <w:br w:type="page"/>
      </w:r>
    </w:p>
    <w:p w14:paraId="2854F22C" w14:textId="77777777" w:rsidR="00CC6605" w:rsidRDefault="00CC6605" w:rsidP="00CC6605">
      <w:pPr>
        <w:pStyle w:val="Nadpis1"/>
      </w:pPr>
      <w:bookmarkStart w:id="20" w:name="_Toc25228648"/>
      <w:r>
        <w:lastRenderedPageBreak/>
        <w:t>Detailní postup realizace jednotlivých evaluačních metod</w:t>
      </w:r>
      <w:bookmarkEnd w:id="20"/>
    </w:p>
    <w:p w14:paraId="5DDB536E" w14:textId="77777777" w:rsidR="00670314" w:rsidRDefault="000B0EDB" w:rsidP="00CC6605">
      <w:pPr>
        <w:pStyle w:val="Nadpis2"/>
        <w:ind w:hanging="720"/>
      </w:pPr>
      <w:bookmarkStart w:id="21" w:name="_Toc25228649"/>
      <w:r>
        <w:t>Analýza sekundárních zdrojů a dat</w:t>
      </w:r>
      <w:bookmarkEnd w:id="21"/>
    </w:p>
    <w:p w14:paraId="421C8DCF" w14:textId="77777777" w:rsidR="00670314" w:rsidRPr="000E1076" w:rsidRDefault="00670314" w:rsidP="00EE0921">
      <w:pPr>
        <w:keepNext/>
        <w:spacing w:before="240" w:after="120" w:line="240" w:lineRule="auto"/>
        <w:rPr>
          <w:b/>
          <w:color w:val="012169" w:themeColor="accent4"/>
        </w:rPr>
      </w:pPr>
      <w:r w:rsidRPr="000E1076">
        <w:rPr>
          <w:b/>
          <w:color w:val="012169" w:themeColor="accent4"/>
        </w:rPr>
        <w:t xml:space="preserve">Způsob realizace </w:t>
      </w:r>
    </w:p>
    <w:p w14:paraId="5C7918C9" w14:textId="77777777" w:rsidR="00B2282B" w:rsidRPr="00B2282B" w:rsidRDefault="00B2282B" w:rsidP="00B2282B">
      <w:pPr>
        <w:spacing w:before="113" w:after="113" w:line="240" w:lineRule="auto"/>
        <w:jc w:val="both"/>
        <w:rPr>
          <w:szCs w:val="18"/>
        </w:rPr>
      </w:pPr>
      <w:r w:rsidRPr="00C23145">
        <w:rPr>
          <w:szCs w:val="18"/>
        </w:rPr>
        <w:t>Sekundární informační zdroje</w:t>
      </w:r>
      <w:r>
        <w:rPr>
          <w:szCs w:val="18"/>
        </w:rPr>
        <w:t xml:space="preserve"> a data</w:t>
      </w:r>
      <w:r w:rsidRPr="00C23145">
        <w:rPr>
          <w:szCs w:val="18"/>
        </w:rPr>
        <w:t xml:space="preserve"> představují již zpracované dokumenty</w:t>
      </w:r>
      <w:r>
        <w:rPr>
          <w:szCs w:val="18"/>
        </w:rPr>
        <w:t xml:space="preserve"> a data sety</w:t>
      </w:r>
      <w:r w:rsidRPr="00C23145">
        <w:rPr>
          <w:szCs w:val="18"/>
        </w:rPr>
        <w:t xml:space="preserve"> využitelné pro předmětnou evaluaci. </w:t>
      </w:r>
      <w:r>
        <w:rPr>
          <w:szCs w:val="18"/>
        </w:rPr>
        <w:t xml:space="preserve">Bude se </w:t>
      </w:r>
      <w:r w:rsidRPr="00C23145">
        <w:rPr>
          <w:szCs w:val="18"/>
        </w:rPr>
        <w:t>jedn</w:t>
      </w:r>
      <w:r w:rsidR="00A954D6">
        <w:rPr>
          <w:szCs w:val="18"/>
        </w:rPr>
        <w:t xml:space="preserve">at </w:t>
      </w:r>
      <w:r w:rsidRPr="00C23145">
        <w:rPr>
          <w:szCs w:val="18"/>
        </w:rPr>
        <w:t xml:space="preserve">o </w:t>
      </w:r>
      <w:r w:rsidR="00A954D6">
        <w:rPr>
          <w:szCs w:val="18"/>
        </w:rPr>
        <w:t xml:space="preserve">veřejně dostupné dokumenty a interní dokumenty ŘO, ZS (API) a ČMZRB; zejména </w:t>
      </w:r>
      <w:r w:rsidRPr="00C23145">
        <w:rPr>
          <w:szCs w:val="18"/>
        </w:rPr>
        <w:t xml:space="preserve">závazné </w:t>
      </w:r>
      <w:r>
        <w:rPr>
          <w:szCs w:val="18"/>
        </w:rPr>
        <w:t xml:space="preserve">metodické a </w:t>
      </w:r>
      <w:r w:rsidRPr="00C23145">
        <w:rPr>
          <w:szCs w:val="18"/>
        </w:rPr>
        <w:t>implementa</w:t>
      </w:r>
      <w:r>
        <w:rPr>
          <w:szCs w:val="18"/>
        </w:rPr>
        <w:t>ční dokumenty OP PIK, hodnotící zprávy, data z MS2014+, relevantní evaluace</w:t>
      </w:r>
      <w:r w:rsidRPr="00C23145">
        <w:rPr>
          <w:szCs w:val="18"/>
        </w:rPr>
        <w:t>, odbo</w:t>
      </w:r>
      <w:r>
        <w:rPr>
          <w:szCs w:val="18"/>
        </w:rPr>
        <w:t xml:space="preserve">rnou literaturu vztahující se k hodnocení procesů OP </w:t>
      </w:r>
      <w:r w:rsidRPr="00C23145">
        <w:rPr>
          <w:szCs w:val="18"/>
        </w:rPr>
        <w:t xml:space="preserve">PIK, další </w:t>
      </w:r>
      <w:r>
        <w:rPr>
          <w:szCs w:val="18"/>
        </w:rPr>
        <w:t>již zpracované analýzy a studie</w:t>
      </w:r>
      <w:r w:rsidRPr="00C23145">
        <w:rPr>
          <w:szCs w:val="18"/>
        </w:rPr>
        <w:t xml:space="preserve"> nebo např. dotazníková šetření.</w:t>
      </w:r>
      <w:r w:rsidR="00E437CA" w:rsidRPr="00E437CA">
        <w:rPr>
          <w:szCs w:val="18"/>
        </w:rPr>
        <w:t xml:space="preserve"> </w:t>
      </w:r>
      <w:r w:rsidR="00031C1F">
        <w:rPr>
          <w:szCs w:val="18"/>
        </w:rPr>
        <w:t>S</w:t>
      </w:r>
      <w:r w:rsidR="00E437CA">
        <w:rPr>
          <w:szCs w:val="18"/>
        </w:rPr>
        <w:t>eznam těchto zdrojů byl součástí nabídky Dodavatele</w:t>
      </w:r>
      <w:r w:rsidR="00031C1F">
        <w:rPr>
          <w:szCs w:val="18"/>
        </w:rPr>
        <w:t xml:space="preserve"> a byl dále upřesněn na kick-off jednání (viz </w:t>
      </w:r>
      <w:r w:rsidR="00031C1F">
        <w:rPr>
          <w:szCs w:val="18"/>
        </w:rPr>
        <w:fldChar w:fldCharType="begin"/>
      </w:r>
      <w:r w:rsidR="00031C1F">
        <w:rPr>
          <w:szCs w:val="18"/>
        </w:rPr>
        <w:instrText xml:space="preserve"> REF _Ref24117639 \h </w:instrText>
      </w:r>
      <w:r w:rsidR="00031C1F">
        <w:rPr>
          <w:szCs w:val="18"/>
        </w:rPr>
      </w:r>
      <w:r w:rsidR="00031C1F">
        <w:rPr>
          <w:szCs w:val="18"/>
        </w:rPr>
        <w:fldChar w:fldCharType="separate"/>
      </w:r>
      <w:r w:rsidR="00BE6947">
        <w:t>Příloha 1: Datový požadavek Dodavatele</w:t>
      </w:r>
      <w:r w:rsidR="00031C1F">
        <w:rPr>
          <w:szCs w:val="18"/>
        </w:rPr>
        <w:fldChar w:fldCharType="end"/>
      </w:r>
      <w:r w:rsidR="00031C1F">
        <w:rPr>
          <w:szCs w:val="18"/>
        </w:rPr>
        <w:t>)</w:t>
      </w:r>
      <w:r w:rsidR="00E437CA">
        <w:rPr>
          <w:szCs w:val="18"/>
        </w:rPr>
        <w:t>.</w:t>
      </w:r>
    </w:p>
    <w:p w14:paraId="47DDF1A2" w14:textId="60EFDE1E" w:rsidR="00E437CA" w:rsidRDefault="00B20F41" w:rsidP="00AC4A07">
      <w:pPr>
        <w:spacing w:before="113" w:after="113" w:line="240" w:lineRule="auto"/>
        <w:jc w:val="both"/>
      </w:pPr>
      <w:r>
        <w:t xml:space="preserve">Dodavatel bude v rámci analýzy sekundárních zdrojů a dat čerpat </w:t>
      </w:r>
      <w:r w:rsidR="00031C1F">
        <w:t>z veřejně dostupných zdrojů a zdrojů předaných ze strany Zadavatele</w:t>
      </w:r>
      <w:r w:rsidR="00B2282B">
        <w:t xml:space="preserve">. Pokud v průběhu realizace vyvstane potřeba, </w:t>
      </w:r>
      <w:r w:rsidR="00031C1F">
        <w:t>Dodavatel</w:t>
      </w:r>
      <w:r w:rsidR="006F519F">
        <w:t xml:space="preserve"> si</w:t>
      </w:r>
      <w:r w:rsidR="00031C1F">
        <w:t xml:space="preserve"> dodatečně vyžádá data od Zadavatele</w:t>
      </w:r>
      <w:r w:rsidR="00B032DE">
        <w:t>.</w:t>
      </w:r>
      <w:r w:rsidR="009136BE">
        <w:t xml:space="preserve"> Zdroje předané Dodavateli ke dni </w:t>
      </w:r>
      <w:r w:rsidR="00031C1F">
        <w:t>1</w:t>
      </w:r>
      <w:r w:rsidR="005E2A6D">
        <w:t>3</w:t>
      </w:r>
      <w:r w:rsidR="00031C1F">
        <w:t>. 11</w:t>
      </w:r>
      <w:r w:rsidR="009136BE">
        <w:t>. 2019 jsou uvedeny v  tabulce</w:t>
      </w:r>
      <w:r w:rsidR="005E2A6D">
        <w:t xml:space="preserve"> v Příloze č.1</w:t>
      </w:r>
      <w:r w:rsidR="009136BE">
        <w:t xml:space="preserve">. </w:t>
      </w:r>
    </w:p>
    <w:p w14:paraId="7D5326BF" w14:textId="77777777" w:rsidR="00883752" w:rsidRDefault="00883752" w:rsidP="00EE0921">
      <w:pPr>
        <w:spacing w:after="120" w:line="240" w:lineRule="auto"/>
        <w:jc w:val="both"/>
      </w:pPr>
      <w:r w:rsidRPr="00375E4B">
        <w:t>Cílem analýzy</w:t>
      </w:r>
      <w:r>
        <w:t xml:space="preserve"> sekundárních zdrojů a dat</w:t>
      </w:r>
      <w:r w:rsidRPr="00375E4B">
        <w:t xml:space="preserve"> </w:t>
      </w:r>
      <w:r>
        <w:t>bude především:</w:t>
      </w:r>
    </w:p>
    <w:p w14:paraId="7A0259A8" w14:textId="77777777" w:rsidR="002B76F4" w:rsidRDefault="002B76F4" w:rsidP="002B76F4">
      <w:pPr>
        <w:pStyle w:val="Odstavecseseznamem"/>
        <w:numPr>
          <w:ilvl w:val="0"/>
          <w:numId w:val="14"/>
        </w:numPr>
        <w:tabs>
          <w:tab w:val="left" w:pos="3435"/>
        </w:tabs>
        <w:spacing w:after="120" w:line="240" w:lineRule="auto"/>
        <w:ind w:left="709"/>
        <w:contextualSpacing w:val="0"/>
        <w:jc w:val="both"/>
      </w:pPr>
      <w:r>
        <w:t>Vymezit procesy v rámci OP PIK</w:t>
      </w:r>
      <w:r w:rsidRPr="009010CC">
        <w:t xml:space="preserve"> </w:t>
      </w:r>
      <w:r>
        <w:t>a vyhodnotit jejich nastavení;</w:t>
      </w:r>
    </w:p>
    <w:p w14:paraId="47366E01" w14:textId="77777777" w:rsidR="002B76F4" w:rsidRDefault="002B76F4" w:rsidP="002B76F4">
      <w:pPr>
        <w:pStyle w:val="Odstavecseseznamem"/>
        <w:numPr>
          <w:ilvl w:val="0"/>
          <w:numId w:val="14"/>
        </w:numPr>
        <w:tabs>
          <w:tab w:val="left" w:pos="3435"/>
        </w:tabs>
        <w:spacing w:after="120" w:line="240" w:lineRule="auto"/>
        <w:ind w:left="709"/>
        <w:contextualSpacing w:val="0"/>
        <w:jc w:val="both"/>
      </w:pPr>
      <w:r>
        <w:t>Vyhodnotit rozsah, srozumitelnost a vyspělost metodických dokumentů OP PIK;</w:t>
      </w:r>
    </w:p>
    <w:p w14:paraId="0E26EC77" w14:textId="77777777" w:rsidR="00883752" w:rsidRDefault="00883752" w:rsidP="00EE0921">
      <w:pPr>
        <w:pStyle w:val="Odstavecseseznamem"/>
        <w:numPr>
          <w:ilvl w:val="0"/>
          <w:numId w:val="14"/>
        </w:numPr>
        <w:tabs>
          <w:tab w:val="left" w:pos="3435"/>
        </w:tabs>
        <w:spacing w:after="120" w:line="240" w:lineRule="auto"/>
        <w:ind w:left="709"/>
        <w:contextualSpacing w:val="0"/>
        <w:jc w:val="both"/>
      </w:pPr>
      <w:r>
        <w:t>O</w:t>
      </w:r>
      <w:r w:rsidRPr="009010CC">
        <w:t xml:space="preserve">dhalit procesy, které jsou </w:t>
      </w:r>
      <w:r w:rsidR="002B76F4">
        <w:t>nastavené</w:t>
      </w:r>
      <w:r w:rsidRPr="009010CC">
        <w:t xml:space="preserve"> nejednoznačně nebo neefektivně</w:t>
      </w:r>
      <w:r>
        <w:t>;</w:t>
      </w:r>
    </w:p>
    <w:p w14:paraId="064A4B61" w14:textId="77777777" w:rsidR="00883752" w:rsidRDefault="00883752" w:rsidP="00EE0921">
      <w:pPr>
        <w:pStyle w:val="Odstavecseseznamem"/>
        <w:numPr>
          <w:ilvl w:val="0"/>
          <w:numId w:val="14"/>
        </w:numPr>
        <w:tabs>
          <w:tab w:val="left" w:pos="3435"/>
        </w:tabs>
        <w:spacing w:after="120" w:line="240" w:lineRule="auto"/>
        <w:ind w:left="709"/>
        <w:contextualSpacing w:val="0"/>
        <w:jc w:val="both"/>
      </w:pPr>
      <w:r>
        <w:t>I</w:t>
      </w:r>
      <w:r w:rsidRPr="00F539F3">
        <w:t xml:space="preserve">dentifikovat nadbytečné procesy, popř. jejich části a rozdělit je na ty procesy, které vyplývají </w:t>
      </w:r>
      <w:r>
        <w:t xml:space="preserve">z </w:t>
      </w:r>
      <w:r w:rsidRPr="00F539F3">
        <w:t>platné legislativy a Jednotného</w:t>
      </w:r>
      <w:r>
        <w:t xml:space="preserve"> metodického prostředí (dále také</w:t>
      </w:r>
      <w:r w:rsidRPr="00F539F3">
        <w:t xml:space="preserve"> „JMP“), a ty, které jdou nad rámec požadavků platné legislativy a JMP</w:t>
      </w:r>
      <w:r>
        <w:t>;</w:t>
      </w:r>
    </w:p>
    <w:p w14:paraId="6B3A79EA" w14:textId="77777777" w:rsidR="00883752" w:rsidRDefault="00883752" w:rsidP="00EE0921">
      <w:pPr>
        <w:pStyle w:val="Odstavecseseznamem"/>
        <w:numPr>
          <w:ilvl w:val="0"/>
          <w:numId w:val="14"/>
        </w:numPr>
        <w:tabs>
          <w:tab w:val="left" w:pos="3435"/>
        </w:tabs>
        <w:spacing w:after="120" w:line="240" w:lineRule="auto"/>
        <w:ind w:left="709"/>
        <w:contextualSpacing w:val="0"/>
        <w:jc w:val="both"/>
      </w:pPr>
      <w:r>
        <w:t>Identifikovat „hluchá místa“ v procesech neupravená v současné době žádnou platnou metodikou;</w:t>
      </w:r>
    </w:p>
    <w:p w14:paraId="3D63F042" w14:textId="77777777" w:rsidR="002B76F4" w:rsidRDefault="00883752" w:rsidP="00EE0921">
      <w:pPr>
        <w:pStyle w:val="Odstavecseseznamem"/>
        <w:numPr>
          <w:ilvl w:val="0"/>
          <w:numId w:val="14"/>
        </w:numPr>
        <w:tabs>
          <w:tab w:val="left" w:pos="3435"/>
        </w:tabs>
        <w:spacing w:after="120" w:line="240" w:lineRule="auto"/>
        <w:ind w:left="709"/>
        <w:contextualSpacing w:val="0"/>
        <w:jc w:val="both"/>
      </w:pPr>
      <w:r>
        <w:t>Vyhodnotit nastavení postupů pro zachycení auditní stopy</w:t>
      </w:r>
      <w:r w:rsidR="002B76F4">
        <w:t>;</w:t>
      </w:r>
    </w:p>
    <w:p w14:paraId="3E04DD55" w14:textId="77777777" w:rsidR="002B76F4" w:rsidRDefault="002B76F4" w:rsidP="00EE0921">
      <w:pPr>
        <w:pStyle w:val="Odstavecseseznamem"/>
        <w:numPr>
          <w:ilvl w:val="0"/>
          <w:numId w:val="14"/>
        </w:numPr>
        <w:tabs>
          <w:tab w:val="left" w:pos="3435"/>
        </w:tabs>
        <w:spacing w:after="120" w:line="240" w:lineRule="auto"/>
        <w:ind w:left="709"/>
        <w:contextualSpacing w:val="0"/>
        <w:jc w:val="both"/>
      </w:pPr>
      <w:r>
        <w:t>Získat informace o personálním zajištění procesů;</w:t>
      </w:r>
    </w:p>
    <w:p w14:paraId="5BABD90C" w14:textId="77777777" w:rsidR="00883752" w:rsidRDefault="002B76F4" w:rsidP="00EE0921">
      <w:pPr>
        <w:pStyle w:val="Odstavecseseznamem"/>
        <w:numPr>
          <w:ilvl w:val="0"/>
          <w:numId w:val="14"/>
        </w:numPr>
        <w:tabs>
          <w:tab w:val="left" w:pos="3435"/>
        </w:tabs>
        <w:spacing w:after="120" w:line="240" w:lineRule="auto"/>
        <w:ind w:left="709"/>
        <w:contextualSpacing w:val="0"/>
        <w:jc w:val="both"/>
      </w:pPr>
      <w:r>
        <w:t>Získat informace o základní kvantifikaci procesů</w:t>
      </w:r>
      <w:r w:rsidR="00883752" w:rsidRPr="003C4666">
        <w:t>.</w:t>
      </w:r>
    </w:p>
    <w:p w14:paraId="6AB29306" w14:textId="77777777" w:rsidR="0060384D" w:rsidRDefault="0060384D" w:rsidP="00EE0921">
      <w:pPr>
        <w:spacing w:after="120" w:line="240" w:lineRule="auto"/>
        <w:jc w:val="both"/>
      </w:pPr>
      <w:r>
        <w:t>Analýzu sekundárních zdrojů a dat Dodavatel využije v kombinaci s dalšími evaluačními metodami</w:t>
      </w:r>
      <w:r w:rsidR="00AA441D">
        <w:t xml:space="preserve"> v průběhu všech tří etap </w:t>
      </w:r>
      <w:r w:rsidR="00382726">
        <w:t>P</w:t>
      </w:r>
      <w:r w:rsidR="00AA441D">
        <w:t>rojektu a</w:t>
      </w:r>
      <w:r>
        <w:t xml:space="preserve"> při zodpovězení většiny evaluačních otázek v rámci všech evaluačních okruhů. </w:t>
      </w:r>
    </w:p>
    <w:p w14:paraId="5FBF3C12" w14:textId="77777777" w:rsidR="00670314" w:rsidRPr="00EE0921" w:rsidRDefault="00670314" w:rsidP="00EE0921">
      <w:pPr>
        <w:spacing w:before="240" w:after="120" w:line="240" w:lineRule="auto"/>
        <w:rPr>
          <w:b/>
          <w:color w:val="012169" w:themeColor="accent4"/>
        </w:rPr>
      </w:pPr>
      <w:r w:rsidRPr="00EE0921">
        <w:rPr>
          <w:b/>
          <w:color w:val="012169" w:themeColor="accent4"/>
        </w:rPr>
        <w:t>Dílčí harmonogram</w:t>
      </w:r>
    </w:p>
    <w:p w14:paraId="46707826" w14:textId="77777777" w:rsidR="00B032DE" w:rsidRDefault="00BD20B9" w:rsidP="00BD20B9">
      <w:pPr>
        <w:spacing w:before="113" w:after="240" w:line="240" w:lineRule="auto"/>
        <w:jc w:val="both"/>
        <w:rPr>
          <w:szCs w:val="18"/>
        </w:rPr>
      </w:pPr>
      <w:r>
        <w:rPr>
          <w:szCs w:val="18"/>
        </w:rPr>
        <w:t xml:space="preserve">Harmonogram níže zobrazuje </w:t>
      </w:r>
      <w:r w:rsidR="00B032DE">
        <w:rPr>
          <w:szCs w:val="18"/>
        </w:rPr>
        <w:t xml:space="preserve">přehled kroků, které bude Dodavatel v rámci analýzy sekundárních zdrojů </w:t>
      </w:r>
      <w:r w:rsidR="00E437CA">
        <w:rPr>
          <w:szCs w:val="18"/>
        </w:rPr>
        <w:t xml:space="preserve">a dat </w:t>
      </w:r>
      <w:r w:rsidR="00B032DE">
        <w:rPr>
          <w:szCs w:val="18"/>
        </w:rPr>
        <w:t xml:space="preserve">realizovat, </w:t>
      </w:r>
      <w:r>
        <w:rPr>
          <w:szCs w:val="18"/>
        </w:rPr>
        <w:t xml:space="preserve">včetně požadované součinnosti ze strany Zadavatele a její odhadované náročnosti. </w:t>
      </w:r>
    </w:p>
    <w:p w14:paraId="63BE1C13" w14:textId="77777777" w:rsidR="00747426" w:rsidRDefault="00747426" w:rsidP="0028578A">
      <w:pPr>
        <w:pStyle w:val="Titulek"/>
        <w:jc w:val="center"/>
      </w:pPr>
      <w:bookmarkStart w:id="22" w:name="_Toc24384733"/>
      <w:r>
        <w:t xml:space="preserve">Tabulka </w:t>
      </w:r>
      <w:r>
        <w:fldChar w:fldCharType="begin"/>
      </w:r>
      <w:r>
        <w:instrText xml:space="preserve"> SEQ Tabulka \* ARABIC </w:instrText>
      </w:r>
      <w:r>
        <w:fldChar w:fldCharType="separate"/>
      </w:r>
      <w:r w:rsidR="00E93151">
        <w:rPr>
          <w:noProof/>
        </w:rPr>
        <w:t>7</w:t>
      </w:r>
      <w:r>
        <w:fldChar w:fldCharType="end"/>
      </w:r>
      <w:r w:rsidR="0028578A">
        <w:t>:</w:t>
      </w:r>
      <w:r>
        <w:t xml:space="preserve"> Harmonogram </w:t>
      </w:r>
      <w:r>
        <w:rPr>
          <w:noProof/>
        </w:rPr>
        <w:t>analýzy zdrojů dat a dokumentů</w:t>
      </w:r>
      <w:bookmarkEnd w:id="22"/>
    </w:p>
    <w:tbl>
      <w:tblPr>
        <w:tblStyle w:val="Deloittetable11"/>
        <w:tblW w:w="5000" w:type="pct"/>
        <w:jc w:val="center"/>
        <w:tblCellMar>
          <w:top w:w="0" w:type="dxa"/>
          <w:left w:w="108" w:type="dxa"/>
          <w:bottom w:w="0" w:type="dxa"/>
          <w:right w:w="108" w:type="dxa"/>
        </w:tblCellMar>
        <w:tblLook w:val="04A0" w:firstRow="1" w:lastRow="0" w:firstColumn="1" w:lastColumn="0" w:noHBand="0" w:noVBand="1"/>
      </w:tblPr>
      <w:tblGrid>
        <w:gridCol w:w="387"/>
        <w:gridCol w:w="4749"/>
        <w:gridCol w:w="1704"/>
        <w:gridCol w:w="1859"/>
        <w:gridCol w:w="1393"/>
      </w:tblGrid>
      <w:tr w:rsidR="00B032DE" w:rsidRPr="00A50C3A" w14:paraId="57E3C3C2" w14:textId="77777777" w:rsidTr="00BD20B9">
        <w:trPr>
          <w:cnfStyle w:val="100000000000" w:firstRow="1" w:lastRow="0" w:firstColumn="0" w:lastColumn="0" w:oddVBand="0" w:evenVBand="0" w:oddHBand="0" w:evenHBand="0" w:firstRowFirstColumn="0" w:firstRowLastColumn="0" w:lastRowFirstColumn="0" w:lastRowLastColumn="0"/>
          <w:trHeight w:val="340"/>
          <w:tblHeader/>
          <w:jc w:val="center"/>
        </w:trPr>
        <w:tc>
          <w:tcPr>
            <w:cnfStyle w:val="001000000000" w:firstRow="0" w:lastRow="0" w:firstColumn="1" w:lastColumn="0" w:oddVBand="0" w:evenVBand="0" w:oddHBand="0" w:evenHBand="0" w:firstRowFirstColumn="0" w:firstRowLastColumn="0" w:lastRowFirstColumn="0" w:lastRowLastColumn="0"/>
            <w:tcW w:w="192" w:type="pct"/>
          </w:tcPr>
          <w:p w14:paraId="0F47EFAE" w14:textId="77777777" w:rsidR="00B032DE" w:rsidRPr="00A50C3A" w:rsidRDefault="00B032DE" w:rsidP="00EE0921">
            <w:pPr>
              <w:rPr>
                <w:rFonts w:asciiTheme="majorHAnsi" w:hAnsiTheme="majorHAnsi" w:cs="Arial"/>
                <w:bCs/>
                <w:color w:val="FFFFFF" w:themeColor="background1"/>
                <w:szCs w:val="18"/>
                <w:lang w:eastAsia="cs-CZ"/>
              </w:rPr>
            </w:pPr>
            <w:r w:rsidRPr="00A50C3A">
              <w:rPr>
                <w:rFonts w:eastAsia="Times New Roman" w:cs="Arial"/>
                <w:bCs/>
                <w:color w:val="FFFFFF" w:themeColor="background1"/>
                <w:szCs w:val="18"/>
                <w:lang w:eastAsia="cs-CZ"/>
              </w:rPr>
              <w:t>Č</w:t>
            </w:r>
          </w:p>
        </w:tc>
        <w:tc>
          <w:tcPr>
            <w:tcW w:w="2353" w:type="pct"/>
          </w:tcPr>
          <w:p w14:paraId="55C29377" w14:textId="77777777" w:rsidR="00B032DE" w:rsidRPr="00A50C3A" w:rsidRDefault="00B032DE" w:rsidP="00EE0921">
            <w:pPr>
              <w:cnfStyle w:val="100000000000" w:firstRow="1" w:lastRow="0" w:firstColumn="0" w:lastColumn="0" w:oddVBand="0" w:evenVBand="0" w:oddHBand="0" w:evenHBand="0" w:firstRowFirstColumn="0" w:firstRowLastColumn="0" w:lastRowFirstColumn="0" w:lastRowLastColumn="0"/>
              <w:rPr>
                <w:rFonts w:asciiTheme="majorHAnsi" w:hAnsiTheme="majorHAnsi" w:cs="Arial"/>
                <w:bCs/>
                <w:color w:val="FFFFFF" w:themeColor="background1"/>
                <w:szCs w:val="18"/>
                <w:lang w:eastAsia="cs-CZ"/>
              </w:rPr>
            </w:pPr>
            <w:r w:rsidRPr="00A50C3A">
              <w:rPr>
                <w:rFonts w:eastAsia="Times New Roman" w:cs="Arial"/>
                <w:bCs/>
                <w:color w:val="FFFFFF" w:themeColor="background1"/>
                <w:szCs w:val="18"/>
                <w:lang w:eastAsia="cs-CZ"/>
              </w:rPr>
              <w:t>Aktivita</w:t>
            </w:r>
          </w:p>
        </w:tc>
        <w:tc>
          <w:tcPr>
            <w:tcW w:w="844" w:type="pct"/>
          </w:tcPr>
          <w:p w14:paraId="24A03158" w14:textId="77777777" w:rsidR="00B032DE" w:rsidRPr="00A50C3A" w:rsidRDefault="00B032DE" w:rsidP="00EE0921">
            <w:pPr>
              <w:cnfStyle w:val="100000000000" w:firstRow="1" w:lastRow="0" w:firstColumn="0" w:lastColumn="0" w:oddVBand="0" w:evenVBand="0" w:oddHBand="0" w:evenHBand="0" w:firstRowFirstColumn="0" w:firstRowLastColumn="0" w:lastRowFirstColumn="0" w:lastRowLastColumn="0"/>
              <w:rPr>
                <w:rFonts w:asciiTheme="majorHAnsi" w:hAnsiTheme="majorHAnsi" w:cs="Arial"/>
                <w:bCs/>
                <w:color w:val="FFFFFF" w:themeColor="background1"/>
                <w:szCs w:val="18"/>
                <w:lang w:eastAsia="cs-CZ"/>
              </w:rPr>
            </w:pPr>
            <w:r w:rsidRPr="00A50C3A">
              <w:rPr>
                <w:rFonts w:eastAsia="Times New Roman" w:cs="Arial"/>
                <w:bCs/>
                <w:color w:val="FFFFFF" w:themeColor="background1"/>
                <w:szCs w:val="18"/>
                <w:lang w:eastAsia="cs-CZ"/>
              </w:rPr>
              <w:t>Odpovědnost</w:t>
            </w:r>
          </w:p>
        </w:tc>
        <w:tc>
          <w:tcPr>
            <w:tcW w:w="921" w:type="pct"/>
          </w:tcPr>
          <w:p w14:paraId="3091D323" w14:textId="77777777" w:rsidR="00B032DE" w:rsidRPr="00A50C3A" w:rsidRDefault="00B032DE" w:rsidP="00EE092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color w:val="FFFFFF" w:themeColor="background1"/>
                <w:szCs w:val="18"/>
                <w:lang w:eastAsia="cs-CZ"/>
              </w:rPr>
            </w:pPr>
            <w:r w:rsidRPr="00A50C3A">
              <w:rPr>
                <w:rFonts w:eastAsia="Times New Roman" w:cs="Arial"/>
                <w:bCs/>
                <w:color w:val="FFFFFF" w:themeColor="background1"/>
                <w:szCs w:val="18"/>
                <w:lang w:eastAsia="cs-CZ"/>
              </w:rPr>
              <w:t>Termín</w:t>
            </w:r>
            <w:r>
              <w:rPr>
                <w:rFonts w:eastAsia="Times New Roman" w:cs="Arial"/>
                <w:bCs/>
                <w:color w:val="FFFFFF" w:themeColor="background1"/>
                <w:szCs w:val="18"/>
                <w:lang w:eastAsia="cs-CZ"/>
              </w:rPr>
              <w:t xml:space="preserve"> (do)</w:t>
            </w:r>
          </w:p>
        </w:tc>
        <w:tc>
          <w:tcPr>
            <w:tcW w:w="690" w:type="pct"/>
            <w:tcBorders>
              <w:bottom w:val="single" w:sz="4" w:space="0" w:color="92D400"/>
            </w:tcBorders>
          </w:tcPr>
          <w:p w14:paraId="655DBB35" w14:textId="77777777" w:rsidR="00B032DE" w:rsidRPr="00A50C3A" w:rsidRDefault="00B032DE" w:rsidP="00EE0921">
            <w:pPr>
              <w:cnfStyle w:val="100000000000" w:firstRow="1" w:lastRow="0" w:firstColumn="0" w:lastColumn="0" w:oddVBand="0" w:evenVBand="0" w:oddHBand="0" w:evenHBand="0" w:firstRowFirstColumn="0" w:firstRowLastColumn="0" w:lastRowFirstColumn="0" w:lastRowLastColumn="0"/>
              <w:rPr>
                <w:rFonts w:asciiTheme="majorHAnsi" w:hAnsiTheme="majorHAnsi" w:cs="Arial"/>
                <w:bCs/>
                <w:color w:val="FFFFFF" w:themeColor="background1"/>
                <w:szCs w:val="18"/>
                <w:lang w:eastAsia="cs-CZ"/>
              </w:rPr>
            </w:pPr>
            <w:r w:rsidRPr="00A50C3A">
              <w:rPr>
                <w:rFonts w:eastAsia="Times New Roman" w:cs="Arial"/>
                <w:bCs/>
                <w:color w:val="FFFFFF" w:themeColor="background1"/>
                <w:szCs w:val="18"/>
                <w:lang w:eastAsia="cs-CZ"/>
              </w:rPr>
              <w:t>Náročnost</w:t>
            </w:r>
          </w:p>
        </w:tc>
      </w:tr>
      <w:tr w:rsidR="00B032DE" w:rsidRPr="00A50C3A" w14:paraId="1C308884" w14:textId="77777777" w:rsidTr="00BD20B9">
        <w:trPr>
          <w:trHeight w:val="340"/>
          <w:jc w:val="center"/>
        </w:trPr>
        <w:tc>
          <w:tcPr>
            <w:cnfStyle w:val="001000000000" w:firstRow="0" w:lastRow="0" w:firstColumn="1" w:lastColumn="0" w:oddVBand="0" w:evenVBand="0" w:oddHBand="0" w:evenHBand="0" w:firstRowFirstColumn="0" w:firstRowLastColumn="0" w:lastRowFirstColumn="0" w:lastRowLastColumn="0"/>
            <w:tcW w:w="192" w:type="pct"/>
            <w:tcBorders>
              <w:top w:val="single" w:sz="4" w:space="0" w:color="92D400"/>
            </w:tcBorders>
            <w:vAlign w:val="center"/>
          </w:tcPr>
          <w:p w14:paraId="57D9CBB5" w14:textId="77777777" w:rsidR="00B032DE" w:rsidRPr="00A50C3A" w:rsidRDefault="00B032DE" w:rsidP="00800ACB">
            <w:pPr>
              <w:rPr>
                <w:rFonts w:eastAsia="Times New Roman" w:cs="Calibri"/>
                <w:color w:val="000000"/>
                <w:szCs w:val="18"/>
                <w:lang w:eastAsia="cs-CZ"/>
              </w:rPr>
            </w:pPr>
            <w:r>
              <w:rPr>
                <w:rFonts w:eastAsia="Times New Roman" w:cs="Calibri"/>
                <w:color w:val="000000"/>
                <w:szCs w:val="18"/>
                <w:lang w:eastAsia="cs-CZ"/>
              </w:rPr>
              <w:t>1</w:t>
            </w:r>
          </w:p>
        </w:tc>
        <w:tc>
          <w:tcPr>
            <w:tcW w:w="2353" w:type="pct"/>
            <w:tcBorders>
              <w:top w:val="single" w:sz="4" w:space="0" w:color="92D400"/>
            </w:tcBorders>
            <w:vAlign w:val="center"/>
          </w:tcPr>
          <w:p w14:paraId="5968BD9D" w14:textId="77777777" w:rsidR="00B032DE" w:rsidRPr="00A50C3A" w:rsidRDefault="00B032DE" w:rsidP="00800ACB">
            <w:pPr>
              <w:cnfStyle w:val="000000000000" w:firstRow="0" w:lastRow="0" w:firstColumn="0" w:lastColumn="0" w:oddVBand="0" w:evenVBand="0" w:oddHBand="0" w:evenHBand="0" w:firstRowFirstColumn="0" w:firstRowLastColumn="0" w:lastRowFirstColumn="0" w:lastRowLastColumn="0"/>
              <w:rPr>
                <w:color w:val="000000"/>
                <w:szCs w:val="18"/>
              </w:rPr>
            </w:pPr>
            <w:r>
              <w:rPr>
                <w:color w:val="000000"/>
                <w:szCs w:val="18"/>
              </w:rPr>
              <w:t>Předání dat a dokumentů ze strany MPO</w:t>
            </w:r>
          </w:p>
        </w:tc>
        <w:tc>
          <w:tcPr>
            <w:tcW w:w="844" w:type="pct"/>
            <w:tcBorders>
              <w:top w:val="single" w:sz="4" w:space="0" w:color="92D400"/>
            </w:tcBorders>
            <w:vAlign w:val="center"/>
          </w:tcPr>
          <w:p w14:paraId="223F083A" w14:textId="77777777" w:rsidR="00B032DE" w:rsidRDefault="00B032DE" w:rsidP="00800AC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MPO</w:t>
            </w:r>
          </w:p>
        </w:tc>
        <w:tc>
          <w:tcPr>
            <w:tcW w:w="921" w:type="pct"/>
            <w:tcBorders>
              <w:top w:val="single" w:sz="4" w:space="0" w:color="92D400"/>
            </w:tcBorders>
            <w:vAlign w:val="center"/>
          </w:tcPr>
          <w:p w14:paraId="672B6AE4" w14:textId="77777777" w:rsidR="00B032DE" w:rsidRPr="00295219" w:rsidDel="00673195" w:rsidRDefault="00932871" w:rsidP="00800AC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11. 11. 2019</w:t>
            </w:r>
          </w:p>
        </w:tc>
        <w:tc>
          <w:tcPr>
            <w:tcW w:w="690" w:type="pct"/>
            <w:tcBorders>
              <w:top w:val="single" w:sz="4" w:space="0" w:color="92D400"/>
            </w:tcBorders>
            <w:shd w:val="clear" w:color="auto" w:fill="FFC000"/>
            <w:vAlign w:val="center"/>
          </w:tcPr>
          <w:p w14:paraId="07B09428" w14:textId="77777777" w:rsidR="00B032DE" w:rsidRPr="00A50C3A" w:rsidRDefault="00B032DE" w:rsidP="00800ACB">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p>
        </w:tc>
      </w:tr>
      <w:tr w:rsidR="00B032DE" w:rsidRPr="00A50C3A" w14:paraId="747F94AA" w14:textId="77777777" w:rsidTr="00BD20B9">
        <w:trPr>
          <w:trHeight w:val="340"/>
          <w:jc w:val="center"/>
        </w:trPr>
        <w:tc>
          <w:tcPr>
            <w:cnfStyle w:val="001000000000" w:firstRow="0" w:lastRow="0" w:firstColumn="1" w:lastColumn="0" w:oddVBand="0" w:evenVBand="0" w:oddHBand="0" w:evenHBand="0" w:firstRowFirstColumn="0" w:firstRowLastColumn="0" w:lastRowFirstColumn="0" w:lastRowLastColumn="0"/>
            <w:tcW w:w="192" w:type="pct"/>
            <w:tcBorders>
              <w:top w:val="single" w:sz="4" w:space="0" w:color="92D400"/>
            </w:tcBorders>
            <w:vAlign w:val="center"/>
          </w:tcPr>
          <w:p w14:paraId="0CF1FC75" w14:textId="77777777" w:rsidR="00B032DE" w:rsidRPr="00A50C3A" w:rsidRDefault="00B032DE" w:rsidP="00800ACB">
            <w:pPr>
              <w:rPr>
                <w:rFonts w:asciiTheme="majorHAnsi" w:hAnsiTheme="majorHAnsi" w:cs="Calibri"/>
                <w:color w:val="000000"/>
                <w:szCs w:val="18"/>
                <w:lang w:eastAsia="cs-CZ"/>
              </w:rPr>
            </w:pPr>
            <w:r>
              <w:rPr>
                <w:rFonts w:eastAsia="Times New Roman" w:cs="Calibri"/>
                <w:color w:val="000000"/>
                <w:szCs w:val="18"/>
                <w:lang w:eastAsia="cs-CZ"/>
              </w:rPr>
              <w:t>2</w:t>
            </w:r>
          </w:p>
        </w:tc>
        <w:tc>
          <w:tcPr>
            <w:tcW w:w="2353" w:type="pct"/>
            <w:tcBorders>
              <w:top w:val="single" w:sz="4" w:space="0" w:color="92D400"/>
            </w:tcBorders>
            <w:vAlign w:val="center"/>
          </w:tcPr>
          <w:p w14:paraId="3A6ED970" w14:textId="77777777" w:rsidR="00B032DE" w:rsidRPr="00A50C3A" w:rsidRDefault="00B032DE" w:rsidP="00800ACB">
            <w:pPr>
              <w:cnfStyle w:val="000000000000" w:firstRow="0" w:lastRow="0" w:firstColumn="0" w:lastColumn="0" w:oddVBand="0" w:evenVBand="0" w:oddHBand="0" w:evenHBand="0" w:firstRowFirstColumn="0" w:firstRowLastColumn="0" w:lastRowFirstColumn="0" w:lastRowLastColumn="0"/>
              <w:rPr>
                <w:color w:val="000000"/>
                <w:szCs w:val="18"/>
              </w:rPr>
            </w:pPr>
            <w:r w:rsidRPr="00A50C3A">
              <w:rPr>
                <w:color w:val="000000"/>
                <w:szCs w:val="18"/>
              </w:rPr>
              <w:t>Sběr dostupných materiálů na národní úrovni</w:t>
            </w:r>
            <w:r w:rsidR="00BD20B9">
              <w:rPr>
                <w:color w:val="000000"/>
                <w:szCs w:val="18"/>
              </w:rPr>
              <w:t xml:space="preserve">, </w:t>
            </w:r>
            <w:r w:rsidR="00BD20B9" w:rsidRPr="00A50C3A">
              <w:rPr>
                <w:color w:val="000000"/>
                <w:szCs w:val="18"/>
              </w:rPr>
              <w:t>dalších dokumentů a analýz třetích stran</w:t>
            </w:r>
          </w:p>
        </w:tc>
        <w:tc>
          <w:tcPr>
            <w:tcW w:w="844" w:type="pct"/>
            <w:tcBorders>
              <w:top w:val="single" w:sz="4" w:space="0" w:color="92D400"/>
            </w:tcBorders>
            <w:vAlign w:val="center"/>
          </w:tcPr>
          <w:p w14:paraId="49987BB9" w14:textId="77777777" w:rsidR="00B032DE" w:rsidRPr="00A50C3A" w:rsidRDefault="00B032DE" w:rsidP="00800AC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Deloitte</w:t>
            </w:r>
          </w:p>
        </w:tc>
        <w:tc>
          <w:tcPr>
            <w:tcW w:w="921" w:type="pct"/>
            <w:tcBorders>
              <w:top w:val="single" w:sz="4" w:space="0" w:color="92D400"/>
            </w:tcBorders>
            <w:vAlign w:val="center"/>
          </w:tcPr>
          <w:p w14:paraId="79CF4078" w14:textId="77777777" w:rsidR="00B032DE" w:rsidRPr="00C932CA" w:rsidRDefault="00932871" w:rsidP="00800AC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13. 12. 2019</w:t>
            </w:r>
          </w:p>
        </w:tc>
        <w:tc>
          <w:tcPr>
            <w:tcW w:w="690" w:type="pct"/>
            <w:tcBorders>
              <w:top w:val="single" w:sz="4" w:space="0" w:color="92D400"/>
            </w:tcBorders>
            <w:shd w:val="clear" w:color="auto" w:fill="auto"/>
            <w:vAlign w:val="center"/>
          </w:tcPr>
          <w:p w14:paraId="1EE93AC0" w14:textId="77777777" w:rsidR="00B032DE" w:rsidRPr="00A50C3A" w:rsidRDefault="00B032DE" w:rsidP="00800ACB">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p>
        </w:tc>
      </w:tr>
      <w:tr w:rsidR="00B032DE" w:rsidRPr="00A50C3A" w14:paraId="4EBF545F" w14:textId="77777777" w:rsidTr="00BD20B9">
        <w:trPr>
          <w:trHeight w:val="340"/>
          <w:jc w:val="center"/>
        </w:trPr>
        <w:tc>
          <w:tcPr>
            <w:cnfStyle w:val="001000000000" w:firstRow="0" w:lastRow="0" w:firstColumn="1" w:lastColumn="0" w:oddVBand="0" w:evenVBand="0" w:oddHBand="0" w:evenHBand="0" w:firstRowFirstColumn="0" w:firstRowLastColumn="0" w:lastRowFirstColumn="0" w:lastRowLastColumn="0"/>
            <w:tcW w:w="192" w:type="pct"/>
            <w:tcBorders>
              <w:top w:val="single" w:sz="4" w:space="0" w:color="92D400"/>
              <w:bottom w:val="single" w:sz="4" w:space="0" w:color="92D400"/>
            </w:tcBorders>
            <w:vAlign w:val="center"/>
          </w:tcPr>
          <w:p w14:paraId="5D773172" w14:textId="77777777" w:rsidR="00B032DE" w:rsidRPr="00A50C3A" w:rsidRDefault="00B032DE" w:rsidP="00800ACB">
            <w:pPr>
              <w:rPr>
                <w:rFonts w:asciiTheme="majorHAnsi" w:hAnsiTheme="majorHAnsi" w:cs="Calibri"/>
                <w:color w:val="000000"/>
                <w:szCs w:val="18"/>
                <w:lang w:eastAsia="cs-CZ"/>
              </w:rPr>
            </w:pPr>
            <w:r>
              <w:rPr>
                <w:rFonts w:eastAsia="Times New Roman" w:cs="Calibri"/>
                <w:color w:val="000000"/>
                <w:szCs w:val="18"/>
                <w:lang w:eastAsia="cs-CZ"/>
              </w:rPr>
              <w:t>3</w:t>
            </w:r>
          </w:p>
        </w:tc>
        <w:tc>
          <w:tcPr>
            <w:tcW w:w="2353" w:type="pct"/>
            <w:tcBorders>
              <w:top w:val="single" w:sz="4" w:space="0" w:color="92D400"/>
              <w:bottom w:val="single" w:sz="4" w:space="0" w:color="92D400"/>
            </w:tcBorders>
            <w:vAlign w:val="center"/>
          </w:tcPr>
          <w:p w14:paraId="40B0CDA3" w14:textId="77777777" w:rsidR="00B032DE" w:rsidRPr="00A50C3A" w:rsidRDefault="00B032DE" w:rsidP="00800ACB">
            <w:pPr>
              <w:cnfStyle w:val="000000000000" w:firstRow="0" w:lastRow="0" w:firstColumn="0" w:lastColumn="0" w:oddVBand="0" w:evenVBand="0" w:oddHBand="0" w:evenHBand="0" w:firstRowFirstColumn="0" w:firstRowLastColumn="0" w:lastRowFirstColumn="0" w:lastRowLastColumn="0"/>
              <w:rPr>
                <w:color w:val="000000"/>
                <w:szCs w:val="18"/>
              </w:rPr>
            </w:pPr>
            <w:r w:rsidRPr="00A50C3A">
              <w:rPr>
                <w:color w:val="000000"/>
                <w:szCs w:val="18"/>
              </w:rPr>
              <w:t xml:space="preserve">Sběr </w:t>
            </w:r>
            <w:r>
              <w:rPr>
                <w:color w:val="000000"/>
                <w:szCs w:val="18"/>
              </w:rPr>
              <w:t xml:space="preserve">případných dalších dokumentů </w:t>
            </w:r>
            <w:r w:rsidRPr="00A50C3A">
              <w:rPr>
                <w:color w:val="000000"/>
                <w:szCs w:val="18"/>
              </w:rPr>
              <w:t>a dalších podkladů od ŘO OP</w:t>
            </w:r>
            <w:r>
              <w:rPr>
                <w:color w:val="000000"/>
                <w:szCs w:val="18"/>
              </w:rPr>
              <w:t xml:space="preserve"> </w:t>
            </w:r>
            <w:r w:rsidRPr="00A50C3A">
              <w:rPr>
                <w:color w:val="000000"/>
                <w:szCs w:val="18"/>
              </w:rPr>
              <w:t>PIK</w:t>
            </w:r>
            <w:r>
              <w:rPr>
                <w:color w:val="000000"/>
                <w:szCs w:val="18"/>
              </w:rPr>
              <w:t xml:space="preserve"> identifikovaných v průběhu evaluace</w:t>
            </w:r>
            <w:r>
              <w:rPr>
                <w:rStyle w:val="Odkaznakoment"/>
              </w:rPr>
              <w:t xml:space="preserve"> </w:t>
            </w:r>
          </w:p>
        </w:tc>
        <w:tc>
          <w:tcPr>
            <w:tcW w:w="844" w:type="pct"/>
            <w:tcBorders>
              <w:top w:val="single" w:sz="4" w:space="0" w:color="92D400"/>
              <w:bottom w:val="single" w:sz="4" w:space="0" w:color="92D400"/>
            </w:tcBorders>
            <w:vAlign w:val="center"/>
          </w:tcPr>
          <w:p w14:paraId="59CDBD48" w14:textId="77777777" w:rsidR="00B032DE" w:rsidRPr="00A50C3A" w:rsidRDefault="00B032DE" w:rsidP="00800AC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MPO</w:t>
            </w:r>
          </w:p>
        </w:tc>
        <w:tc>
          <w:tcPr>
            <w:tcW w:w="921" w:type="pct"/>
            <w:tcBorders>
              <w:top w:val="single" w:sz="4" w:space="0" w:color="92D400"/>
              <w:bottom w:val="single" w:sz="4" w:space="0" w:color="92D400"/>
            </w:tcBorders>
            <w:vAlign w:val="center"/>
          </w:tcPr>
          <w:p w14:paraId="44E34F8B" w14:textId="77777777" w:rsidR="00B032DE" w:rsidRPr="00A50C3A" w:rsidRDefault="00B032DE" w:rsidP="00800AC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průběžně</w:t>
            </w:r>
          </w:p>
        </w:tc>
        <w:tc>
          <w:tcPr>
            <w:tcW w:w="690" w:type="pct"/>
            <w:tcBorders>
              <w:top w:val="single" w:sz="4" w:space="0" w:color="92D400"/>
              <w:bottom w:val="single" w:sz="4" w:space="0" w:color="92D400"/>
            </w:tcBorders>
            <w:shd w:val="clear" w:color="auto" w:fill="86BC25" w:themeFill="accent1"/>
            <w:vAlign w:val="center"/>
          </w:tcPr>
          <w:p w14:paraId="5F6F5FE9" w14:textId="77777777" w:rsidR="00B032DE" w:rsidRPr="00A50C3A" w:rsidRDefault="00B032DE" w:rsidP="00800ACB">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p>
        </w:tc>
      </w:tr>
      <w:tr w:rsidR="00B032DE" w:rsidRPr="00A50C3A" w14:paraId="6BF2DDEB" w14:textId="77777777" w:rsidTr="00BD20B9">
        <w:trPr>
          <w:trHeight w:val="340"/>
          <w:jc w:val="center"/>
        </w:trPr>
        <w:tc>
          <w:tcPr>
            <w:cnfStyle w:val="001000000000" w:firstRow="0" w:lastRow="0" w:firstColumn="1" w:lastColumn="0" w:oddVBand="0" w:evenVBand="0" w:oddHBand="0" w:evenHBand="0" w:firstRowFirstColumn="0" w:firstRowLastColumn="0" w:lastRowFirstColumn="0" w:lastRowLastColumn="0"/>
            <w:tcW w:w="192" w:type="pct"/>
            <w:tcBorders>
              <w:top w:val="single" w:sz="4" w:space="0" w:color="92D400"/>
              <w:bottom w:val="single" w:sz="4" w:space="0" w:color="92D400"/>
            </w:tcBorders>
            <w:vAlign w:val="center"/>
          </w:tcPr>
          <w:p w14:paraId="1D149B7A" w14:textId="77777777" w:rsidR="00B032DE" w:rsidRPr="00A50C3A" w:rsidRDefault="00BD20B9" w:rsidP="00800ACB">
            <w:pPr>
              <w:rPr>
                <w:rFonts w:eastAsia="Times New Roman" w:cs="Calibri"/>
                <w:color w:val="000000"/>
                <w:szCs w:val="18"/>
                <w:lang w:eastAsia="cs-CZ"/>
              </w:rPr>
            </w:pPr>
            <w:r>
              <w:rPr>
                <w:rFonts w:eastAsia="Times New Roman" w:cs="Calibri"/>
                <w:color w:val="000000"/>
                <w:szCs w:val="18"/>
                <w:lang w:eastAsia="cs-CZ"/>
              </w:rPr>
              <w:t>4</w:t>
            </w:r>
          </w:p>
        </w:tc>
        <w:tc>
          <w:tcPr>
            <w:tcW w:w="2353" w:type="pct"/>
            <w:tcBorders>
              <w:top w:val="single" w:sz="4" w:space="0" w:color="92D400"/>
              <w:bottom w:val="single" w:sz="4" w:space="0" w:color="92D400"/>
            </w:tcBorders>
            <w:vAlign w:val="center"/>
          </w:tcPr>
          <w:p w14:paraId="3A9D5E6E" w14:textId="77777777" w:rsidR="00B032DE" w:rsidRPr="00A50C3A" w:rsidRDefault="00B032DE" w:rsidP="00800ACB">
            <w:pPr>
              <w:cnfStyle w:val="000000000000" w:firstRow="0" w:lastRow="0" w:firstColumn="0" w:lastColumn="0" w:oddVBand="0" w:evenVBand="0" w:oddHBand="0" w:evenHBand="0" w:firstRowFirstColumn="0" w:firstRowLastColumn="0" w:lastRowFirstColumn="0" w:lastRowLastColumn="0"/>
              <w:rPr>
                <w:color w:val="000000"/>
                <w:szCs w:val="18"/>
              </w:rPr>
            </w:pPr>
            <w:r w:rsidRPr="00A50C3A">
              <w:rPr>
                <w:color w:val="000000"/>
                <w:szCs w:val="18"/>
              </w:rPr>
              <w:t xml:space="preserve">Analýza </w:t>
            </w:r>
            <w:r w:rsidR="00E30F0E">
              <w:rPr>
                <w:color w:val="000000"/>
                <w:szCs w:val="18"/>
              </w:rPr>
              <w:t xml:space="preserve">metodických </w:t>
            </w:r>
            <w:r w:rsidRPr="00A50C3A">
              <w:rPr>
                <w:color w:val="000000"/>
                <w:szCs w:val="18"/>
              </w:rPr>
              <w:t>dokumentů</w:t>
            </w:r>
            <w:r w:rsidR="00E30F0E">
              <w:rPr>
                <w:color w:val="000000"/>
                <w:szCs w:val="18"/>
              </w:rPr>
              <w:t xml:space="preserve"> a dalších podkladů v rámci II. etapy</w:t>
            </w:r>
          </w:p>
        </w:tc>
        <w:tc>
          <w:tcPr>
            <w:tcW w:w="844" w:type="pct"/>
            <w:tcBorders>
              <w:top w:val="single" w:sz="4" w:space="0" w:color="92D400"/>
              <w:bottom w:val="single" w:sz="4" w:space="0" w:color="92D400"/>
            </w:tcBorders>
            <w:vAlign w:val="center"/>
          </w:tcPr>
          <w:p w14:paraId="423C63E6" w14:textId="77777777" w:rsidR="00B032DE" w:rsidRPr="00A50C3A" w:rsidRDefault="00B032DE" w:rsidP="00800ACB">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Pr>
                <w:rFonts w:eastAsia="Times New Roman" w:cs="Calibri"/>
                <w:color w:val="000000"/>
                <w:szCs w:val="18"/>
                <w:lang w:eastAsia="cs-CZ"/>
              </w:rPr>
              <w:t>Deloitte</w:t>
            </w:r>
          </w:p>
        </w:tc>
        <w:tc>
          <w:tcPr>
            <w:tcW w:w="921" w:type="pct"/>
            <w:tcBorders>
              <w:top w:val="single" w:sz="4" w:space="0" w:color="92D400"/>
              <w:bottom w:val="single" w:sz="4" w:space="0" w:color="92D400"/>
            </w:tcBorders>
            <w:vAlign w:val="center"/>
          </w:tcPr>
          <w:p w14:paraId="21D14267" w14:textId="77777777" w:rsidR="00B032DE" w:rsidRPr="00C932CA" w:rsidRDefault="000E677D" w:rsidP="00800AC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3</w:t>
            </w:r>
            <w:r w:rsidR="00932871">
              <w:rPr>
                <w:rFonts w:asciiTheme="majorHAnsi" w:hAnsiTheme="majorHAnsi" w:cs="Calibri"/>
                <w:color w:val="000000"/>
                <w:szCs w:val="18"/>
                <w:lang w:eastAsia="cs-CZ"/>
              </w:rPr>
              <w:t>. 1. 2020</w:t>
            </w:r>
          </w:p>
        </w:tc>
        <w:tc>
          <w:tcPr>
            <w:tcW w:w="690" w:type="pct"/>
            <w:tcBorders>
              <w:top w:val="single" w:sz="4" w:space="0" w:color="92D400"/>
              <w:bottom w:val="single" w:sz="4" w:space="0" w:color="92D400"/>
            </w:tcBorders>
            <w:shd w:val="clear" w:color="auto" w:fill="auto"/>
            <w:vAlign w:val="center"/>
          </w:tcPr>
          <w:p w14:paraId="73ED26B5" w14:textId="77777777" w:rsidR="00B032DE" w:rsidRPr="00A50C3A" w:rsidRDefault="00B032DE" w:rsidP="00800ACB">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p>
        </w:tc>
      </w:tr>
      <w:tr w:rsidR="00E30F0E" w:rsidRPr="00A50C3A" w14:paraId="5FDACE64" w14:textId="77777777" w:rsidTr="00BD20B9">
        <w:trPr>
          <w:trHeight w:val="340"/>
          <w:jc w:val="center"/>
        </w:trPr>
        <w:tc>
          <w:tcPr>
            <w:cnfStyle w:val="001000000000" w:firstRow="0" w:lastRow="0" w:firstColumn="1" w:lastColumn="0" w:oddVBand="0" w:evenVBand="0" w:oddHBand="0" w:evenHBand="0" w:firstRowFirstColumn="0" w:firstRowLastColumn="0" w:lastRowFirstColumn="0" w:lastRowLastColumn="0"/>
            <w:tcW w:w="192" w:type="pct"/>
            <w:tcBorders>
              <w:top w:val="single" w:sz="4" w:space="0" w:color="92D400"/>
            </w:tcBorders>
            <w:vAlign w:val="center"/>
          </w:tcPr>
          <w:p w14:paraId="5F387D6D" w14:textId="77777777" w:rsidR="00E30F0E" w:rsidRDefault="00E30F0E" w:rsidP="00EC0FCC">
            <w:pPr>
              <w:rPr>
                <w:rFonts w:eastAsia="Times New Roman" w:cs="Calibri"/>
                <w:color w:val="000000"/>
                <w:szCs w:val="18"/>
                <w:lang w:eastAsia="cs-CZ"/>
              </w:rPr>
            </w:pPr>
            <w:r>
              <w:rPr>
                <w:rFonts w:eastAsia="Times New Roman" w:cs="Calibri"/>
                <w:color w:val="000000"/>
                <w:szCs w:val="18"/>
                <w:lang w:eastAsia="cs-CZ"/>
              </w:rPr>
              <w:t>6</w:t>
            </w:r>
          </w:p>
        </w:tc>
        <w:tc>
          <w:tcPr>
            <w:tcW w:w="2353" w:type="pct"/>
            <w:tcBorders>
              <w:top w:val="single" w:sz="4" w:space="0" w:color="92D400"/>
            </w:tcBorders>
            <w:vAlign w:val="center"/>
          </w:tcPr>
          <w:p w14:paraId="15309E95" w14:textId="77777777" w:rsidR="00E30F0E" w:rsidRPr="00A50C3A" w:rsidRDefault="00E30F0E" w:rsidP="00EC0FCC">
            <w:pPr>
              <w:cnfStyle w:val="000000000000" w:firstRow="0" w:lastRow="0" w:firstColumn="0" w:lastColumn="0" w:oddVBand="0" w:evenVBand="0" w:oddHBand="0" w:evenHBand="0" w:firstRowFirstColumn="0" w:firstRowLastColumn="0" w:lastRowFirstColumn="0" w:lastRowLastColumn="0"/>
              <w:rPr>
                <w:color w:val="000000"/>
                <w:szCs w:val="18"/>
              </w:rPr>
            </w:pPr>
            <w:r>
              <w:rPr>
                <w:color w:val="000000"/>
                <w:szCs w:val="18"/>
              </w:rPr>
              <w:t>Analýza sekundárních dat v rámci III. etapy</w:t>
            </w:r>
          </w:p>
        </w:tc>
        <w:tc>
          <w:tcPr>
            <w:tcW w:w="844" w:type="pct"/>
            <w:tcBorders>
              <w:top w:val="single" w:sz="4" w:space="0" w:color="92D400"/>
            </w:tcBorders>
            <w:vAlign w:val="center"/>
          </w:tcPr>
          <w:p w14:paraId="054087C2" w14:textId="77777777" w:rsidR="00E30F0E" w:rsidRDefault="00E30F0E" w:rsidP="00EC0FCC">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Pr>
                <w:rFonts w:eastAsia="Times New Roman" w:cs="Calibri"/>
                <w:color w:val="000000"/>
                <w:szCs w:val="18"/>
                <w:lang w:eastAsia="cs-CZ"/>
              </w:rPr>
              <w:t>Deloitte</w:t>
            </w:r>
          </w:p>
        </w:tc>
        <w:tc>
          <w:tcPr>
            <w:tcW w:w="921" w:type="pct"/>
            <w:tcBorders>
              <w:top w:val="single" w:sz="4" w:space="0" w:color="92D400"/>
            </w:tcBorders>
            <w:vAlign w:val="center"/>
          </w:tcPr>
          <w:p w14:paraId="17A4D7D9" w14:textId="77777777" w:rsidR="00E30F0E" w:rsidRDefault="00E30F0E" w:rsidP="00EC0FC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17. 4. 2020</w:t>
            </w:r>
          </w:p>
        </w:tc>
        <w:tc>
          <w:tcPr>
            <w:tcW w:w="690" w:type="pct"/>
            <w:tcBorders>
              <w:top w:val="single" w:sz="4" w:space="0" w:color="92D400"/>
            </w:tcBorders>
            <w:shd w:val="clear" w:color="auto" w:fill="auto"/>
            <w:vAlign w:val="center"/>
          </w:tcPr>
          <w:p w14:paraId="29F9666B" w14:textId="77777777" w:rsidR="00E30F0E" w:rsidRPr="00A50C3A" w:rsidRDefault="00E30F0E" w:rsidP="00EC0FCC">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p>
        </w:tc>
      </w:tr>
    </w:tbl>
    <w:p w14:paraId="184277DA" w14:textId="77777777" w:rsidR="00860359" w:rsidRDefault="00860359" w:rsidP="00860359">
      <w:pPr>
        <w:pStyle w:val="Nadpis2"/>
        <w:ind w:hanging="720"/>
      </w:pPr>
      <w:bookmarkStart w:id="23" w:name="_Toc25228650"/>
      <w:r>
        <w:lastRenderedPageBreak/>
        <w:t>Dotazníkové šetření</w:t>
      </w:r>
      <w:bookmarkEnd w:id="23"/>
    </w:p>
    <w:p w14:paraId="48FCA24A" w14:textId="77777777" w:rsidR="00860359" w:rsidRPr="00E934FE" w:rsidRDefault="00860359" w:rsidP="00860359">
      <w:pPr>
        <w:spacing w:before="240" w:after="120" w:line="240" w:lineRule="auto"/>
        <w:rPr>
          <w:b/>
          <w:color w:val="012169" w:themeColor="accent4"/>
        </w:rPr>
      </w:pPr>
      <w:r w:rsidRPr="00E934FE">
        <w:rPr>
          <w:b/>
          <w:color w:val="012169" w:themeColor="accent4"/>
        </w:rPr>
        <w:t>Způsob realizace</w:t>
      </w:r>
    </w:p>
    <w:p w14:paraId="1EEABE49" w14:textId="77777777" w:rsidR="00860359" w:rsidRDefault="00860359" w:rsidP="00860359">
      <w:pPr>
        <w:spacing w:before="113" w:after="113" w:line="240" w:lineRule="auto"/>
        <w:jc w:val="both"/>
        <w:rPr>
          <w:szCs w:val="18"/>
        </w:rPr>
      </w:pPr>
      <w:r w:rsidRPr="00DD613F">
        <w:rPr>
          <w:szCs w:val="18"/>
        </w:rPr>
        <w:t xml:space="preserve">Dotazníkové šetření navrhl </w:t>
      </w:r>
      <w:r>
        <w:rPr>
          <w:szCs w:val="18"/>
        </w:rPr>
        <w:t xml:space="preserve">Dodavatel </w:t>
      </w:r>
      <w:r w:rsidRPr="00DD613F">
        <w:rPr>
          <w:szCs w:val="18"/>
        </w:rPr>
        <w:t>v souladu s požadavk</w:t>
      </w:r>
      <w:r>
        <w:rPr>
          <w:szCs w:val="18"/>
        </w:rPr>
        <w:t xml:space="preserve">y Zadavatele </w:t>
      </w:r>
      <w:r w:rsidRPr="00DD613F">
        <w:rPr>
          <w:szCs w:val="18"/>
        </w:rPr>
        <w:t>jako doplňkovou evaluační me</w:t>
      </w:r>
      <w:r>
        <w:rPr>
          <w:szCs w:val="18"/>
        </w:rPr>
        <w:t>todu u </w:t>
      </w:r>
      <w:r w:rsidRPr="00DD613F">
        <w:rPr>
          <w:szCs w:val="18"/>
        </w:rPr>
        <w:t>všech evaluačních otázek, které směřují k </w:t>
      </w:r>
      <w:r>
        <w:rPr>
          <w:szCs w:val="18"/>
        </w:rPr>
        <w:t>pracovníkům</w:t>
      </w:r>
      <w:r w:rsidRPr="00DD613F">
        <w:rPr>
          <w:szCs w:val="18"/>
        </w:rPr>
        <w:t xml:space="preserve"> implementační struktury OP PIK.</w:t>
      </w:r>
      <w:r>
        <w:rPr>
          <w:szCs w:val="18"/>
        </w:rPr>
        <w:t xml:space="preserve"> </w:t>
      </w:r>
      <w:r w:rsidRPr="00A26C0B">
        <w:rPr>
          <w:szCs w:val="18"/>
        </w:rPr>
        <w:t>Cílem DŠ bude zjistit osobní názor pracovníků implementační struktury např. na</w:t>
      </w:r>
      <w:r>
        <w:rPr>
          <w:szCs w:val="18"/>
        </w:rPr>
        <w:t>:</w:t>
      </w:r>
    </w:p>
    <w:p w14:paraId="2E92C259" w14:textId="77777777" w:rsidR="00860359" w:rsidRDefault="00860359" w:rsidP="00860359">
      <w:pPr>
        <w:pStyle w:val="Odstavecseseznamem"/>
        <w:numPr>
          <w:ilvl w:val="0"/>
          <w:numId w:val="14"/>
        </w:numPr>
        <w:tabs>
          <w:tab w:val="left" w:pos="3435"/>
        </w:tabs>
        <w:spacing w:after="120" w:line="240" w:lineRule="auto"/>
        <w:ind w:left="709"/>
        <w:contextualSpacing w:val="0"/>
        <w:jc w:val="both"/>
      </w:pPr>
      <w:r>
        <w:t>S</w:t>
      </w:r>
      <w:r w:rsidRPr="00A00405">
        <w:t>tálost (tj. četnost prováděných změn),</w:t>
      </w:r>
    </w:p>
    <w:p w14:paraId="4F36A347" w14:textId="77777777" w:rsidR="00860359" w:rsidRDefault="00860359" w:rsidP="00860359">
      <w:pPr>
        <w:pStyle w:val="Odstavecseseznamem"/>
        <w:numPr>
          <w:ilvl w:val="0"/>
          <w:numId w:val="14"/>
        </w:numPr>
        <w:tabs>
          <w:tab w:val="left" w:pos="3435"/>
        </w:tabs>
        <w:spacing w:after="120" w:line="240" w:lineRule="auto"/>
        <w:ind w:left="709"/>
        <w:contextualSpacing w:val="0"/>
        <w:jc w:val="both"/>
      </w:pPr>
      <w:r>
        <w:t>P</w:t>
      </w:r>
      <w:r w:rsidRPr="00A00405">
        <w:t>řehlednost a uživatelskou přívětivost metodického prostředí OP PIK</w:t>
      </w:r>
      <w:r>
        <w:t>,</w:t>
      </w:r>
    </w:p>
    <w:p w14:paraId="7E22B78D" w14:textId="77777777" w:rsidR="00860359" w:rsidRDefault="00860359" w:rsidP="00860359">
      <w:pPr>
        <w:pStyle w:val="Odstavecseseznamem"/>
        <w:numPr>
          <w:ilvl w:val="0"/>
          <w:numId w:val="14"/>
        </w:numPr>
        <w:tabs>
          <w:tab w:val="left" w:pos="3435"/>
        </w:tabs>
        <w:spacing w:after="120" w:line="240" w:lineRule="auto"/>
        <w:ind w:left="709"/>
        <w:contextualSpacing w:val="0"/>
        <w:jc w:val="both"/>
      </w:pPr>
      <w:r>
        <w:t>V</w:t>
      </w:r>
      <w:r w:rsidRPr="00A00405">
        <w:t>znik pochybení kvůli častým změnám pravidel a metodik</w:t>
      </w:r>
      <w:r>
        <w:t>,</w:t>
      </w:r>
    </w:p>
    <w:p w14:paraId="14E8977C" w14:textId="77777777" w:rsidR="00860359" w:rsidRDefault="00860359" w:rsidP="00860359">
      <w:pPr>
        <w:pStyle w:val="Odstavecseseznamem"/>
        <w:numPr>
          <w:ilvl w:val="0"/>
          <w:numId w:val="14"/>
        </w:numPr>
        <w:tabs>
          <w:tab w:val="left" w:pos="3435"/>
        </w:tabs>
        <w:spacing w:after="120" w:line="240" w:lineRule="auto"/>
        <w:ind w:left="709"/>
        <w:contextualSpacing w:val="0"/>
        <w:jc w:val="both"/>
      </w:pPr>
      <w:r>
        <w:t>N</w:t>
      </w:r>
      <w:r w:rsidRPr="00A00405">
        <w:t>adbytečnost některých procesů v rámci metodického prostředí OP PIK a jejich původ</w:t>
      </w:r>
      <w:r>
        <w:t>,</w:t>
      </w:r>
    </w:p>
    <w:p w14:paraId="3A081BE1" w14:textId="77777777" w:rsidR="00860359" w:rsidRDefault="00860359" w:rsidP="00860359">
      <w:pPr>
        <w:pStyle w:val="Odstavecseseznamem"/>
        <w:numPr>
          <w:ilvl w:val="0"/>
          <w:numId w:val="14"/>
        </w:numPr>
        <w:tabs>
          <w:tab w:val="left" w:pos="3435"/>
        </w:tabs>
        <w:spacing w:after="120" w:line="240" w:lineRule="auto"/>
        <w:ind w:left="709"/>
        <w:contextualSpacing w:val="0"/>
        <w:jc w:val="both"/>
      </w:pPr>
      <w:r w:rsidRPr="00A00405">
        <w:t>„</w:t>
      </w:r>
      <w:r>
        <w:t>H</w:t>
      </w:r>
      <w:r w:rsidRPr="00A00405">
        <w:t>luchá místa“ v procesech neupravená v současné době žádnou platnou metodikou</w:t>
      </w:r>
      <w:r>
        <w:t>,</w:t>
      </w:r>
    </w:p>
    <w:p w14:paraId="64226A8A" w14:textId="77777777" w:rsidR="00860359" w:rsidRDefault="00860359" w:rsidP="00860359">
      <w:pPr>
        <w:pStyle w:val="Odstavecseseznamem"/>
        <w:numPr>
          <w:ilvl w:val="0"/>
          <w:numId w:val="14"/>
        </w:numPr>
        <w:tabs>
          <w:tab w:val="left" w:pos="3435"/>
        </w:tabs>
        <w:spacing w:after="120" w:line="240" w:lineRule="auto"/>
        <w:ind w:left="709"/>
        <w:contextualSpacing w:val="0"/>
        <w:jc w:val="both"/>
      </w:pPr>
      <w:r>
        <w:t>N</w:t>
      </w:r>
      <w:r w:rsidRPr="00A00405">
        <w:t>astavení postupů hodnocení a ověřování skutečností,</w:t>
      </w:r>
    </w:p>
    <w:p w14:paraId="175E2E3D" w14:textId="77777777" w:rsidR="00860359" w:rsidRPr="00A00405" w:rsidRDefault="00860359" w:rsidP="00860359">
      <w:pPr>
        <w:pStyle w:val="Odstavecseseznamem"/>
        <w:numPr>
          <w:ilvl w:val="0"/>
          <w:numId w:val="14"/>
        </w:numPr>
        <w:tabs>
          <w:tab w:val="left" w:pos="3435"/>
        </w:tabs>
        <w:spacing w:after="120" w:line="240" w:lineRule="auto"/>
        <w:ind w:left="709"/>
        <w:contextualSpacing w:val="0"/>
        <w:jc w:val="both"/>
      </w:pPr>
      <w:r>
        <w:t>V</w:t>
      </w:r>
      <w:r w:rsidRPr="00A00405">
        <w:t xml:space="preserve">hodnost komunikace se žadateli a příjemci atd. </w:t>
      </w:r>
    </w:p>
    <w:p w14:paraId="1320A88A" w14:textId="77777777" w:rsidR="00860359" w:rsidRDefault="00860359" w:rsidP="00860359">
      <w:pPr>
        <w:spacing w:before="113" w:after="113" w:line="240" w:lineRule="auto"/>
        <w:jc w:val="both"/>
        <w:rPr>
          <w:szCs w:val="18"/>
        </w:rPr>
      </w:pPr>
      <w:r w:rsidRPr="00DD613F">
        <w:rPr>
          <w:szCs w:val="18"/>
        </w:rPr>
        <w:t>D</w:t>
      </w:r>
      <w:r>
        <w:rPr>
          <w:szCs w:val="18"/>
        </w:rPr>
        <w:t>Š</w:t>
      </w:r>
      <w:r w:rsidRPr="00DD613F">
        <w:rPr>
          <w:szCs w:val="18"/>
        </w:rPr>
        <w:t xml:space="preserve"> bude realizováno prost</w:t>
      </w:r>
      <w:r>
        <w:rPr>
          <w:szCs w:val="18"/>
        </w:rPr>
        <w:t xml:space="preserve">řednictvím souhrnného </w:t>
      </w:r>
      <w:r w:rsidRPr="00DD613F">
        <w:rPr>
          <w:szCs w:val="18"/>
        </w:rPr>
        <w:t xml:space="preserve">dotazníku (tj. pro vyhodnocení všech relevantních evaluačních otázek bude využito jedno </w:t>
      </w:r>
      <w:r>
        <w:rPr>
          <w:szCs w:val="18"/>
        </w:rPr>
        <w:t>DŠ</w:t>
      </w:r>
      <w:r w:rsidRPr="00DD613F">
        <w:rPr>
          <w:szCs w:val="18"/>
        </w:rPr>
        <w:t xml:space="preserve">) zpracovaného v on-line nástroji Dodavatele, který umožňuje vytvořit a strukturovat dotazník, včetně vytvoření šablony dotazníku (např. umístnění logolinku OP PIK, titulků apod.). </w:t>
      </w:r>
    </w:p>
    <w:p w14:paraId="66EE6975" w14:textId="77777777" w:rsidR="00860359" w:rsidRDefault="00860359" w:rsidP="00860359">
      <w:pPr>
        <w:spacing w:before="113" w:after="113" w:line="240" w:lineRule="auto"/>
        <w:jc w:val="both"/>
        <w:rPr>
          <w:szCs w:val="18"/>
        </w:rPr>
      </w:pPr>
      <w:r w:rsidRPr="00DD613F">
        <w:rPr>
          <w:szCs w:val="18"/>
        </w:rPr>
        <w:t>Nástroj umožňuje podmiňovat otázky nebo celé sekce, čímž v rámci jednoho dotazníku lze vytvořit více variant. Po vyplnění dotazníku respondentem jsou údaje nástrojem automaticky uloženy a vyhodnocovány, přičemž statistika evid</w:t>
      </w:r>
      <w:r>
        <w:rPr>
          <w:szCs w:val="18"/>
        </w:rPr>
        <w:t xml:space="preserve">uje počet ukončených dotazníků. </w:t>
      </w:r>
      <w:r w:rsidRPr="00DD613F">
        <w:rPr>
          <w:szCs w:val="18"/>
        </w:rPr>
        <w:t xml:space="preserve">Jakmile bude se Zadavatelem odsouhlaseno znění a finální podoba dotazníku, bude odkaz na webovou adresu s umístěným dotazníkem zaslán respondentům. </w:t>
      </w:r>
    </w:p>
    <w:p w14:paraId="6350979A" w14:textId="77777777" w:rsidR="00860359" w:rsidRDefault="00860359" w:rsidP="00860359">
      <w:pPr>
        <w:spacing w:before="113" w:after="113" w:line="240" w:lineRule="auto"/>
        <w:jc w:val="both"/>
        <w:rPr>
          <w:szCs w:val="18"/>
        </w:rPr>
      </w:pPr>
      <w:r w:rsidRPr="00DD613F">
        <w:rPr>
          <w:szCs w:val="18"/>
        </w:rPr>
        <w:t xml:space="preserve">Vzhledem k tomu, že </w:t>
      </w:r>
      <w:r>
        <w:rPr>
          <w:szCs w:val="18"/>
        </w:rPr>
        <w:t xml:space="preserve">respondenty DŠ budou </w:t>
      </w:r>
      <w:r w:rsidRPr="00DD613F">
        <w:rPr>
          <w:szCs w:val="18"/>
        </w:rPr>
        <w:t>pracovní</w:t>
      </w:r>
      <w:r>
        <w:rPr>
          <w:szCs w:val="18"/>
        </w:rPr>
        <w:t>ci</w:t>
      </w:r>
      <w:r w:rsidRPr="00DD613F">
        <w:rPr>
          <w:szCs w:val="18"/>
        </w:rPr>
        <w:t xml:space="preserve"> organizace Zadavatele</w:t>
      </w:r>
      <w:r>
        <w:rPr>
          <w:szCs w:val="18"/>
        </w:rPr>
        <w:t>, respektive zprostředkujícího subjektu a správce finančních nástrojů</w:t>
      </w:r>
      <w:r w:rsidRPr="00DD613F">
        <w:rPr>
          <w:szCs w:val="18"/>
        </w:rPr>
        <w:t>, Do</w:t>
      </w:r>
      <w:r>
        <w:rPr>
          <w:szCs w:val="18"/>
        </w:rPr>
        <w:t>davatel doporučuje, aby byl odkaz</w:t>
      </w:r>
      <w:r w:rsidRPr="00DD613F">
        <w:rPr>
          <w:szCs w:val="18"/>
        </w:rPr>
        <w:t xml:space="preserve"> na dotazník zaslán přímo Zadavatelem. </w:t>
      </w:r>
      <w:r>
        <w:rPr>
          <w:szCs w:val="18"/>
        </w:rPr>
        <w:t>Alternativně</w:t>
      </w:r>
      <w:r w:rsidRPr="00DD613F">
        <w:rPr>
          <w:szCs w:val="18"/>
        </w:rPr>
        <w:t xml:space="preserve"> může Dodavatel oslovit respondenty spolu s průvodním dopisem Zadavatele, představujícím respondentům </w:t>
      </w:r>
      <w:r>
        <w:rPr>
          <w:szCs w:val="18"/>
        </w:rPr>
        <w:t>P</w:t>
      </w:r>
      <w:r w:rsidRPr="00DD613F">
        <w:rPr>
          <w:szCs w:val="18"/>
        </w:rPr>
        <w:t xml:space="preserve">rojekt a jeho cíle a vyzývajícím ke spolupráci a účasti na </w:t>
      </w:r>
      <w:r>
        <w:rPr>
          <w:szCs w:val="18"/>
        </w:rPr>
        <w:t xml:space="preserve">DŠ. </w:t>
      </w:r>
      <w:r w:rsidRPr="00DD613F">
        <w:rPr>
          <w:szCs w:val="18"/>
        </w:rPr>
        <w:t xml:space="preserve">Po ukončení </w:t>
      </w:r>
      <w:r>
        <w:rPr>
          <w:szCs w:val="18"/>
        </w:rPr>
        <w:t>DŠ</w:t>
      </w:r>
      <w:r w:rsidRPr="00DD613F">
        <w:rPr>
          <w:szCs w:val="18"/>
        </w:rPr>
        <w:t xml:space="preserve"> budou veškerá data získaná v rámci tohoto šetření v anonymizované a agregované podobě (tabulky, grafy) předána Zadavateli.</w:t>
      </w:r>
      <w:r>
        <w:rPr>
          <w:szCs w:val="18"/>
        </w:rPr>
        <w:t xml:space="preserve"> Výsledky a zjištění dotazníkového šetření poslouží jako vstupní data pro hloubkové rozhovory se zástupci implementační struktury. V rámci těchto rozhovorů budou důležitá zjištění hloubkově analyzována a zpřesněna. </w:t>
      </w:r>
    </w:p>
    <w:p w14:paraId="25D4D094" w14:textId="77777777" w:rsidR="00860359" w:rsidRPr="00F57E36" w:rsidRDefault="00860359" w:rsidP="00860359">
      <w:pPr>
        <w:spacing w:after="120" w:line="240" w:lineRule="auto"/>
        <w:jc w:val="both"/>
      </w:pPr>
      <w:r w:rsidRPr="00CC6605">
        <w:rPr>
          <w:szCs w:val="18"/>
        </w:rPr>
        <w:t>Dotazníkové šetření bude Dodavatelem navrženo tak, aby zcela či částečně zodpovědělo na vybrané evaluační otázky napříč všemi evaluačními okruhy.</w:t>
      </w:r>
    </w:p>
    <w:p w14:paraId="70528B3D" w14:textId="77777777" w:rsidR="00860359" w:rsidRPr="00E934FE" w:rsidRDefault="00860359" w:rsidP="00860359">
      <w:pPr>
        <w:spacing w:before="240" w:after="120" w:line="240" w:lineRule="auto"/>
        <w:rPr>
          <w:b/>
          <w:color w:val="012169" w:themeColor="accent4"/>
        </w:rPr>
      </w:pPr>
      <w:r w:rsidRPr="00E934FE">
        <w:rPr>
          <w:b/>
          <w:color w:val="012169" w:themeColor="accent4"/>
        </w:rPr>
        <w:t>Respondenti</w:t>
      </w:r>
    </w:p>
    <w:p w14:paraId="29B49C52" w14:textId="77777777" w:rsidR="00860359" w:rsidRDefault="00860359" w:rsidP="00860359">
      <w:pPr>
        <w:spacing w:after="60" w:line="240" w:lineRule="auto"/>
        <w:jc w:val="both"/>
      </w:pPr>
      <w:r w:rsidRPr="00DD613F">
        <w:t xml:space="preserve">V rámci </w:t>
      </w:r>
      <w:r>
        <w:t>DŠ</w:t>
      </w:r>
      <w:r w:rsidRPr="00DD613F">
        <w:t xml:space="preserve"> budou osloveni pracovníci implem</w:t>
      </w:r>
      <w:r>
        <w:t xml:space="preserve">entační struktury OP PIK, tj. </w:t>
      </w:r>
      <w:r w:rsidRPr="00A26C0B">
        <w:rPr>
          <w:szCs w:val="18"/>
        </w:rPr>
        <w:t>zaměstnanci ŘO i zprostředkujících subjektů (API, ČMZRB).</w:t>
      </w:r>
      <w:r>
        <w:t xml:space="preserve"> </w:t>
      </w:r>
      <w:r w:rsidRPr="006D6D9B">
        <w:rPr>
          <w:szCs w:val="18"/>
        </w:rPr>
        <w:t>Respondenti budou vybráni tak, aby pokrývali všechny prioritní osy OP (kromě technické pomoci) a programy podpory</w:t>
      </w:r>
      <w:r>
        <w:rPr>
          <w:szCs w:val="18"/>
        </w:rPr>
        <w:t>.</w:t>
      </w:r>
      <w:r w:rsidRPr="00DD613F">
        <w:t xml:space="preserve"> </w:t>
      </w:r>
      <w:r>
        <w:t>Konkrétně se bude jednat o tyto skupiny respondentů:</w:t>
      </w:r>
    </w:p>
    <w:p w14:paraId="10DDC4B1" w14:textId="77777777" w:rsidR="00860359" w:rsidRPr="00CE6508" w:rsidRDefault="00860359" w:rsidP="00860359">
      <w:pPr>
        <w:pStyle w:val="Odstavecseseznamem"/>
        <w:numPr>
          <w:ilvl w:val="1"/>
          <w:numId w:val="29"/>
        </w:numPr>
        <w:spacing w:before="120" w:after="120" w:line="240" w:lineRule="auto"/>
        <w:ind w:left="714" w:hanging="357"/>
        <w:contextualSpacing w:val="0"/>
        <w:jc w:val="both"/>
        <w:rPr>
          <w:szCs w:val="18"/>
        </w:rPr>
      </w:pPr>
      <w:r w:rsidRPr="00E934FE">
        <w:rPr>
          <w:b/>
          <w:szCs w:val="18"/>
        </w:rPr>
        <w:t>Pracovníci „front office“</w:t>
      </w:r>
      <w:r w:rsidRPr="00CE6508">
        <w:rPr>
          <w:szCs w:val="18"/>
        </w:rPr>
        <w:t xml:space="preserve"> – tj. pracovníci, kteří jsou prvním kontaktem žadatele/příjemce při řešení jeho požadavku (nejčastěji projektoví a finanční manažeři, pracovníci Zelené linky, a další);</w:t>
      </w:r>
    </w:p>
    <w:p w14:paraId="26CF780B" w14:textId="77777777" w:rsidR="00860359" w:rsidRPr="0028578A" w:rsidRDefault="00860359" w:rsidP="00860359">
      <w:pPr>
        <w:pStyle w:val="Odstavecseseznamem"/>
        <w:numPr>
          <w:ilvl w:val="1"/>
          <w:numId w:val="29"/>
        </w:numPr>
        <w:spacing w:before="120" w:after="120" w:line="240" w:lineRule="auto"/>
        <w:ind w:left="714" w:hanging="357"/>
        <w:contextualSpacing w:val="0"/>
        <w:jc w:val="both"/>
        <w:rPr>
          <w:szCs w:val="18"/>
        </w:rPr>
      </w:pPr>
      <w:r w:rsidRPr="00E934FE">
        <w:rPr>
          <w:b/>
          <w:szCs w:val="18"/>
        </w:rPr>
        <w:t>Pracovníci „back office“</w:t>
      </w:r>
      <w:r w:rsidRPr="00CE6508">
        <w:rPr>
          <w:szCs w:val="18"/>
        </w:rPr>
        <w:t xml:space="preserve"> – tj. pracovníci, kteří se věnují implementaci OP a administraci projektů „uvnitř“ ŘO/ZS</w:t>
      </w:r>
      <w:r>
        <w:rPr>
          <w:szCs w:val="18"/>
        </w:rPr>
        <w:t xml:space="preserve"> (např. p</w:t>
      </w:r>
      <w:r>
        <w:t xml:space="preserve">racovníci Odboru strukturální fondů, Oddělení metodické a právní podpory, Odboru kontroly a dalších odborů v rámci Sekce fondů EU na MPO, stejně jako pracovníci Odboru </w:t>
      </w:r>
      <w:r w:rsidRPr="0028578A">
        <w:t xml:space="preserve">podpory fondů EU API apod.)  </w:t>
      </w:r>
    </w:p>
    <w:p w14:paraId="003D0B40" w14:textId="129720AA" w:rsidR="00860359" w:rsidRDefault="00860359" w:rsidP="00860359">
      <w:pPr>
        <w:spacing w:before="113" w:after="113" w:line="240" w:lineRule="auto"/>
        <w:jc w:val="both"/>
      </w:pPr>
      <w:r w:rsidRPr="0028578A">
        <w:t>Po dohodě se Zadavatelem na kick-off</w:t>
      </w:r>
      <w:r w:rsidR="005B62B3">
        <w:t xml:space="preserve"> jednání bude dotazník</w:t>
      </w:r>
      <w:r w:rsidRPr="0028578A">
        <w:t xml:space="preserve"> na žadatele a příjemce </w:t>
      </w:r>
      <w:r w:rsidR="006617AF">
        <w:t xml:space="preserve">z části </w:t>
      </w:r>
      <w:r w:rsidRPr="0028578A">
        <w:t xml:space="preserve">nahrazen fokusní skupinou se zástupci žadatelů a příjemců OP PIK. Volba respondentů bude upřesněná se Zadavatelem v další fázi. </w:t>
      </w:r>
    </w:p>
    <w:p w14:paraId="4ACCDD1E" w14:textId="77CC7281" w:rsidR="00AC4A07" w:rsidRDefault="00AC4A07" w:rsidP="00860359">
      <w:pPr>
        <w:spacing w:before="113" w:after="113" w:line="240" w:lineRule="auto"/>
        <w:jc w:val="both"/>
      </w:pPr>
    </w:p>
    <w:p w14:paraId="7951C249" w14:textId="5BF6FA68" w:rsidR="00AC4A07" w:rsidRDefault="00AC4A07" w:rsidP="00860359">
      <w:pPr>
        <w:spacing w:before="113" w:after="113" w:line="240" w:lineRule="auto"/>
        <w:jc w:val="both"/>
      </w:pPr>
    </w:p>
    <w:p w14:paraId="2CF148AA" w14:textId="4B0A248F" w:rsidR="00AC4A07" w:rsidRDefault="00AC4A07" w:rsidP="00860359">
      <w:pPr>
        <w:spacing w:before="113" w:after="113" w:line="240" w:lineRule="auto"/>
        <w:jc w:val="both"/>
      </w:pPr>
    </w:p>
    <w:p w14:paraId="5F296B99" w14:textId="7CDEBF19" w:rsidR="00AC4A07" w:rsidRDefault="00AC4A07" w:rsidP="00860359">
      <w:pPr>
        <w:spacing w:before="113" w:after="113" w:line="240" w:lineRule="auto"/>
        <w:jc w:val="both"/>
      </w:pPr>
    </w:p>
    <w:p w14:paraId="085611BB" w14:textId="1B076A58" w:rsidR="00AC4A07" w:rsidRDefault="00AC4A07" w:rsidP="00860359">
      <w:pPr>
        <w:spacing w:before="113" w:after="113" w:line="240" w:lineRule="auto"/>
        <w:jc w:val="both"/>
      </w:pPr>
    </w:p>
    <w:p w14:paraId="06877ACE" w14:textId="77777777" w:rsidR="00AC4A07" w:rsidRPr="0028578A" w:rsidRDefault="00AC4A07" w:rsidP="00860359">
      <w:pPr>
        <w:spacing w:before="113" w:after="113" w:line="240" w:lineRule="auto"/>
        <w:jc w:val="both"/>
      </w:pPr>
    </w:p>
    <w:p w14:paraId="40E55424" w14:textId="77777777" w:rsidR="00860359" w:rsidRPr="0028578A" w:rsidRDefault="00860359" w:rsidP="00860359">
      <w:pPr>
        <w:spacing w:before="240" w:after="120" w:line="240" w:lineRule="auto"/>
        <w:rPr>
          <w:b/>
          <w:color w:val="012169" w:themeColor="accent4"/>
        </w:rPr>
      </w:pPr>
      <w:r w:rsidRPr="0028578A">
        <w:rPr>
          <w:b/>
          <w:color w:val="012169" w:themeColor="accent4"/>
        </w:rPr>
        <w:lastRenderedPageBreak/>
        <w:t>Velikost vzorku</w:t>
      </w:r>
    </w:p>
    <w:p w14:paraId="38D9C445" w14:textId="77777777" w:rsidR="0028578A" w:rsidRDefault="00860359" w:rsidP="00860359">
      <w:pPr>
        <w:spacing w:before="113" w:after="113" w:line="240" w:lineRule="auto"/>
        <w:jc w:val="both"/>
      </w:pPr>
      <w:r w:rsidRPr="0028578A">
        <w:t>Velikost vzorku bude vycházet z počtu pracovníků implementační struktury OP PIK. Do DŠ je tak možné zahrnout 300 – 400 respondentů (200 zaměstnanců MPO v Sekci fondů EU, VaVaI a investičních pobídek, 150 zaměstnanců API, desítky zaměstnanců ČMZRB)</w:t>
      </w:r>
      <w:r w:rsidRPr="0028578A">
        <w:rPr>
          <w:rStyle w:val="Znakapoznpodarou"/>
        </w:rPr>
        <w:footnoteReference w:id="8"/>
      </w:r>
      <w:r w:rsidRPr="0028578A">
        <w:t xml:space="preserve">, přičemž za reprezentativní vzorek jsou považovány hodnoty uvedené v tabulce níže. Stejně tak je v tabulce uvedena ideální návratnost dotazníku (50 % pro vzorek větší než 100 respondentů a 60 % pro vzorek velký 50 – 100 respondentů), které však, dle zkušeností Dodavatele, pravděpodobně nebude dosaženo. Z tohoto důvodu Dodavatel osloví všechny zaměstnance implementační struktury OP PIK, přičemž dle zkušeností Dodavatele s realizací obdobných evaluací lze předpokládat návratnost na úrovni 30 %. </w:t>
      </w:r>
    </w:p>
    <w:p w14:paraId="154B4F1B" w14:textId="77777777" w:rsidR="008A4F6A" w:rsidRPr="0028578A" w:rsidRDefault="008A4F6A" w:rsidP="005B62B3">
      <w:pPr>
        <w:pStyle w:val="Titulek"/>
        <w:spacing w:after="0"/>
        <w:jc w:val="center"/>
      </w:pPr>
      <w:bookmarkStart w:id="24" w:name="_Toc24384734"/>
      <w:r w:rsidRPr="0028578A">
        <w:t xml:space="preserve">Tabulka </w:t>
      </w:r>
      <w:r w:rsidRPr="0028578A">
        <w:fldChar w:fldCharType="begin"/>
      </w:r>
      <w:r w:rsidRPr="0028578A">
        <w:instrText xml:space="preserve"> SEQ Tabulka \* ARABIC </w:instrText>
      </w:r>
      <w:r w:rsidRPr="0028578A">
        <w:fldChar w:fldCharType="separate"/>
      </w:r>
      <w:r w:rsidR="00E93151" w:rsidRPr="0028578A">
        <w:rPr>
          <w:noProof/>
        </w:rPr>
        <w:t>8</w:t>
      </w:r>
      <w:r w:rsidRPr="0028578A">
        <w:fldChar w:fldCharType="end"/>
      </w:r>
      <w:r w:rsidR="0028578A" w:rsidRPr="0028578A">
        <w:t>:</w:t>
      </w:r>
      <w:r w:rsidRPr="0028578A">
        <w:t xml:space="preserve"> Velikost vzorku dotazníkového šetření</w:t>
      </w:r>
      <w:bookmarkEnd w:id="24"/>
    </w:p>
    <w:tbl>
      <w:tblPr>
        <w:tblStyle w:val="Svtlseznamzvraznn1"/>
        <w:tblW w:w="5000" w:type="pct"/>
        <w:tblBorders>
          <w:left w:val="none" w:sz="0" w:space="0" w:color="auto"/>
          <w:right w:val="none" w:sz="0" w:space="0" w:color="auto"/>
          <w:insideH w:val="single" w:sz="8" w:space="0" w:color="86BC25" w:themeColor="accent1"/>
        </w:tblBorders>
        <w:tblLook w:val="04A0" w:firstRow="1" w:lastRow="0" w:firstColumn="1" w:lastColumn="0" w:noHBand="0" w:noVBand="1"/>
      </w:tblPr>
      <w:tblGrid>
        <w:gridCol w:w="4588"/>
        <w:gridCol w:w="2725"/>
        <w:gridCol w:w="2779"/>
      </w:tblGrid>
      <w:tr w:rsidR="00C53E68" w:rsidRPr="0028578A" w14:paraId="72F44920" w14:textId="77777777" w:rsidTr="005B62B3">
        <w:trPr>
          <w:cnfStyle w:val="100000000000" w:firstRow="1" w:lastRow="0" w:firstColumn="0" w:lastColumn="0" w:oddVBand="0" w:evenVBand="0" w:oddHBand="0" w:evenHBand="0" w:firstRowFirstColumn="0" w:firstRowLastColumn="0" w:lastRowFirstColumn="0" w:lastRowLastColumn="0"/>
          <w:trHeight w:val="345"/>
          <w:tblHeader/>
        </w:trPr>
        <w:tc>
          <w:tcPr>
            <w:cnfStyle w:val="001000000000" w:firstRow="0" w:lastRow="0" w:firstColumn="1" w:lastColumn="0" w:oddVBand="0" w:evenVBand="0" w:oddHBand="0" w:evenHBand="0" w:firstRowFirstColumn="0" w:firstRowLastColumn="0" w:lastRowFirstColumn="0" w:lastRowLastColumn="0"/>
            <w:tcW w:w="2273" w:type="pct"/>
          </w:tcPr>
          <w:p w14:paraId="05266F97" w14:textId="77777777" w:rsidR="00C53E68" w:rsidRPr="0028578A" w:rsidRDefault="00C53E68" w:rsidP="008A4F6A">
            <w:pPr>
              <w:keepNext/>
              <w:jc w:val="center"/>
              <w:rPr>
                <w:b w:val="0"/>
                <w:bCs w:val="0"/>
                <w:szCs w:val="18"/>
              </w:rPr>
            </w:pPr>
          </w:p>
        </w:tc>
        <w:tc>
          <w:tcPr>
            <w:tcW w:w="2727" w:type="pct"/>
            <w:gridSpan w:val="2"/>
            <w:vAlign w:val="center"/>
          </w:tcPr>
          <w:p w14:paraId="2E93B0D9" w14:textId="77777777" w:rsidR="00C53E68" w:rsidRPr="0028578A" w:rsidRDefault="00C53E68" w:rsidP="00C53E68">
            <w:pPr>
              <w:keepNext/>
              <w:jc w:val="center"/>
              <w:cnfStyle w:val="100000000000" w:firstRow="1" w:lastRow="0" w:firstColumn="0" w:lastColumn="0" w:oddVBand="0" w:evenVBand="0" w:oddHBand="0" w:evenHBand="0" w:firstRowFirstColumn="0" w:firstRowLastColumn="0" w:lastRowFirstColumn="0" w:lastRowLastColumn="0"/>
              <w:rPr>
                <w:szCs w:val="18"/>
              </w:rPr>
            </w:pPr>
            <w:r w:rsidRPr="0028578A">
              <w:rPr>
                <w:bCs w:val="0"/>
                <w:szCs w:val="18"/>
              </w:rPr>
              <w:t xml:space="preserve">Počet </w:t>
            </w:r>
            <w:r w:rsidR="00E94B58" w:rsidRPr="0028578A">
              <w:rPr>
                <w:bCs w:val="0"/>
                <w:szCs w:val="18"/>
              </w:rPr>
              <w:t xml:space="preserve">respondentů </w:t>
            </w:r>
            <w:r w:rsidRPr="0028578A">
              <w:rPr>
                <w:bCs w:val="0"/>
                <w:szCs w:val="18"/>
              </w:rPr>
              <w:t>dle úrovně spolehlivosti</w:t>
            </w:r>
            <w:r w:rsidR="0028578A" w:rsidRPr="0028578A">
              <w:rPr>
                <w:rStyle w:val="Znakapoznpodarou"/>
                <w:szCs w:val="18"/>
              </w:rPr>
              <w:footnoteReference w:id="9"/>
            </w:r>
          </w:p>
        </w:tc>
      </w:tr>
      <w:tr w:rsidR="0028578A" w:rsidRPr="0028578A" w14:paraId="26717BD1" w14:textId="77777777" w:rsidTr="005B62B3">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2273" w:type="pct"/>
            <w:tcBorders>
              <w:top w:val="none" w:sz="0" w:space="0" w:color="auto"/>
              <w:left w:val="none" w:sz="0" w:space="0" w:color="auto"/>
              <w:bottom w:val="none" w:sz="0" w:space="0" w:color="auto"/>
            </w:tcBorders>
            <w:shd w:val="clear" w:color="auto" w:fill="E7F5CF" w:themeFill="accent1" w:themeFillTint="33"/>
          </w:tcPr>
          <w:p w14:paraId="20A637BB" w14:textId="77777777" w:rsidR="008A4F6A" w:rsidRPr="0028578A" w:rsidRDefault="008A4F6A" w:rsidP="008A4F6A">
            <w:pPr>
              <w:keepNext/>
              <w:jc w:val="center"/>
              <w:rPr>
                <w:b w:val="0"/>
                <w:bCs w:val="0"/>
                <w:szCs w:val="18"/>
              </w:rPr>
            </w:pPr>
          </w:p>
        </w:tc>
        <w:tc>
          <w:tcPr>
            <w:tcW w:w="1350" w:type="pct"/>
            <w:tcBorders>
              <w:top w:val="none" w:sz="0" w:space="0" w:color="auto"/>
              <w:bottom w:val="none" w:sz="0" w:space="0" w:color="auto"/>
            </w:tcBorders>
            <w:shd w:val="clear" w:color="auto" w:fill="E7F5CF" w:themeFill="accent1" w:themeFillTint="33"/>
            <w:vAlign w:val="center"/>
          </w:tcPr>
          <w:p w14:paraId="23B4B204" w14:textId="77777777" w:rsidR="008A4F6A" w:rsidRPr="0028578A" w:rsidRDefault="008A4F6A" w:rsidP="0028578A">
            <w:pPr>
              <w:keepNext/>
              <w:jc w:val="center"/>
              <w:cnfStyle w:val="000000100000" w:firstRow="0" w:lastRow="0" w:firstColumn="0" w:lastColumn="0" w:oddVBand="0" w:evenVBand="0" w:oddHBand="1" w:evenHBand="0" w:firstRowFirstColumn="0" w:firstRowLastColumn="0" w:lastRowFirstColumn="0" w:lastRowLastColumn="0"/>
              <w:rPr>
                <w:szCs w:val="18"/>
              </w:rPr>
            </w:pPr>
            <w:r w:rsidRPr="0028578A">
              <w:rPr>
                <w:szCs w:val="18"/>
              </w:rPr>
              <w:t>Úroveň spolehlivost 95 %</w:t>
            </w:r>
          </w:p>
        </w:tc>
        <w:tc>
          <w:tcPr>
            <w:tcW w:w="1377" w:type="pct"/>
            <w:tcBorders>
              <w:top w:val="none" w:sz="0" w:space="0" w:color="auto"/>
              <w:bottom w:val="none" w:sz="0" w:space="0" w:color="auto"/>
              <w:right w:val="none" w:sz="0" w:space="0" w:color="auto"/>
            </w:tcBorders>
            <w:shd w:val="clear" w:color="auto" w:fill="E7F5CF" w:themeFill="accent1" w:themeFillTint="33"/>
            <w:vAlign w:val="center"/>
          </w:tcPr>
          <w:p w14:paraId="661DF5F4" w14:textId="77777777" w:rsidR="008A4F6A" w:rsidRPr="0028578A" w:rsidRDefault="008A4F6A" w:rsidP="00C53E68">
            <w:pPr>
              <w:keepNext/>
              <w:jc w:val="center"/>
              <w:cnfStyle w:val="000000100000" w:firstRow="0" w:lastRow="0" w:firstColumn="0" w:lastColumn="0" w:oddVBand="0" w:evenVBand="0" w:oddHBand="1" w:evenHBand="0" w:firstRowFirstColumn="0" w:firstRowLastColumn="0" w:lastRowFirstColumn="0" w:lastRowLastColumn="0"/>
              <w:rPr>
                <w:szCs w:val="18"/>
              </w:rPr>
            </w:pPr>
            <w:r w:rsidRPr="0028578A">
              <w:rPr>
                <w:szCs w:val="18"/>
              </w:rPr>
              <w:t>Úroveň spolehlivosti 99 %</w:t>
            </w:r>
          </w:p>
        </w:tc>
      </w:tr>
      <w:tr w:rsidR="0028578A" w:rsidRPr="0028578A" w14:paraId="7F02F18E" w14:textId="77777777" w:rsidTr="0028578A">
        <w:trPr>
          <w:trHeight w:val="403"/>
        </w:trPr>
        <w:tc>
          <w:tcPr>
            <w:cnfStyle w:val="001000000000" w:firstRow="0" w:lastRow="0" w:firstColumn="1" w:lastColumn="0" w:oddVBand="0" w:evenVBand="0" w:oddHBand="0" w:evenHBand="0" w:firstRowFirstColumn="0" w:firstRowLastColumn="0" w:lastRowFirstColumn="0" w:lastRowLastColumn="0"/>
            <w:tcW w:w="2273" w:type="pct"/>
            <w:vAlign w:val="center"/>
          </w:tcPr>
          <w:p w14:paraId="6AA7C329" w14:textId="77777777" w:rsidR="008A4F6A" w:rsidRPr="0028578A" w:rsidRDefault="008A4F6A" w:rsidP="008A4F6A">
            <w:pPr>
              <w:spacing w:before="60" w:after="60"/>
              <w:rPr>
                <w:b w:val="0"/>
                <w:szCs w:val="18"/>
              </w:rPr>
            </w:pPr>
            <w:r w:rsidRPr="0028578A">
              <w:rPr>
                <w:b w:val="0"/>
                <w:szCs w:val="18"/>
              </w:rPr>
              <w:t>Počet pracovníků implement</w:t>
            </w:r>
            <w:r w:rsidR="005B62B3">
              <w:rPr>
                <w:b w:val="0"/>
                <w:szCs w:val="18"/>
              </w:rPr>
              <w:t>.</w:t>
            </w:r>
            <w:r w:rsidRPr="0028578A">
              <w:rPr>
                <w:b w:val="0"/>
                <w:szCs w:val="18"/>
              </w:rPr>
              <w:t xml:space="preserve"> struktury OP PIK</w:t>
            </w:r>
          </w:p>
        </w:tc>
        <w:tc>
          <w:tcPr>
            <w:tcW w:w="1350" w:type="pct"/>
            <w:vAlign w:val="center"/>
          </w:tcPr>
          <w:p w14:paraId="40F6EB9D" w14:textId="77777777" w:rsidR="008A4F6A" w:rsidRPr="0028578A" w:rsidRDefault="008A4F6A" w:rsidP="00C53E68">
            <w:pPr>
              <w:spacing w:before="60" w:after="60"/>
              <w:jc w:val="center"/>
              <w:cnfStyle w:val="000000000000" w:firstRow="0" w:lastRow="0" w:firstColumn="0" w:lastColumn="0" w:oddVBand="0" w:evenVBand="0" w:oddHBand="0" w:evenHBand="0" w:firstRowFirstColumn="0" w:firstRowLastColumn="0" w:lastRowFirstColumn="0" w:lastRowLastColumn="0"/>
              <w:rPr>
                <w:szCs w:val="18"/>
              </w:rPr>
            </w:pPr>
            <w:r w:rsidRPr="0028578A">
              <w:rPr>
                <w:szCs w:val="18"/>
              </w:rPr>
              <w:t>350</w:t>
            </w:r>
          </w:p>
        </w:tc>
        <w:tc>
          <w:tcPr>
            <w:tcW w:w="1377" w:type="pct"/>
            <w:vAlign w:val="center"/>
          </w:tcPr>
          <w:p w14:paraId="5BB9B934" w14:textId="77777777" w:rsidR="008A4F6A" w:rsidRPr="0028578A" w:rsidDel="003C03D0" w:rsidRDefault="00C53E68" w:rsidP="00C53E68">
            <w:pPr>
              <w:spacing w:before="60" w:after="60"/>
              <w:jc w:val="center"/>
              <w:cnfStyle w:val="000000000000" w:firstRow="0" w:lastRow="0" w:firstColumn="0" w:lastColumn="0" w:oddVBand="0" w:evenVBand="0" w:oddHBand="0" w:evenHBand="0" w:firstRowFirstColumn="0" w:firstRowLastColumn="0" w:lastRowFirstColumn="0" w:lastRowLastColumn="0"/>
              <w:rPr>
                <w:szCs w:val="18"/>
              </w:rPr>
            </w:pPr>
            <w:r w:rsidRPr="0028578A">
              <w:rPr>
                <w:szCs w:val="18"/>
              </w:rPr>
              <w:t>350</w:t>
            </w:r>
          </w:p>
        </w:tc>
      </w:tr>
      <w:tr w:rsidR="0028578A" w:rsidRPr="0028578A" w14:paraId="4FEDD4B5" w14:textId="77777777" w:rsidTr="0028578A">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273" w:type="pct"/>
            <w:tcBorders>
              <w:top w:val="none" w:sz="0" w:space="0" w:color="auto"/>
              <w:left w:val="none" w:sz="0" w:space="0" w:color="auto"/>
              <w:bottom w:val="none" w:sz="0" w:space="0" w:color="auto"/>
            </w:tcBorders>
            <w:vAlign w:val="center"/>
          </w:tcPr>
          <w:p w14:paraId="2EF9C37B" w14:textId="77777777" w:rsidR="008A4F6A" w:rsidRPr="0028578A" w:rsidRDefault="008A4F6A" w:rsidP="008A4F6A">
            <w:pPr>
              <w:spacing w:before="60" w:after="60"/>
              <w:rPr>
                <w:b w:val="0"/>
                <w:szCs w:val="18"/>
              </w:rPr>
            </w:pPr>
            <w:r w:rsidRPr="0028578A">
              <w:rPr>
                <w:b w:val="0"/>
                <w:szCs w:val="18"/>
              </w:rPr>
              <w:t>Velikost reprezentativního vzorku</w:t>
            </w:r>
          </w:p>
        </w:tc>
        <w:tc>
          <w:tcPr>
            <w:tcW w:w="1350" w:type="pct"/>
            <w:tcBorders>
              <w:top w:val="none" w:sz="0" w:space="0" w:color="auto"/>
              <w:bottom w:val="none" w:sz="0" w:space="0" w:color="auto"/>
            </w:tcBorders>
            <w:vAlign w:val="center"/>
          </w:tcPr>
          <w:p w14:paraId="3ECD18EE" w14:textId="77777777" w:rsidR="008A4F6A" w:rsidRPr="0028578A" w:rsidRDefault="008A4F6A" w:rsidP="00C53E68">
            <w:pPr>
              <w:spacing w:before="60" w:after="60"/>
              <w:jc w:val="center"/>
              <w:cnfStyle w:val="000000100000" w:firstRow="0" w:lastRow="0" w:firstColumn="0" w:lastColumn="0" w:oddVBand="0" w:evenVBand="0" w:oddHBand="1" w:evenHBand="0" w:firstRowFirstColumn="0" w:firstRowLastColumn="0" w:lastRowFirstColumn="0" w:lastRowLastColumn="0"/>
              <w:rPr>
                <w:szCs w:val="18"/>
              </w:rPr>
            </w:pPr>
            <w:r w:rsidRPr="0028578A">
              <w:rPr>
                <w:szCs w:val="18"/>
              </w:rPr>
              <w:t>183</w:t>
            </w:r>
          </w:p>
        </w:tc>
        <w:tc>
          <w:tcPr>
            <w:tcW w:w="1377" w:type="pct"/>
            <w:tcBorders>
              <w:top w:val="none" w:sz="0" w:space="0" w:color="auto"/>
              <w:bottom w:val="none" w:sz="0" w:space="0" w:color="auto"/>
              <w:right w:val="none" w:sz="0" w:space="0" w:color="auto"/>
            </w:tcBorders>
            <w:vAlign w:val="center"/>
          </w:tcPr>
          <w:p w14:paraId="5D4234BB" w14:textId="77777777" w:rsidR="008A4F6A" w:rsidRPr="0028578A" w:rsidRDefault="00C53E68" w:rsidP="00C53E68">
            <w:pPr>
              <w:spacing w:before="60" w:after="60"/>
              <w:jc w:val="center"/>
              <w:cnfStyle w:val="000000100000" w:firstRow="0" w:lastRow="0" w:firstColumn="0" w:lastColumn="0" w:oddVBand="0" w:evenVBand="0" w:oddHBand="1" w:evenHBand="0" w:firstRowFirstColumn="0" w:firstRowLastColumn="0" w:lastRowFirstColumn="0" w:lastRowLastColumn="0"/>
              <w:rPr>
                <w:szCs w:val="18"/>
              </w:rPr>
            </w:pPr>
            <w:r w:rsidRPr="0028578A">
              <w:rPr>
                <w:szCs w:val="18"/>
              </w:rPr>
              <w:t>230</w:t>
            </w:r>
          </w:p>
        </w:tc>
      </w:tr>
      <w:tr w:rsidR="0028578A" w:rsidRPr="0028578A" w14:paraId="50F6CE9C" w14:textId="77777777" w:rsidTr="0028578A">
        <w:trPr>
          <w:trHeight w:val="403"/>
        </w:trPr>
        <w:tc>
          <w:tcPr>
            <w:cnfStyle w:val="001000000000" w:firstRow="0" w:lastRow="0" w:firstColumn="1" w:lastColumn="0" w:oddVBand="0" w:evenVBand="0" w:oddHBand="0" w:evenHBand="0" w:firstRowFirstColumn="0" w:firstRowLastColumn="0" w:lastRowFirstColumn="0" w:lastRowLastColumn="0"/>
            <w:tcW w:w="2273" w:type="pct"/>
            <w:vAlign w:val="center"/>
          </w:tcPr>
          <w:p w14:paraId="7205F75F" w14:textId="77777777" w:rsidR="008A4F6A" w:rsidRPr="00AC4A07" w:rsidRDefault="008A4F6A" w:rsidP="008A4F6A">
            <w:pPr>
              <w:spacing w:before="60" w:after="60"/>
              <w:rPr>
                <w:b w:val="0"/>
                <w:szCs w:val="18"/>
              </w:rPr>
            </w:pPr>
            <w:r w:rsidRPr="0028578A">
              <w:rPr>
                <w:b w:val="0"/>
                <w:szCs w:val="18"/>
              </w:rPr>
              <w:t>Ideální návratnost dotazníku při oslovení reprezentativního vzorku</w:t>
            </w:r>
            <w:r w:rsidR="0028578A" w:rsidRPr="0028578A">
              <w:rPr>
                <w:b w:val="0"/>
                <w:szCs w:val="18"/>
              </w:rPr>
              <w:t xml:space="preserve"> – 50</w:t>
            </w:r>
            <w:r w:rsidR="0028578A" w:rsidRPr="00AC4A07">
              <w:rPr>
                <w:szCs w:val="18"/>
              </w:rPr>
              <w:t>%</w:t>
            </w:r>
          </w:p>
        </w:tc>
        <w:tc>
          <w:tcPr>
            <w:tcW w:w="1350" w:type="pct"/>
            <w:vAlign w:val="center"/>
          </w:tcPr>
          <w:p w14:paraId="69EFEC9F" w14:textId="77777777" w:rsidR="008A4F6A" w:rsidRPr="0028578A" w:rsidRDefault="00C53E68" w:rsidP="00C53E68">
            <w:pPr>
              <w:spacing w:before="60" w:after="60"/>
              <w:jc w:val="center"/>
              <w:cnfStyle w:val="000000000000" w:firstRow="0" w:lastRow="0" w:firstColumn="0" w:lastColumn="0" w:oddVBand="0" w:evenVBand="0" w:oddHBand="0" w:evenHBand="0" w:firstRowFirstColumn="0" w:firstRowLastColumn="0" w:lastRowFirstColumn="0" w:lastRowLastColumn="0"/>
              <w:rPr>
                <w:szCs w:val="18"/>
              </w:rPr>
            </w:pPr>
            <w:r w:rsidRPr="0028578A">
              <w:rPr>
                <w:szCs w:val="18"/>
              </w:rPr>
              <w:t>91</w:t>
            </w:r>
          </w:p>
        </w:tc>
        <w:tc>
          <w:tcPr>
            <w:tcW w:w="1377" w:type="pct"/>
            <w:vAlign w:val="center"/>
          </w:tcPr>
          <w:p w14:paraId="34558C5E" w14:textId="77777777" w:rsidR="008A4F6A" w:rsidRPr="0028578A" w:rsidRDefault="00C53E68" w:rsidP="00C53E68">
            <w:pPr>
              <w:spacing w:before="60" w:after="60"/>
              <w:jc w:val="center"/>
              <w:cnfStyle w:val="000000000000" w:firstRow="0" w:lastRow="0" w:firstColumn="0" w:lastColumn="0" w:oddVBand="0" w:evenVBand="0" w:oddHBand="0" w:evenHBand="0" w:firstRowFirstColumn="0" w:firstRowLastColumn="0" w:lastRowFirstColumn="0" w:lastRowLastColumn="0"/>
              <w:rPr>
                <w:szCs w:val="18"/>
              </w:rPr>
            </w:pPr>
            <w:r w:rsidRPr="0028578A">
              <w:rPr>
                <w:szCs w:val="18"/>
              </w:rPr>
              <w:t>115</w:t>
            </w:r>
          </w:p>
        </w:tc>
      </w:tr>
      <w:tr w:rsidR="0028578A" w:rsidRPr="00793EC0" w14:paraId="2401152A" w14:textId="77777777" w:rsidTr="0028578A">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273" w:type="pct"/>
            <w:tcBorders>
              <w:top w:val="none" w:sz="0" w:space="0" w:color="auto"/>
              <w:left w:val="none" w:sz="0" w:space="0" w:color="auto"/>
              <w:bottom w:val="none" w:sz="0" w:space="0" w:color="auto"/>
            </w:tcBorders>
            <w:vAlign w:val="center"/>
          </w:tcPr>
          <w:p w14:paraId="2761160F" w14:textId="77777777" w:rsidR="008A4F6A" w:rsidRPr="0028578A" w:rsidRDefault="0028578A" w:rsidP="0028578A">
            <w:pPr>
              <w:spacing w:before="60" w:after="60"/>
              <w:rPr>
                <w:b w:val="0"/>
                <w:szCs w:val="18"/>
              </w:rPr>
            </w:pPr>
            <w:r w:rsidRPr="0028578A">
              <w:rPr>
                <w:b w:val="0"/>
                <w:szCs w:val="18"/>
              </w:rPr>
              <w:t xml:space="preserve">Předpokládaná návratnost – </w:t>
            </w:r>
            <w:r w:rsidR="008A4F6A" w:rsidRPr="0028578A">
              <w:rPr>
                <w:b w:val="0"/>
                <w:szCs w:val="18"/>
              </w:rPr>
              <w:t xml:space="preserve">30 </w:t>
            </w:r>
            <w:r w:rsidRPr="0028578A">
              <w:rPr>
                <w:b w:val="0"/>
                <w:szCs w:val="18"/>
              </w:rPr>
              <w:t>% - při</w:t>
            </w:r>
            <w:r w:rsidR="008A4F6A" w:rsidRPr="0028578A">
              <w:rPr>
                <w:b w:val="0"/>
                <w:szCs w:val="18"/>
              </w:rPr>
              <w:t xml:space="preserve"> oslovení všech pracovníků implementační struktury OP PIK</w:t>
            </w:r>
          </w:p>
        </w:tc>
        <w:tc>
          <w:tcPr>
            <w:tcW w:w="1350" w:type="pct"/>
            <w:tcBorders>
              <w:top w:val="none" w:sz="0" w:space="0" w:color="auto"/>
              <w:bottom w:val="none" w:sz="0" w:space="0" w:color="auto"/>
            </w:tcBorders>
            <w:vAlign w:val="center"/>
          </w:tcPr>
          <w:p w14:paraId="5297F9B1" w14:textId="77777777" w:rsidR="008A4F6A" w:rsidRPr="0028578A" w:rsidRDefault="008A4F6A" w:rsidP="00C53E68">
            <w:pPr>
              <w:spacing w:before="60" w:after="60"/>
              <w:jc w:val="center"/>
              <w:cnfStyle w:val="000000100000" w:firstRow="0" w:lastRow="0" w:firstColumn="0" w:lastColumn="0" w:oddVBand="0" w:evenVBand="0" w:oddHBand="1" w:evenHBand="0" w:firstRowFirstColumn="0" w:firstRowLastColumn="0" w:lastRowFirstColumn="0" w:lastRowLastColumn="0"/>
              <w:rPr>
                <w:szCs w:val="18"/>
              </w:rPr>
            </w:pPr>
            <w:r w:rsidRPr="0028578A">
              <w:rPr>
                <w:szCs w:val="18"/>
              </w:rPr>
              <w:t>105</w:t>
            </w:r>
          </w:p>
        </w:tc>
        <w:tc>
          <w:tcPr>
            <w:tcW w:w="1377" w:type="pct"/>
            <w:tcBorders>
              <w:top w:val="none" w:sz="0" w:space="0" w:color="auto"/>
              <w:bottom w:val="none" w:sz="0" w:space="0" w:color="auto"/>
              <w:right w:val="none" w:sz="0" w:space="0" w:color="auto"/>
            </w:tcBorders>
            <w:vAlign w:val="center"/>
          </w:tcPr>
          <w:p w14:paraId="2B52D6A4" w14:textId="77777777" w:rsidR="008A4F6A" w:rsidRPr="0028578A" w:rsidRDefault="00C53E68" w:rsidP="00C53E68">
            <w:pPr>
              <w:spacing w:before="60" w:after="60"/>
              <w:jc w:val="center"/>
              <w:cnfStyle w:val="000000100000" w:firstRow="0" w:lastRow="0" w:firstColumn="0" w:lastColumn="0" w:oddVBand="0" w:evenVBand="0" w:oddHBand="1" w:evenHBand="0" w:firstRowFirstColumn="0" w:firstRowLastColumn="0" w:lastRowFirstColumn="0" w:lastRowLastColumn="0"/>
              <w:rPr>
                <w:szCs w:val="18"/>
              </w:rPr>
            </w:pPr>
            <w:r w:rsidRPr="0028578A">
              <w:rPr>
                <w:szCs w:val="18"/>
              </w:rPr>
              <w:t>1</w:t>
            </w:r>
            <w:r w:rsidR="0028578A" w:rsidRPr="0028578A">
              <w:rPr>
                <w:szCs w:val="18"/>
              </w:rPr>
              <w:t>17</w:t>
            </w:r>
          </w:p>
        </w:tc>
      </w:tr>
    </w:tbl>
    <w:p w14:paraId="5895BFF4" w14:textId="77777777" w:rsidR="00860359" w:rsidRPr="00CE7B5B" w:rsidRDefault="00860359" w:rsidP="00860359">
      <w:pPr>
        <w:spacing w:before="240" w:after="120" w:line="240" w:lineRule="auto"/>
        <w:rPr>
          <w:b/>
          <w:color w:val="012169" w:themeColor="accent4"/>
        </w:rPr>
      </w:pPr>
      <w:r w:rsidRPr="00CE7B5B">
        <w:rPr>
          <w:b/>
          <w:color w:val="012169" w:themeColor="accent4"/>
        </w:rPr>
        <w:t>Dílčí harmonogram</w:t>
      </w:r>
    </w:p>
    <w:p w14:paraId="03F1C95D" w14:textId="77777777" w:rsidR="00860359" w:rsidRDefault="00860359" w:rsidP="00860359">
      <w:pPr>
        <w:spacing w:before="113" w:after="240" w:line="240" w:lineRule="auto"/>
        <w:jc w:val="both"/>
        <w:rPr>
          <w:szCs w:val="18"/>
        </w:rPr>
      </w:pPr>
      <w:r>
        <w:rPr>
          <w:szCs w:val="18"/>
        </w:rPr>
        <w:t xml:space="preserve">Harmonogram níže zobrazuje přehled kroků, které bude Dodavatel v rámci analýzy sekundárních zdrojů a dat realizovat, včetně požadované součinnosti ze strany Zadavatele a její odhadované náročnosti. </w:t>
      </w:r>
    </w:p>
    <w:p w14:paraId="6DC6A077" w14:textId="77777777" w:rsidR="00953575" w:rsidRDefault="00953575" w:rsidP="0028578A">
      <w:pPr>
        <w:pStyle w:val="Titulek"/>
        <w:jc w:val="center"/>
      </w:pPr>
      <w:bookmarkStart w:id="25" w:name="_Toc24384735"/>
      <w:r>
        <w:t xml:space="preserve">Tabulka </w:t>
      </w:r>
      <w:r>
        <w:fldChar w:fldCharType="begin"/>
      </w:r>
      <w:r>
        <w:instrText xml:space="preserve"> SEQ Tabulka \* ARABIC </w:instrText>
      </w:r>
      <w:r>
        <w:fldChar w:fldCharType="separate"/>
      </w:r>
      <w:r w:rsidR="00E93151">
        <w:rPr>
          <w:noProof/>
        </w:rPr>
        <w:t>9</w:t>
      </w:r>
      <w:r>
        <w:fldChar w:fldCharType="end"/>
      </w:r>
      <w:r w:rsidR="0028578A">
        <w:t>:</w:t>
      </w:r>
      <w:r>
        <w:t xml:space="preserve"> Harmonogram dotazníkového šetření</w:t>
      </w:r>
      <w:bookmarkEnd w:id="25"/>
    </w:p>
    <w:tbl>
      <w:tblPr>
        <w:tblStyle w:val="Deloittetable11"/>
        <w:tblW w:w="5000" w:type="pct"/>
        <w:tblCellMar>
          <w:top w:w="0" w:type="dxa"/>
          <w:left w:w="108" w:type="dxa"/>
          <w:bottom w:w="0" w:type="dxa"/>
          <w:right w:w="108" w:type="dxa"/>
        </w:tblCellMar>
        <w:tblLook w:val="04A0" w:firstRow="1" w:lastRow="0" w:firstColumn="1" w:lastColumn="0" w:noHBand="0" w:noVBand="1"/>
      </w:tblPr>
      <w:tblGrid>
        <w:gridCol w:w="387"/>
        <w:gridCol w:w="4842"/>
        <w:gridCol w:w="1704"/>
        <w:gridCol w:w="1611"/>
        <w:gridCol w:w="1548"/>
      </w:tblGrid>
      <w:tr w:rsidR="00860359" w:rsidRPr="00793EC0" w14:paraId="2BDED5AB" w14:textId="77777777" w:rsidTr="008A4F6A">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92" w:type="pct"/>
            <w:vAlign w:val="center"/>
          </w:tcPr>
          <w:p w14:paraId="7806F175" w14:textId="77777777" w:rsidR="00860359" w:rsidRPr="00CE0A96" w:rsidRDefault="00860359" w:rsidP="008A4F6A">
            <w:pPr>
              <w:keepNext/>
              <w:rPr>
                <w:rFonts w:asciiTheme="majorHAnsi" w:hAnsiTheme="majorHAnsi" w:cs="Arial"/>
                <w:bCs/>
                <w:color w:val="FFFFFF" w:themeColor="background1"/>
                <w:szCs w:val="18"/>
                <w:lang w:eastAsia="cs-CZ"/>
              </w:rPr>
            </w:pPr>
            <w:r w:rsidRPr="00CE0A96">
              <w:rPr>
                <w:rFonts w:eastAsia="Times New Roman" w:cs="Arial"/>
                <w:bCs/>
                <w:color w:val="FFFFFF" w:themeColor="background1"/>
                <w:szCs w:val="18"/>
                <w:lang w:eastAsia="cs-CZ"/>
              </w:rPr>
              <w:t>Č</w:t>
            </w:r>
          </w:p>
        </w:tc>
        <w:tc>
          <w:tcPr>
            <w:tcW w:w="2399" w:type="pct"/>
            <w:vAlign w:val="center"/>
          </w:tcPr>
          <w:p w14:paraId="3D6A1C00" w14:textId="77777777" w:rsidR="00860359" w:rsidRPr="00CE0A96" w:rsidRDefault="00860359" w:rsidP="008A4F6A">
            <w:pPr>
              <w:keepNext/>
              <w:cnfStyle w:val="100000000000" w:firstRow="1" w:lastRow="0" w:firstColumn="0" w:lastColumn="0" w:oddVBand="0" w:evenVBand="0" w:oddHBand="0" w:evenHBand="0" w:firstRowFirstColumn="0" w:firstRowLastColumn="0" w:lastRowFirstColumn="0" w:lastRowLastColumn="0"/>
              <w:rPr>
                <w:rFonts w:asciiTheme="majorHAnsi" w:hAnsiTheme="majorHAnsi" w:cs="Arial"/>
                <w:bCs/>
                <w:color w:val="FFFFFF" w:themeColor="background1"/>
                <w:szCs w:val="18"/>
                <w:lang w:eastAsia="cs-CZ"/>
              </w:rPr>
            </w:pPr>
            <w:r w:rsidRPr="00CE0A96">
              <w:rPr>
                <w:rFonts w:eastAsia="Times New Roman" w:cs="Arial"/>
                <w:bCs/>
                <w:color w:val="FFFFFF" w:themeColor="background1"/>
                <w:szCs w:val="18"/>
                <w:lang w:eastAsia="cs-CZ"/>
              </w:rPr>
              <w:t>Aktivita</w:t>
            </w:r>
          </w:p>
        </w:tc>
        <w:tc>
          <w:tcPr>
            <w:tcW w:w="844" w:type="pct"/>
            <w:vAlign w:val="center"/>
          </w:tcPr>
          <w:p w14:paraId="2AC107A4" w14:textId="77777777" w:rsidR="00860359" w:rsidRPr="00CE0A96" w:rsidRDefault="00860359" w:rsidP="008A4F6A">
            <w:pPr>
              <w:keepNext/>
              <w:cnfStyle w:val="100000000000" w:firstRow="1" w:lastRow="0" w:firstColumn="0" w:lastColumn="0" w:oddVBand="0" w:evenVBand="0" w:oddHBand="0" w:evenHBand="0" w:firstRowFirstColumn="0" w:firstRowLastColumn="0" w:lastRowFirstColumn="0" w:lastRowLastColumn="0"/>
              <w:rPr>
                <w:rFonts w:asciiTheme="majorHAnsi" w:hAnsiTheme="majorHAnsi" w:cs="Arial"/>
                <w:bCs/>
                <w:color w:val="FFFFFF" w:themeColor="background1"/>
                <w:szCs w:val="18"/>
                <w:lang w:eastAsia="cs-CZ"/>
              </w:rPr>
            </w:pPr>
            <w:r w:rsidRPr="00CE0A96">
              <w:rPr>
                <w:rFonts w:eastAsia="Times New Roman" w:cs="Arial"/>
                <w:bCs/>
                <w:color w:val="FFFFFF" w:themeColor="background1"/>
                <w:szCs w:val="18"/>
                <w:lang w:eastAsia="cs-CZ"/>
              </w:rPr>
              <w:t>Odpovědnost</w:t>
            </w:r>
          </w:p>
        </w:tc>
        <w:tc>
          <w:tcPr>
            <w:tcW w:w="798" w:type="pct"/>
            <w:vAlign w:val="center"/>
          </w:tcPr>
          <w:p w14:paraId="4A4ED7AC" w14:textId="77777777" w:rsidR="00860359" w:rsidRPr="00CE0A96" w:rsidRDefault="00860359" w:rsidP="008A4F6A">
            <w:pPr>
              <w:keepNex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color w:val="FFFFFF" w:themeColor="background1"/>
                <w:szCs w:val="18"/>
                <w:lang w:eastAsia="cs-CZ"/>
              </w:rPr>
            </w:pPr>
            <w:r w:rsidRPr="00CE0A96">
              <w:rPr>
                <w:rFonts w:eastAsia="Times New Roman" w:cs="Arial"/>
                <w:bCs/>
                <w:color w:val="FFFFFF" w:themeColor="background1"/>
                <w:szCs w:val="18"/>
                <w:lang w:eastAsia="cs-CZ"/>
              </w:rPr>
              <w:t>Termín (do)</w:t>
            </w:r>
          </w:p>
        </w:tc>
        <w:tc>
          <w:tcPr>
            <w:tcW w:w="767" w:type="pct"/>
            <w:tcBorders>
              <w:bottom w:val="single" w:sz="4" w:space="0" w:color="92D400"/>
            </w:tcBorders>
            <w:vAlign w:val="center"/>
          </w:tcPr>
          <w:p w14:paraId="4DB4CB0F" w14:textId="77777777" w:rsidR="00860359" w:rsidRPr="00CE0A96" w:rsidRDefault="00860359" w:rsidP="008A4F6A">
            <w:pPr>
              <w:keepNext/>
              <w:cnfStyle w:val="100000000000" w:firstRow="1" w:lastRow="0" w:firstColumn="0" w:lastColumn="0" w:oddVBand="0" w:evenVBand="0" w:oddHBand="0" w:evenHBand="0" w:firstRowFirstColumn="0" w:firstRowLastColumn="0" w:lastRowFirstColumn="0" w:lastRowLastColumn="0"/>
              <w:rPr>
                <w:rFonts w:asciiTheme="majorHAnsi" w:hAnsiTheme="majorHAnsi" w:cs="Arial"/>
                <w:bCs/>
                <w:color w:val="FFFFFF" w:themeColor="background1"/>
                <w:szCs w:val="18"/>
                <w:lang w:eastAsia="cs-CZ"/>
              </w:rPr>
            </w:pPr>
            <w:r w:rsidRPr="00CE0A96">
              <w:rPr>
                <w:rFonts w:eastAsia="Times New Roman" w:cs="Arial"/>
                <w:bCs/>
                <w:color w:val="FFFFFF" w:themeColor="background1"/>
                <w:szCs w:val="18"/>
                <w:lang w:eastAsia="cs-CZ"/>
              </w:rPr>
              <w:t>Náročnost</w:t>
            </w:r>
          </w:p>
        </w:tc>
      </w:tr>
      <w:tr w:rsidR="00860359" w:rsidRPr="00793EC0" w14:paraId="06EE0212" w14:textId="77777777" w:rsidTr="008A4F6A">
        <w:trPr>
          <w:trHeight w:val="340"/>
        </w:trPr>
        <w:tc>
          <w:tcPr>
            <w:cnfStyle w:val="001000000000" w:firstRow="0" w:lastRow="0" w:firstColumn="1" w:lastColumn="0" w:oddVBand="0" w:evenVBand="0" w:oddHBand="0" w:evenHBand="0" w:firstRowFirstColumn="0" w:firstRowLastColumn="0" w:lastRowFirstColumn="0" w:lastRowLastColumn="0"/>
            <w:tcW w:w="192" w:type="pct"/>
            <w:tcBorders>
              <w:top w:val="single" w:sz="4" w:space="0" w:color="92D400"/>
            </w:tcBorders>
            <w:vAlign w:val="center"/>
          </w:tcPr>
          <w:p w14:paraId="1EB7C515" w14:textId="77777777" w:rsidR="00860359" w:rsidRPr="00CE0A96" w:rsidRDefault="00860359" w:rsidP="008A4F6A">
            <w:pPr>
              <w:rPr>
                <w:rFonts w:asciiTheme="majorHAnsi" w:hAnsiTheme="majorHAnsi" w:cs="Calibri"/>
                <w:color w:val="000000"/>
                <w:szCs w:val="18"/>
                <w:lang w:eastAsia="cs-CZ"/>
              </w:rPr>
            </w:pPr>
            <w:r w:rsidRPr="00CE0A96">
              <w:rPr>
                <w:rFonts w:eastAsia="Times New Roman" w:cs="Calibri"/>
                <w:color w:val="000000"/>
                <w:szCs w:val="18"/>
                <w:lang w:eastAsia="cs-CZ"/>
              </w:rPr>
              <w:t>1</w:t>
            </w:r>
          </w:p>
        </w:tc>
        <w:tc>
          <w:tcPr>
            <w:tcW w:w="2399" w:type="pct"/>
            <w:tcBorders>
              <w:top w:val="single" w:sz="4" w:space="0" w:color="92D400"/>
            </w:tcBorders>
            <w:vAlign w:val="center"/>
          </w:tcPr>
          <w:p w14:paraId="0B1086CE" w14:textId="77777777" w:rsidR="00860359" w:rsidRPr="00CE0A96" w:rsidRDefault="00860359" w:rsidP="008A4F6A">
            <w:pPr>
              <w:cnfStyle w:val="000000000000" w:firstRow="0" w:lastRow="0" w:firstColumn="0" w:lastColumn="0" w:oddVBand="0" w:evenVBand="0" w:oddHBand="0" w:evenHBand="0" w:firstRowFirstColumn="0" w:firstRowLastColumn="0" w:lastRowFirstColumn="0" w:lastRowLastColumn="0"/>
              <w:rPr>
                <w:color w:val="000000"/>
                <w:szCs w:val="18"/>
              </w:rPr>
            </w:pPr>
            <w:r w:rsidRPr="00CE0A96">
              <w:rPr>
                <w:color w:val="000000"/>
                <w:szCs w:val="18"/>
              </w:rPr>
              <w:t>Návrh znění dotazníku</w:t>
            </w:r>
          </w:p>
        </w:tc>
        <w:tc>
          <w:tcPr>
            <w:tcW w:w="844" w:type="pct"/>
            <w:tcBorders>
              <w:top w:val="single" w:sz="4" w:space="0" w:color="92D400"/>
            </w:tcBorders>
            <w:vAlign w:val="center"/>
          </w:tcPr>
          <w:p w14:paraId="14104DF4" w14:textId="77777777" w:rsidR="00860359" w:rsidRPr="00CE0A96" w:rsidRDefault="00860359" w:rsidP="008A4F6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sidRPr="00CE0A96">
              <w:rPr>
                <w:rFonts w:eastAsia="Times New Roman" w:cs="Calibri"/>
                <w:color w:val="000000"/>
                <w:szCs w:val="18"/>
                <w:lang w:eastAsia="cs-CZ"/>
              </w:rPr>
              <w:t>Deloitte</w:t>
            </w:r>
          </w:p>
        </w:tc>
        <w:tc>
          <w:tcPr>
            <w:tcW w:w="798" w:type="pct"/>
            <w:tcBorders>
              <w:top w:val="single" w:sz="4" w:space="0" w:color="92D400"/>
            </w:tcBorders>
            <w:vAlign w:val="center"/>
          </w:tcPr>
          <w:p w14:paraId="508B3732" w14:textId="77777777" w:rsidR="00860359" w:rsidRPr="00CE0A96" w:rsidRDefault="00860359" w:rsidP="008A4F6A">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 xml:space="preserve"> 2</w:t>
            </w:r>
            <w:r w:rsidR="00953575">
              <w:rPr>
                <w:rFonts w:asciiTheme="majorHAnsi" w:hAnsiTheme="majorHAnsi" w:cs="Calibri"/>
                <w:color w:val="000000"/>
                <w:szCs w:val="18"/>
                <w:lang w:eastAsia="cs-CZ"/>
              </w:rPr>
              <w:t>7</w:t>
            </w:r>
            <w:r>
              <w:rPr>
                <w:rFonts w:asciiTheme="majorHAnsi" w:hAnsiTheme="majorHAnsi" w:cs="Calibri"/>
                <w:color w:val="000000"/>
                <w:szCs w:val="18"/>
                <w:lang w:eastAsia="cs-CZ"/>
              </w:rPr>
              <w:t>. 11. 20190</w:t>
            </w:r>
          </w:p>
        </w:tc>
        <w:tc>
          <w:tcPr>
            <w:tcW w:w="767" w:type="pct"/>
            <w:tcBorders>
              <w:top w:val="single" w:sz="4" w:space="0" w:color="92D400"/>
            </w:tcBorders>
            <w:shd w:val="clear" w:color="auto" w:fill="auto"/>
            <w:vAlign w:val="center"/>
          </w:tcPr>
          <w:p w14:paraId="07D163CA" w14:textId="77777777" w:rsidR="00860359" w:rsidRPr="00CE0A96" w:rsidRDefault="00860359" w:rsidP="008A4F6A">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p>
        </w:tc>
      </w:tr>
      <w:tr w:rsidR="00860359" w:rsidRPr="00793EC0" w14:paraId="6DF65A00" w14:textId="77777777" w:rsidTr="0028578A">
        <w:trPr>
          <w:trHeight w:val="340"/>
        </w:trPr>
        <w:tc>
          <w:tcPr>
            <w:cnfStyle w:val="001000000000" w:firstRow="0" w:lastRow="0" w:firstColumn="1" w:lastColumn="0" w:oddVBand="0" w:evenVBand="0" w:oddHBand="0" w:evenHBand="0" w:firstRowFirstColumn="0" w:firstRowLastColumn="0" w:lastRowFirstColumn="0" w:lastRowLastColumn="0"/>
            <w:tcW w:w="192" w:type="pct"/>
            <w:tcBorders>
              <w:top w:val="single" w:sz="4" w:space="0" w:color="92D400"/>
              <w:bottom w:val="single" w:sz="4" w:space="0" w:color="92D400"/>
            </w:tcBorders>
            <w:vAlign w:val="center"/>
          </w:tcPr>
          <w:p w14:paraId="73D21D2A" w14:textId="77777777" w:rsidR="00860359" w:rsidRPr="00CE0A96" w:rsidRDefault="00860359" w:rsidP="008A4F6A">
            <w:pPr>
              <w:rPr>
                <w:rFonts w:asciiTheme="majorHAnsi" w:hAnsiTheme="majorHAnsi" w:cs="Calibri"/>
                <w:color w:val="000000"/>
                <w:szCs w:val="18"/>
                <w:lang w:eastAsia="cs-CZ"/>
              </w:rPr>
            </w:pPr>
            <w:r w:rsidRPr="00CE0A96">
              <w:rPr>
                <w:rFonts w:eastAsia="Times New Roman" w:cs="Calibri"/>
                <w:color w:val="000000"/>
                <w:szCs w:val="18"/>
                <w:lang w:eastAsia="cs-CZ"/>
              </w:rPr>
              <w:t>2</w:t>
            </w:r>
          </w:p>
        </w:tc>
        <w:tc>
          <w:tcPr>
            <w:tcW w:w="2399" w:type="pct"/>
            <w:tcBorders>
              <w:top w:val="single" w:sz="4" w:space="0" w:color="92D400"/>
              <w:bottom w:val="single" w:sz="4" w:space="0" w:color="92D400"/>
            </w:tcBorders>
            <w:vAlign w:val="center"/>
          </w:tcPr>
          <w:p w14:paraId="5EB5D00A" w14:textId="77777777" w:rsidR="00860359" w:rsidRPr="00CE0A96" w:rsidRDefault="00860359" w:rsidP="008A4F6A">
            <w:pPr>
              <w:cnfStyle w:val="000000000000" w:firstRow="0" w:lastRow="0" w:firstColumn="0" w:lastColumn="0" w:oddVBand="0" w:evenVBand="0" w:oddHBand="0" w:evenHBand="0" w:firstRowFirstColumn="0" w:firstRowLastColumn="0" w:lastRowFirstColumn="0" w:lastRowLastColumn="0"/>
              <w:rPr>
                <w:color w:val="000000"/>
                <w:szCs w:val="18"/>
              </w:rPr>
            </w:pPr>
            <w:r w:rsidRPr="00CE0A96">
              <w:rPr>
                <w:color w:val="000000"/>
                <w:szCs w:val="18"/>
              </w:rPr>
              <w:t>Předání kontaktů a pověřovacího dopisu MPO</w:t>
            </w:r>
          </w:p>
        </w:tc>
        <w:tc>
          <w:tcPr>
            <w:tcW w:w="844" w:type="pct"/>
            <w:tcBorders>
              <w:top w:val="single" w:sz="4" w:space="0" w:color="92D400"/>
              <w:bottom w:val="single" w:sz="4" w:space="0" w:color="92D400"/>
            </w:tcBorders>
            <w:vAlign w:val="center"/>
          </w:tcPr>
          <w:p w14:paraId="7FFAEC2A" w14:textId="77777777" w:rsidR="00860359" w:rsidRPr="00CE0A96" w:rsidRDefault="00860359" w:rsidP="008A4F6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sidRPr="00CE0A96">
              <w:rPr>
                <w:rFonts w:eastAsia="Times New Roman" w:cs="Calibri"/>
                <w:color w:val="000000"/>
                <w:szCs w:val="18"/>
                <w:lang w:eastAsia="cs-CZ"/>
              </w:rPr>
              <w:t>MPO</w:t>
            </w:r>
          </w:p>
        </w:tc>
        <w:tc>
          <w:tcPr>
            <w:tcW w:w="798" w:type="pct"/>
            <w:tcBorders>
              <w:top w:val="single" w:sz="4" w:space="0" w:color="92D400"/>
              <w:bottom w:val="single" w:sz="4" w:space="0" w:color="92D400"/>
            </w:tcBorders>
            <w:vAlign w:val="center"/>
          </w:tcPr>
          <w:p w14:paraId="584313F9" w14:textId="77777777" w:rsidR="00860359" w:rsidRPr="00CE0A96" w:rsidRDefault="00860359" w:rsidP="008A4F6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2</w:t>
            </w:r>
            <w:r w:rsidR="00953575">
              <w:rPr>
                <w:rFonts w:asciiTheme="majorHAnsi" w:hAnsiTheme="majorHAnsi" w:cs="Calibri"/>
                <w:color w:val="000000"/>
                <w:szCs w:val="18"/>
                <w:lang w:eastAsia="cs-CZ"/>
              </w:rPr>
              <w:t>7</w:t>
            </w:r>
            <w:r>
              <w:rPr>
                <w:rFonts w:asciiTheme="majorHAnsi" w:hAnsiTheme="majorHAnsi" w:cs="Calibri"/>
                <w:color w:val="000000"/>
                <w:szCs w:val="18"/>
                <w:lang w:eastAsia="cs-CZ"/>
              </w:rPr>
              <w:t>. 11. 2019</w:t>
            </w:r>
          </w:p>
        </w:tc>
        <w:tc>
          <w:tcPr>
            <w:tcW w:w="767" w:type="pct"/>
            <w:tcBorders>
              <w:top w:val="single" w:sz="4" w:space="0" w:color="92D400"/>
              <w:bottom w:val="single" w:sz="4" w:space="0" w:color="92D400"/>
            </w:tcBorders>
            <w:shd w:val="clear" w:color="auto" w:fill="FFC000"/>
            <w:vAlign w:val="center"/>
          </w:tcPr>
          <w:p w14:paraId="20621618" w14:textId="77777777" w:rsidR="00860359" w:rsidRPr="00CE0A96" w:rsidRDefault="00860359" w:rsidP="008A4F6A">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p>
        </w:tc>
      </w:tr>
      <w:tr w:rsidR="00860359" w:rsidRPr="00793EC0" w14:paraId="61DE1F3C" w14:textId="77777777" w:rsidTr="008A4F6A">
        <w:trPr>
          <w:trHeight w:val="340"/>
        </w:trPr>
        <w:tc>
          <w:tcPr>
            <w:cnfStyle w:val="001000000000" w:firstRow="0" w:lastRow="0" w:firstColumn="1" w:lastColumn="0" w:oddVBand="0" w:evenVBand="0" w:oddHBand="0" w:evenHBand="0" w:firstRowFirstColumn="0" w:firstRowLastColumn="0" w:lastRowFirstColumn="0" w:lastRowLastColumn="0"/>
            <w:tcW w:w="192" w:type="pct"/>
            <w:tcBorders>
              <w:top w:val="single" w:sz="4" w:space="0" w:color="92D400"/>
              <w:bottom w:val="single" w:sz="4" w:space="0" w:color="92D400"/>
            </w:tcBorders>
            <w:vAlign w:val="center"/>
          </w:tcPr>
          <w:p w14:paraId="1EE7B68D" w14:textId="77777777" w:rsidR="00860359" w:rsidRPr="00CE0A96" w:rsidRDefault="00860359" w:rsidP="008A4F6A">
            <w:pPr>
              <w:rPr>
                <w:rFonts w:eastAsia="Times New Roman" w:cs="Calibri"/>
                <w:color w:val="000000"/>
                <w:szCs w:val="18"/>
                <w:lang w:eastAsia="cs-CZ"/>
              </w:rPr>
            </w:pPr>
            <w:r w:rsidRPr="00CE0A96">
              <w:rPr>
                <w:rFonts w:eastAsia="Times New Roman" w:cs="Calibri"/>
                <w:color w:val="000000"/>
                <w:szCs w:val="18"/>
                <w:lang w:eastAsia="cs-CZ"/>
              </w:rPr>
              <w:t>3</w:t>
            </w:r>
          </w:p>
        </w:tc>
        <w:tc>
          <w:tcPr>
            <w:tcW w:w="2399" w:type="pct"/>
            <w:tcBorders>
              <w:top w:val="single" w:sz="4" w:space="0" w:color="92D400"/>
              <w:bottom w:val="single" w:sz="4" w:space="0" w:color="92D400"/>
            </w:tcBorders>
            <w:vAlign w:val="center"/>
          </w:tcPr>
          <w:p w14:paraId="3A52FF23" w14:textId="77777777" w:rsidR="00860359" w:rsidRPr="00CE0A96" w:rsidRDefault="00860359" w:rsidP="008A4F6A">
            <w:pPr>
              <w:cnfStyle w:val="000000000000" w:firstRow="0" w:lastRow="0" w:firstColumn="0" w:lastColumn="0" w:oddVBand="0" w:evenVBand="0" w:oddHBand="0" w:evenHBand="0" w:firstRowFirstColumn="0" w:firstRowLastColumn="0" w:lastRowFirstColumn="0" w:lastRowLastColumn="0"/>
              <w:rPr>
                <w:color w:val="000000"/>
                <w:szCs w:val="18"/>
              </w:rPr>
            </w:pPr>
            <w:r w:rsidRPr="00CE0A96">
              <w:rPr>
                <w:color w:val="000000"/>
                <w:szCs w:val="18"/>
              </w:rPr>
              <w:t>Validace otázek se Zadavatelem</w:t>
            </w:r>
          </w:p>
        </w:tc>
        <w:tc>
          <w:tcPr>
            <w:tcW w:w="844" w:type="pct"/>
            <w:tcBorders>
              <w:top w:val="single" w:sz="4" w:space="0" w:color="92D400"/>
              <w:bottom w:val="single" w:sz="4" w:space="0" w:color="92D400"/>
            </w:tcBorders>
            <w:vAlign w:val="center"/>
          </w:tcPr>
          <w:p w14:paraId="1D12B93C" w14:textId="77777777" w:rsidR="00860359" w:rsidRPr="00CE0A96" w:rsidRDefault="00860359" w:rsidP="008A4F6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sidRPr="00CE0A96">
              <w:rPr>
                <w:rFonts w:eastAsia="Times New Roman" w:cs="Calibri"/>
                <w:color w:val="000000"/>
                <w:szCs w:val="18"/>
                <w:lang w:eastAsia="cs-CZ"/>
              </w:rPr>
              <w:t>MPO</w:t>
            </w:r>
          </w:p>
        </w:tc>
        <w:tc>
          <w:tcPr>
            <w:tcW w:w="798" w:type="pct"/>
            <w:tcBorders>
              <w:top w:val="single" w:sz="4" w:space="0" w:color="92D400"/>
              <w:bottom w:val="single" w:sz="4" w:space="0" w:color="92D400"/>
            </w:tcBorders>
            <w:vAlign w:val="center"/>
          </w:tcPr>
          <w:p w14:paraId="7258EC44" w14:textId="77777777" w:rsidR="00860359" w:rsidRPr="00CE0A96" w:rsidRDefault="00953575" w:rsidP="008A4F6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highlight w:val="yellow"/>
                <w:lang w:eastAsia="cs-CZ"/>
              </w:rPr>
            </w:pPr>
            <w:r>
              <w:rPr>
                <w:rFonts w:asciiTheme="majorHAnsi" w:hAnsiTheme="majorHAnsi" w:cs="Calibri"/>
                <w:color w:val="000000"/>
                <w:szCs w:val="18"/>
                <w:lang w:eastAsia="cs-CZ"/>
              </w:rPr>
              <w:t>3</w:t>
            </w:r>
            <w:r w:rsidR="00860359" w:rsidRPr="00170D69">
              <w:rPr>
                <w:rFonts w:asciiTheme="majorHAnsi" w:hAnsiTheme="majorHAnsi" w:cs="Calibri"/>
                <w:color w:val="000000"/>
                <w:szCs w:val="18"/>
                <w:lang w:eastAsia="cs-CZ"/>
              </w:rPr>
              <w:t xml:space="preserve">. </w:t>
            </w:r>
            <w:r w:rsidR="00860359">
              <w:rPr>
                <w:rFonts w:asciiTheme="majorHAnsi" w:hAnsiTheme="majorHAnsi" w:cs="Calibri"/>
                <w:color w:val="000000"/>
                <w:szCs w:val="18"/>
                <w:lang w:eastAsia="cs-CZ"/>
              </w:rPr>
              <w:t>12</w:t>
            </w:r>
            <w:r w:rsidR="00860359" w:rsidRPr="00170D69">
              <w:rPr>
                <w:rFonts w:asciiTheme="majorHAnsi" w:hAnsiTheme="majorHAnsi" w:cs="Calibri"/>
                <w:color w:val="000000"/>
                <w:szCs w:val="18"/>
                <w:lang w:eastAsia="cs-CZ"/>
              </w:rPr>
              <w:t>. 20</w:t>
            </w:r>
            <w:r w:rsidR="00860359">
              <w:rPr>
                <w:rFonts w:asciiTheme="majorHAnsi" w:hAnsiTheme="majorHAnsi" w:cs="Calibri"/>
                <w:color w:val="000000"/>
                <w:szCs w:val="18"/>
                <w:lang w:eastAsia="cs-CZ"/>
              </w:rPr>
              <w:t>19</w:t>
            </w:r>
          </w:p>
        </w:tc>
        <w:tc>
          <w:tcPr>
            <w:tcW w:w="767" w:type="pct"/>
            <w:tcBorders>
              <w:top w:val="single" w:sz="4" w:space="0" w:color="92D400"/>
              <w:bottom w:val="single" w:sz="4" w:space="0" w:color="92D400"/>
            </w:tcBorders>
            <w:shd w:val="clear" w:color="auto" w:fill="FFC000"/>
            <w:vAlign w:val="center"/>
          </w:tcPr>
          <w:p w14:paraId="586CD2C1" w14:textId="77777777" w:rsidR="00860359" w:rsidRPr="00CE0A96" w:rsidRDefault="00860359" w:rsidP="008A4F6A">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p>
        </w:tc>
      </w:tr>
      <w:tr w:rsidR="00860359" w:rsidRPr="00793EC0" w14:paraId="75C8D687" w14:textId="77777777" w:rsidTr="008A4F6A">
        <w:trPr>
          <w:trHeight w:val="340"/>
        </w:trPr>
        <w:tc>
          <w:tcPr>
            <w:cnfStyle w:val="001000000000" w:firstRow="0" w:lastRow="0" w:firstColumn="1" w:lastColumn="0" w:oddVBand="0" w:evenVBand="0" w:oddHBand="0" w:evenHBand="0" w:firstRowFirstColumn="0" w:firstRowLastColumn="0" w:lastRowFirstColumn="0" w:lastRowLastColumn="0"/>
            <w:tcW w:w="192" w:type="pct"/>
            <w:tcBorders>
              <w:top w:val="single" w:sz="4" w:space="0" w:color="92D400"/>
              <w:bottom w:val="single" w:sz="4" w:space="0" w:color="92D400"/>
            </w:tcBorders>
            <w:vAlign w:val="center"/>
          </w:tcPr>
          <w:p w14:paraId="21613AEF" w14:textId="77777777" w:rsidR="00860359" w:rsidRPr="00CE0A96" w:rsidRDefault="00860359" w:rsidP="008A4F6A">
            <w:pPr>
              <w:rPr>
                <w:rFonts w:eastAsia="Times New Roman" w:cs="Calibri"/>
                <w:color w:val="000000"/>
                <w:szCs w:val="18"/>
                <w:lang w:eastAsia="cs-CZ"/>
              </w:rPr>
            </w:pPr>
            <w:r w:rsidRPr="00CE0A96">
              <w:rPr>
                <w:rFonts w:eastAsia="Times New Roman" w:cs="Calibri"/>
                <w:color w:val="000000"/>
                <w:szCs w:val="18"/>
                <w:lang w:eastAsia="cs-CZ"/>
              </w:rPr>
              <w:t>4</w:t>
            </w:r>
          </w:p>
        </w:tc>
        <w:tc>
          <w:tcPr>
            <w:tcW w:w="2399" w:type="pct"/>
            <w:tcBorders>
              <w:top w:val="single" w:sz="4" w:space="0" w:color="92D400"/>
              <w:bottom w:val="single" w:sz="4" w:space="0" w:color="92D400"/>
            </w:tcBorders>
            <w:vAlign w:val="center"/>
          </w:tcPr>
          <w:p w14:paraId="2A1E9926" w14:textId="77777777" w:rsidR="00860359" w:rsidRPr="00CE0A96" w:rsidRDefault="00860359" w:rsidP="008A4F6A">
            <w:pPr>
              <w:cnfStyle w:val="000000000000" w:firstRow="0" w:lastRow="0" w:firstColumn="0" w:lastColumn="0" w:oddVBand="0" w:evenVBand="0" w:oddHBand="0" w:evenHBand="0" w:firstRowFirstColumn="0" w:firstRowLastColumn="0" w:lastRowFirstColumn="0" w:lastRowLastColumn="0"/>
              <w:rPr>
                <w:color w:val="000000"/>
                <w:szCs w:val="18"/>
              </w:rPr>
            </w:pPr>
            <w:r w:rsidRPr="00CE0A96">
              <w:rPr>
                <w:color w:val="000000"/>
                <w:szCs w:val="18"/>
              </w:rPr>
              <w:t>Finalizace dotazníku v online nástroji</w:t>
            </w:r>
            <w:r w:rsidR="00953575">
              <w:rPr>
                <w:color w:val="000000"/>
                <w:szCs w:val="18"/>
              </w:rPr>
              <w:t xml:space="preserve"> a jeho rozeslání</w:t>
            </w:r>
          </w:p>
        </w:tc>
        <w:tc>
          <w:tcPr>
            <w:tcW w:w="844" w:type="pct"/>
            <w:tcBorders>
              <w:top w:val="single" w:sz="4" w:space="0" w:color="92D400"/>
              <w:bottom w:val="single" w:sz="4" w:space="0" w:color="92D400"/>
            </w:tcBorders>
            <w:vAlign w:val="center"/>
          </w:tcPr>
          <w:p w14:paraId="72E614BA" w14:textId="77777777" w:rsidR="00860359" w:rsidRPr="00CE0A96" w:rsidRDefault="00860359" w:rsidP="008A4F6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sidRPr="00CE0A96">
              <w:rPr>
                <w:rFonts w:eastAsia="Times New Roman" w:cs="Calibri"/>
                <w:color w:val="000000"/>
                <w:szCs w:val="18"/>
                <w:lang w:eastAsia="cs-CZ"/>
              </w:rPr>
              <w:t>Deloitte</w:t>
            </w:r>
          </w:p>
        </w:tc>
        <w:tc>
          <w:tcPr>
            <w:tcW w:w="798" w:type="pct"/>
            <w:tcBorders>
              <w:top w:val="single" w:sz="4" w:space="0" w:color="92D400"/>
              <w:bottom w:val="single" w:sz="4" w:space="0" w:color="92D400"/>
            </w:tcBorders>
            <w:vAlign w:val="center"/>
          </w:tcPr>
          <w:p w14:paraId="7FB6202C" w14:textId="77777777" w:rsidR="00860359" w:rsidRPr="00CE0A96" w:rsidRDefault="00953575" w:rsidP="008A4F6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highlight w:val="yellow"/>
                <w:lang w:eastAsia="cs-CZ"/>
              </w:rPr>
            </w:pPr>
            <w:r>
              <w:rPr>
                <w:rFonts w:asciiTheme="majorHAnsi" w:hAnsiTheme="majorHAnsi" w:cs="Calibri"/>
                <w:color w:val="000000"/>
                <w:szCs w:val="18"/>
                <w:lang w:eastAsia="cs-CZ"/>
              </w:rPr>
              <w:t>9</w:t>
            </w:r>
            <w:r w:rsidR="00860359" w:rsidRPr="00170D69">
              <w:rPr>
                <w:rFonts w:asciiTheme="majorHAnsi" w:hAnsiTheme="majorHAnsi" w:cs="Calibri"/>
                <w:color w:val="000000"/>
                <w:szCs w:val="18"/>
                <w:lang w:eastAsia="cs-CZ"/>
              </w:rPr>
              <w:t xml:space="preserve">. </w:t>
            </w:r>
            <w:r w:rsidR="00860359">
              <w:rPr>
                <w:rFonts w:asciiTheme="majorHAnsi" w:hAnsiTheme="majorHAnsi" w:cs="Calibri"/>
                <w:color w:val="000000"/>
                <w:szCs w:val="18"/>
                <w:lang w:eastAsia="cs-CZ"/>
              </w:rPr>
              <w:t>12</w:t>
            </w:r>
            <w:r w:rsidR="00860359" w:rsidRPr="00170D69">
              <w:rPr>
                <w:rFonts w:asciiTheme="majorHAnsi" w:hAnsiTheme="majorHAnsi" w:cs="Calibri"/>
                <w:color w:val="000000"/>
                <w:szCs w:val="18"/>
                <w:lang w:eastAsia="cs-CZ"/>
              </w:rPr>
              <w:t>. 20</w:t>
            </w:r>
            <w:r w:rsidR="00860359">
              <w:rPr>
                <w:rFonts w:asciiTheme="majorHAnsi" w:hAnsiTheme="majorHAnsi" w:cs="Calibri"/>
                <w:color w:val="000000"/>
                <w:szCs w:val="18"/>
                <w:lang w:eastAsia="cs-CZ"/>
              </w:rPr>
              <w:t>19</w:t>
            </w:r>
          </w:p>
        </w:tc>
        <w:tc>
          <w:tcPr>
            <w:tcW w:w="767" w:type="pct"/>
            <w:tcBorders>
              <w:top w:val="single" w:sz="4" w:space="0" w:color="92D400"/>
              <w:bottom w:val="single" w:sz="4" w:space="0" w:color="92D400"/>
            </w:tcBorders>
            <w:shd w:val="clear" w:color="auto" w:fill="auto"/>
            <w:vAlign w:val="center"/>
          </w:tcPr>
          <w:p w14:paraId="08FD3AE3" w14:textId="77777777" w:rsidR="00860359" w:rsidRPr="00CE0A96" w:rsidRDefault="00860359" w:rsidP="008A4F6A">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p>
        </w:tc>
      </w:tr>
      <w:tr w:rsidR="00860359" w:rsidRPr="00793EC0" w14:paraId="19975978" w14:textId="77777777" w:rsidTr="008A4F6A">
        <w:trPr>
          <w:trHeight w:val="340"/>
        </w:trPr>
        <w:tc>
          <w:tcPr>
            <w:cnfStyle w:val="001000000000" w:firstRow="0" w:lastRow="0" w:firstColumn="1" w:lastColumn="0" w:oddVBand="0" w:evenVBand="0" w:oddHBand="0" w:evenHBand="0" w:firstRowFirstColumn="0" w:firstRowLastColumn="0" w:lastRowFirstColumn="0" w:lastRowLastColumn="0"/>
            <w:tcW w:w="192" w:type="pct"/>
            <w:tcBorders>
              <w:top w:val="single" w:sz="4" w:space="0" w:color="92D400"/>
              <w:bottom w:val="single" w:sz="4" w:space="0" w:color="92D400"/>
            </w:tcBorders>
            <w:vAlign w:val="center"/>
          </w:tcPr>
          <w:p w14:paraId="34DADE7F" w14:textId="77777777" w:rsidR="00860359" w:rsidRPr="00CE0A96" w:rsidRDefault="00860359" w:rsidP="008A4F6A">
            <w:pPr>
              <w:rPr>
                <w:rFonts w:eastAsia="Times New Roman" w:cs="Calibri"/>
                <w:color w:val="000000"/>
                <w:szCs w:val="18"/>
                <w:lang w:eastAsia="cs-CZ"/>
              </w:rPr>
            </w:pPr>
            <w:r w:rsidRPr="00CE0A96">
              <w:rPr>
                <w:rFonts w:eastAsia="Times New Roman" w:cs="Calibri"/>
                <w:color w:val="000000"/>
                <w:szCs w:val="18"/>
                <w:lang w:eastAsia="cs-CZ"/>
              </w:rPr>
              <w:t>5</w:t>
            </w:r>
          </w:p>
        </w:tc>
        <w:tc>
          <w:tcPr>
            <w:tcW w:w="2399" w:type="pct"/>
            <w:tcBorders>
              <w:top w:val="single" w:sz="4" w:space="0" w:color="92D400"/>
              <w:bottom w:val="single" w:sz="4" w:space="0" w:color="92D400"/>
            </w:tcBorders>
            <w:vAlign w:val="center"/>
          </w:tcPr>
          <w:p w14:paraId="4B9685E1" w14:textId="77777777" w:rsidR="00860359" w:rsidRPr="00CE0A96" w:rsidRDefault="004568B7" w:rsidP="008A4F6A">
            <w:pPr>
              <w:cnfStyle w:val="000000000000" w:firstRow="0" w:lastRow="0" w:firstColumn="0" w:lastColumn="0" w:oddVBand="0" w:evenVBand="0" w:oddHBand="0" w:evenHBand="0" w:firstRowFirstColumn="0" w:firstRowLastColumn="0" w:lastRowFirstColumn="0" w:lastRowLastColumn="0"/>
              <w:rPr>
                <w:color w:val="000000"/>
                <w:szCs w:val="18"/>
              </w:rPr>
            </w:pPr>
            <w:r>
              <w:rPr>
                <w:color w:val="000000"/>
                <w:szCs w:val="18"/>
              </w:rPr>
              <w:t>Ukončení</w:t>
            </w:r>
            <w:r w:rsidR="00860359" w:rsidRPr="00CE0A96">
              <w:rPr>
                <w:color w:val="000000"/>
                <w:szCs w:val="18"/>
              </w:rPr>
              <w:t xml:space="preserve"> dotazníkového šetření</w:t>
            </w:r>
          </w:p>
        </w:tc>
        <w:tc>
          <w:tcPr>
            <w:tcW w:w="844" w:type="pct"/>
            <w:tcBorders>
              <w:top w:val="single" w:sz="4" w:space="0" w:color="92D400"/>
              <w:bottom w:val="single" w:sz="4" w:space="0" w:color="92D400"/>
            </w:tcBorders>
            <w:vAlign w:val="center"/>
          </w:tcPr>
          <w:p w14:paraId="689AD71C" w14:textId="77777777" w:rsidR="00860359" w:rsidRPr="00CE0A96" w:rsidRDefault="00860359" w:rsidP="008A4F6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sidRPr="00CE0A96">
              <w:rPr>
                <w:rFonts w:eastAsia="Times New Roman" w:cs="Calibri"/>
                <w:color w:val="000000"/>
                <w:szCs w:val="18"/>
                <w:lang w:eastAsia="cs-CZ"/>
              </w:rPr>
              <w:t>Deloitte</w:t>
            </w:r>
          </w:p>
        </w:tc>
        <w:tc>
          <w:tcPr>
            <w:tcW w:w="798" w:type="pct"/>
            <w:tcBorders>
              <w:top w:val="single" w:sz="4" w:space="0" w:color="92D400"/>
              <w:bottom w:val="single" w:sz="4" w:space="0" w:color="92D400"/>
            </w:tcBorders>
            <w:vAlign w:val="center"/>
          </w:tcPr>
          <w:p w14:paraId="173B4D3A" w14:textId="77777777" w:rsidR="00860359" w:rsidRPr="00CE0A96" w:rsidRDefault="00860359" w:rsidP="0095357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highlight w:val="yellow"/>
                <w:lang w:eastAsia="cs-CZ"/>
              </w:rPr>
            </w:pPr>
            <w:r>
              <w:rPr>
                <w:rFonts w:asciiTheme="majorHAnsi" w:hAnsiTheme="majorHAnsi" w:cs="Calibri"/>
                <w:color w:val="000000"/>
                <w:szCs w:val="18"/>
                <w:lang w:eastAsia="cs-CZ"/>
              </w:rPr>
              <w:t xml:space="preserve">10. 1. </w:t>
            </w:r>
            <w:r w:rsidRPr="00170D69">
              <w:rPr>
                <w:rFonts w:asciiTheme="majorHAnsi" w:hAnsiTheme="majorHAnsi" w:cs="Calibri"/>
                <w:color w:val="000000"/>
                <w:szCs w:val="18"/>
                <w:lang w:eastAsia="cs-CZ"/>
              </w:rPr>
              <w:t xml:space="preserve"> 2020</w:t>
            </w:r>
          </w:p>
        </w:tc>
        <w:tc>
          <w:tcPr>
            <w:tcW w:w="767" w:type="pct"/>
            <w:tcBorders>
              <w:top w:val="single" w:sz="4" w:space="0" w:color="92D400"/>
              <w:bottom w:val="single" w:sz="4" w:space="0" w:color="92D400"/>
            </w:tcBorders>
            <w:shd w:val="clear" w:color="auto" w:fill="auto"/>
            <w:vAlign w:val="center"/>
          </w:tcPr>
          <w:p w14:paraId="590E6DCE" w14:textId="77777777" w:rsidR="00860359" w:rsidRPr="00CE0A96" w:rsidRDefault="00860359" w:rsidP="008A4F6A">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p>
        </w:tc>
      </w:tr>
      <w:tr w:rsidR="00860359" w:rsidRPr="001A335C" w14:paraId="6945A234" w14:textId="77777777" w:rsidTr="008A4F6A">
        <w:trPr>
          <w:trHeight w:val="340"/>
        </w:trPr>
        <w:tc>
          <w:tcPr>
            <w:cnfStyle w:val="001000000000" w:firstRow="0" w:lastRow="0" w:firstColumn="1" w:lastColumn="0" w:oddVBand="0" w:evenVBand="0" w:oddHBand="0" w:evenHBand="0" w:firstRowFirstColumn="0" w:firstRowLastColumn="0" w:lastRowFirstColumn="0" w:lastRowLastColumn="0"/>
            <w:tcW w:w="192" w:type="pct"/>
            <w:tcBorders>
              <w:top w:val="single" w:sz="4" w:space="0" w:color="92D400"/>
            </w:tcBorders>
            <w:vAlign w:val="center"/>
          </w:tcPr>
          <w:p w14:paraId="5E501E11" w14:textId="77777777" w:rsidR="00860359" w:rsidRPr="00CE0A96" w:rsidRDefault="0028578A" w:rsidP="008A4F6A">
            <w:pPr>
              <w:rPr>
                <w:rFonts w:eastAsia="Times New Roman" w:cs="Calibri"/>
                <w:color w:val="000000"/>
                <w:szCs w:val="18"/>
                <w:lang w:eastAsia="cs-CZ"/>
              </w:rPr>
            </w:pPr>
            <w:r>
              <w:rPr>
                <w:rFonts w:eastAsia="Times New Roman" w:cs="Calibri"/>
                <w:color w:val="000000"/>
                <w:szCs w:val="18"/>
                <w:lang w:eastAsia="cs-CZ"/>
              </w:rPr>
              <w:t>6</w:t>
            </w:r>
          </w:p>
        </w:tc>
        <w:tc>
          <w:tcPr>
            <w:tcW w:w="2399" w:type="pct"/>
            <w:tcBorders>
              <w:top w:val="single" w:sz="4" w:space="0" w:color="92D400"/>
            </w:tcBorders>
            <w:vAlign w:val="center"/>
          </w:tcPr>
          <w:p w14:paraId="429E6B56" w14:textId="77777777" w:rsidR="00860359" w:rsidRPr="00CE0A96" w:rsidRDefault="00860359" w:rsidP="008A4F6A">
            <w:pPr>
              <w:cnfStyle w:val="000000000000" w:firstRow="0" w:lastRow="0" w:firstColumn="0" w:lastColumn="0" w:oddVBand="0" w:evenVBand="0" w:oddHBand="0" w:evenHBand="0" w:firstRowFirstColumn="0" w:firstRowLastColumn="0" w:lastRowFirstColumn="0" w:lastRowLastColumn="0"/>
              <w:rPr>
                <w:color w:val="000000"/>
                <w:szCs w:val="18"/>
              </w:rPr>
            </w:pPr>
            <w:r w:rsidRPr="00CE0A96">
              <w:rPr>
                <w:color w:val="000000"/>
                <w:szCs w:val="18"/>
              </w:rPr>
              <w:t>Vyhodnocení výsledků</w:t>
            </w:r>
          </w:p>
        </w:tc>
        <w:tc>
          <w:tcPr>
            <w:tcW w:w="844" w:type="pct"/>
            <w:tcBorders>
              <w:top w:val="single" w:sz="4" w:space="0" w:color="92D400"/>
            </w:tcBorders>
            <w:vAlign w:val="center"/>
          </w:tcPr>
          <w:p w14:paraId="52889111" w14:textId="77777777" w:rsidR="00860359" w:rsidRPr="00CE0A96" w:rsidRDefault="00860359" w:rsidP="008A4F6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sidRPr="00CE0A96">
              <w:rPr>
                <w:rFonts w:eastAsia="Times New Roman" w:cs="Calibri"/>
                <w:color w:val="000000"/>
                <w:szCs w:val="18"/>
                <w:lang w:eastAsia="cs-CZ"/>
              </w:rPr>
              <w:t>Deloitte</w:t>
            </w:r>
          </w:p>
        </w:tc>
        <w:tc>
          <w:tcPr>
            <w:tcW w:w="798" w:type="pct"/>
            <w:tcBorders>
              <w:top w:val="single" w:sz="4" w:space="0" w:color="92D400"/>
            </w:tcBorders>
            <w:vAlign w:val="center"/>
          </w:tcPr>
          <w:p w14:paraId="5C32164F" w14:textId="77777777" w:rsidR="00860359" w:rsidRPr="00CE0A96" w:rsidRDefault="00860359" w:rsidP="008A4F6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highlight w:val="yellow"/>
                <w:lang w:eastAsia="cs-CZ"/>
              </w:rPr>
            </w:pPr>
            <w:r>
              <w:rPr>
                <w:rFonts w:asciiTheme="majorHAnsi" w:hAnsiTheme="majorHAnsi" w:cs="Calibri"/>
                <w:color w:val="000000"/>
                <w:szCs w:val="18"/>
                <w:lang w:eastAsia="cs-CZ"/>
              </w:rPr>
              <w:t>17</w:t>
            </w:r>
            <w:r w:rsidRPr="00170D69">
              <w:rPr>
                <w:rFonts w:asciiTheme="majorHAnsi" w:hAnsiTheme="majorHAnsi" w:cs="Calibri"/>
                <w:color w:val="000000"/>
                <w:szCs w:val="18"/>
                <w:lang w:eastAsia="cs-CZ"/>
              </w:rPr>
              <w:t xml:space="preserve">. </w:t>
            </w:r>
            <w:r>
              <w:rPr>
                <w:rFonts w:asciiTheme="majorHAnsi" w:hAnsiTheme="majorHAnsi" w:cs="Calibri"/>
                <w:color w:val="000000"/>
                <w:szCs w:val="18"/>
                <w:lang w:eastAsia="cs-CZ"/>
              </w:rPr>
              <w:t>1</w:t>
            </w:r>
            <w:r w:rsidRPr="00170D69">
              <w:rPr>
                <w:rFonts w:asciiTheme="majorHAnsi" w:hAnsiTheme="majorHAnsi" w:cs="Calibri"/>
                <w:color w:val="000000"/>
                <w:szCs w:val="18"/>
                <w:lang w:eastAsia="cs-CZ"/>
              </w:rPr>
              <w:t>. 2020</w:t>
            </w:r>
          </w:p>
        </w:tc>
        <w:tc>
          <w:tcPr>
            <w:tcW w:w="767" w:type="pct"/>
            <w:tcBorders>
              <w:top w:val="single" w:sz="4" w:space="0" w:color="92D400"/>
            </w:tcBorders>
            <w:shd w:val="clear" w:color="auto" w:fill="auto"/>
            <w:vAlign w:val="center"/>
          </w:tcPr>
          <w:p w14:paraId="088ECC70" w14:textId="77777777" w:rsidR="00860359" w:rsidRPr="00CE0A96" w:rsidRDefault="00860359" w:rsidP="008A4F6A">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p>
        </w:tc>
      </w:tr>
    </w:tbl>
    <w:p w14:paraId="0C3E610D" w14:textId="77777777" w:rsidR="00AC4A07" w:rsidRDefault="00AC4A07" w:rsidP="00AC4A07">
      <w:pPr>
        <w:pStyle w:val="Bntext"/>
      </w:pPr>
    </w:p>
    <w:p w14:paraId="28598DE7" w14:textId="77777777" w:rsidR="00AC4A07" w:rsidRDefault="00AC4A07">
      <w:pPr>
        <w:rPr>
          <w:rFonts w:asciiTheme="majorHAnsi" w:eastAsiaTheme="majorEastAsia" w:hAnsiTheme="majorHAnsi" w:cstheme="majorBidi"/>
          <w:b/>
          <w:bCs/>
          <w:color w:val="62B5E5" w:themeColor="accent3"/>
          <w:szCs w:val="26"/>
        </w:rPr>
      </w:pPr>
      <w:r>
        <w:br w:type="page"/>
      </w:r>
    </w:p>
    <w:p w14:paraId="2F6C839A" w14:textId="501DF555" w:rsidR="00800ACB" w:rsidRDefault="00800ACB" w:rsidP="00BD20B9">
      <w:pPr>
        <w:pStyle w:val="Nadpis2"/>
        <w:ind w:hanging="720"/>
      </w:pPr>
      <w:bookmarkStart w:id="26" w:name="_Toc25228651"/>
      <w:r>
        <w:lastRenderedPageBreak/>
        <w:t xml:space="preserve">Individuální </w:t>
      </w:r>
      <w:r w:rsidR="00B45855">
        <w:t>hloubkové</w:t>
      </w:r>
      <w:r>
        <w:t xml:space="preserve"> rozhovory</w:t>
      </w:r>
      <w:bookmarkEnd w:id="26"/>
      <w:r>
        <w:t xml:space="preserve"> </w:t>
      </w:r>
    </w:p>
    <w:p w14:paraId="71017532" w14:textId="77777777" w:rsidR="00EB3A56" w:rsidRPr="00800ACB" w:rsidRDefault="00EB3A56" w:rsidP="00EB3A56">
      <w:pPr>
        <w:spacing w:before="240" w:after="120" w:line="240" w:lineRule="auto"/>
        <w:rPr>
          <w:b/>
          <w:color w:val="012169" w:themeColor="accent4"/>
        </w:rPr>
      </w:pPr>
      <w:r w:rsidRPr="00800ACB">
        <w:rPr>
          <w:b/>
          <w:color w:val="012169" w:themeColor="accent4"/>
        </w:rPr>
        <w:t>Způsob realizace</w:t>
      </w:r>
    </w:p>
    <w:p w14:paraId="5FF9FF97" w14:textId="77777777" w:rsidR="00EB3A56" w:rsidRPr="00800ACB" w:rsidRDefault="00EB3A56" w:rsidP="00EB3A56">
      <w:pPr>
        <w:spacing w:before="113" w:after="113" w:line="240" w:lineRule="auto"/>
        <w:jc w:val="both"/>
        <w:rPr>
          <w:szCs w:val="18"/>
        </w:rPr>
      </w:pPr>
      <w:r w:rsidRPr="00CA1B17">
        <w:t xml:space="preserve">Individuální </w:t>
      </w:r>
      <w:r w:rsidR="00B45855">
        <w:t>hloubkové</w:t>
      </w:r>
      <w:r w:rsidRPr="00CA1B17">
        <w:t xml:space="preserve"> rozhovory</w:t>
      </w:r>
      <w:r w:rsidR="000126A9">
        <w:t xml:space="preserve"> (dále také „IHR“)</w:t>
      </w:r>
      <w:r w:rsidRPr="00CA1B17">
        <w:t xml:space="preserve"> byly jako jedna z hlavních evaluačních metod navrženy pro </w:t>
      </w:r>
      <w:r>
        <w:t xml:space="preserve">všechny evaluační okruhy. Dodavatel je využije zejména ke zmapování skutečného stavu existujících procesů implementační struktury OP PIK, jakož i metodického prostředí, ve kterém jsou projekty administrovány, </w:t>
      </w:r>
      <w:r w:rsidR="0017160C">
        <w:t>v rámci II</w:t>
      </w:r>
      <w:r w:rsidR="00382726">
        <w:t>. etapy P</w:t>
      </w:r>
      <w:r w:rsidR="0017160C">
        <w:t>rojektu</w:t>
      </w:r>
      <w:r w:rsidR="00BD20B9">
        <w:t>;</w:t>
      </w:r>
      <w:r w:rsidR="0017160C">
        <w:t xml:space="preserve"> a k hodnocení a návrhu optimalizačních opatření v rámci </w:t>
      </w:r>
      <w:r w:rsidR="00382726">
        <w:t>III. etapy P</w:t>
      </w:r>
      <w:r w:rsidR="0017160C">
        <w:t xml:space="preserve">rojektu. Hlavním přínosem této metody je možnost </w:t>
      </w:r>
      <w:r w:rsidRPr="00800ACB">
        <w:rPr>
          <w:szCs w:val="18"/>
        </w:rPr>
        <w:t>hlubší diskuze s vlastníky procesů</w:t>
      </w:r>
      <w:r>
        <w:rPr>
          <w:szCs w:val="18"/>
        </w:rPr>
        <w:t xml:space="preserve"> (popř. jinými pracovníky s detailní znalostí procesů) </w:t>
      </w:r>
      <w:r w:rsidRPr="00800ACB">
        <w:rPr>
          <w:szCs w:val="18"/>
        </w:rPr>
        <w:t>bez nepříznivých externích vlivů vedoucích k deformaci názoru.</w:t>
      </w:r>
    </w:p>
    <w:p w14:paraId="14CF2A96" w14:textId="77777777" w:rsidR="00EB3A56" w:rsidRPr="00CA1B17" w:rsidRDefault="00EB3A56" w:rsidP="00EB3A56">
      <w:pPr>
        <w:spacing w:before="113" w:after="113" w:line="240" w:lineRule="auto"/>
        <w:jc w:val="both"/>
        <w:rPr>
          <w:szCs w:val="18"/>
        </w:rPr>
      </w:pPr>
      <w:r w:rsidRPr="00CA1B17">
        <w:rPr>
          <w:szCs w:val="18"/>
        </w:rPr>
        <w:t xml:space="preserve">Dodavatel osloví nominované účastníky, zašle jim pověřovací dopis MPO a dle jejich časových možností si s nimi sjedná osobní schůzku nebo domluví termín pro telefonický rozhovor. </w:t>
      </w:r>
    </w:p>
    <w:p w14:paraId="6AA17117" w14:textId="77777777" w:rsidR="00EB3A56" w:rsidRPr="00800ACB" w:rsidRDefault="00817E90" w:rsidP="00EE0921">
      <w:pPr>
        <w:spacing w:before="113" w:after="113" w:line="240" w:lineRule="auto"/>
        <w:jc w:val="both"/>
        <w:rPr>
          <w:b/>
          <w:color w:val="012169" w:themeColor="accent4"/>
        </w:rPr>
      </w:pPr>
      <w:r>
        <w:rPr>
          <w:b/>
          <w:color w:val="012169" w:themeColor="accent4"/>
        </w:rPr>
        <w:t>Respondenti</w:t>
      </w:r>
    </w:p>
    <w:p w14:paraId="4E7C6CD3" w14:textId="77777777" w:rsidR="00DB7060" w:rsidRDefault="00EB3A56" w:rsidP="00E40554">
      <w:pPr>
        <w:spacing w:before="113" w:after="113" w:line="240" w:lineRule="auto"/>
        <w:jc w:val="both"/>
        <w:rPr>
          <w:szCs w:val="18"/>
        </w:rPr>
      </w:pPr>
      <w:r w:rsidRPr="00CA1B17">
        <w:t xml:space="preserve">Účastníky </w:t>
      </w:r>
      <w:r w:rsidR="000126A9">
        <w:t>IHR</w:t>
      </w:r>
      <w:r w:rsidRPr="00CA1B17">
        <w:t xml:space="preserve"> </w:t>
      </w:r>
      <w:r w:rsidRPr="00800ACB">
        <w:rPr>
          <w:szCs w:val="18"/>
        </w:rPr>
        <w:t xml:space="preserve">by měly být osoby, které jsou odpovědné za provádění jednotlivých procesů. </w:t>
      </w:r>
      <w:r>
        <w:rPr>
          <w:szCs w:val="18"/>
        </w:rPr>
        <w:t xml:space="preserve">Mělo by se tedy </w:t>
      </w:r>
      <w:r w:rsidR="0051361C">
        <w:rPr>
          <w:szCs w:val="18"/>
        </w:rPr>
        <w:t xml:space="preserve">indikativně </w:t>
      </w:r>
      <w:r>
        <w:rPr>
          <w:szCs w:val="18"/>
        </w:rPr>
        <w:t>jednat o</w:t>
      </w:r>
      <w:r w:rsidR="00E40554">
        <w:rPr>
          <w:szCs w:val="18"/>
        </w:rPr>
        <w:t xml:space="preserve"> z</w:t>
      </w:r>
      <w:r w:rsidRPr="00CA1B17">
        <w:t>ástupc</w:t>
      </w:r>
      <w:r>
        <w:t>e</w:t>
      </w:r>
      <w:r w:rsidRPr="00CA1B17">
        <w:t xml:space="preserve"> ŘO OP PIK</w:t>
      </w:r>
      <w:r w:rsidR="00DB7060">
        <w:t xml:space="preserve"> </w:t>
      </w:r>
      <w:r w:rsidR="004F22CE">
        <w:t>(MPO)</w:t>
      </w:r>
      <w:r w:rsidR="00DB7060">
        <w:t>:</w:t>
      </w:r>
    </w:p>
    <w:p w14:paraId="1667C2F5" w14:textId="77777777" w:rsidR="00DB7060" w:rsidRDefault="000404E4" w:rsidP="00E21AD8">
      <w:pPr>
        <w:pStyle w:val="Odstavecseseznamem"/>
        <w:numPr>
          <w:ilvl w:val="0"/>
          <w:numId w:val="67"/>
        </w:numPr>
        <w:spacing w:before="120" w:after="0" w:line="240" w:lineRule="auto"/>
        <w:contextualSpacing w:val="0"/>
        <w:jc w:val="both"/>
        <w:rPr>
          <w:szCs w:val="18"/>
        </w:rPr>
      </w:pPr>
      <w:r>
        <w:rPr>
          <w:szCs w:val="18"/>
        </w:rPr>
        <w:t>Odboru Strukturálních fondů</w:t>
      </w:r>
      <w:r w:rsidR="00DB7060" w:rsidRPr="00DB7060">
        <w:rPr>
          <w:szCs w:val="18"/>
        </w:rPr>
        <w:t xml:space="preserve"> </w:t>
      </w:r>
    </w:p>
    <w:p w14:paraId="25AEDE7D" w14:textId="77777777" w:rsidR="00DB7060" w:rsidRDefault="00DB7060" w:rsidP="00E21AD8">
      <w:pPr>
        <w:pStyle w:val="Odstavecseseznamem"/>
        <w:numPr>
          <w:ilvl w:val="0"/>
          <w:numId w:val="67"/>
        </w:numPr>
        <w:spacing w:before="120" w:after="0" w:line="240" w:lineRule="auto"/>
        <w:contextualSpacing w:val="0"/>
        <w:jc w:val="both"/>
        <w:rPr>
          <w:szCs w:val="18"/>
        </w:rPr>
      </w:pPr>
      <w:r w:rsidRPr="00DB7060">
        <w:rPr>
          <w:szCs w:val="18"/>
        </w:rPr>
        <w:t>Odbor</w:t>
      </w:r>
      <w:r>
        <w:rPr>
          <w:szCs w:val="18"/>
        </w:rPr>
        <w:t>u</w:t>
      </w:r>
      <w:r w:rsidRPr="00DB7060">
        <w:rPr>
          <w:szCs w:val="18"/>
        </w:rPr>
        <w:t xml:space="preserve"> P</w:t>
      </w:r>
      <w:r w:rsidR="000404E4">
        <w:rPr>
          <w:szCs w:val="18"/>
        </w:rPr>
        <w:t>O1 a finančních nástrojů</w:t>
      </w:r>
      <w:r>
        <w:rPr>
          <w:szCs w:val="18"/>
        </w:rPr>
        <w:t xml:space="preserve"> </w:t>
      </w:r>
    </w:p>
    <w:p w14:paraId="409A1EB4" w14:textId="77777777" w:rsidR="00DB7060" w:rsidRDefault="00DB7060" w:rsidP="00E21AD8">
      <w:pPr>
        <w:pStyle w:val="Odstavecseseznamem"/>
        <w:numPr>
          <w:ilvl w:val="0"/>
          <w:numId w:val="67"/>
        </w:numPr>
        <w:spacing w:before="120" w:after="0" w:line="240" w:lineRule="auto"/>
        <w:contextualSpacing w:val="0"/>
        <w:jc w:val="both"/>
        <w:rPr>
          <w:szCs w:val="18"/>
        </w:rPr>
      </w:pPr>
      <w:r>
        <w:rPr>
          <w:szCs w:val="18"/>
        </w:rPr>
        <w:t>Odboru</w:t>
      </w:r>
      <w:r w:rsidR="000404E4">
        <w:rPr>
          <w:szCs w:val="18"/>
        </w:rPr>
        <w:t xml:space="preserve"> PO2, PO3 a PO4</w:t>
      </w:r>
      <w:r w:rsidRPr="00DB7060">
        <w:rPr>
          <w:szCs w:val="18"/>
        </w:rPr>
        <w:t xml:space="preserve"> </w:t>
      </w:r>
    </w:p>
    <w:p w14:paraId="7398A931" w14:textId="77777777" w:rsidR="00DB7060" w:rsidRDefault="0014160F" w:rsidP="00E21AD8">
      <w:pPr>
        <w:pStyle w:val="Odstavecseseznamem"/>
        <w:numPr>
          <w:ilvl w:val="0"/>
          <w:numId w:val="67"/>
        </w:numPr>
        <w:spacing w:before="120" w:after="0" w:line="240" w:lineRule="auto"/>
        <w:contextualSpacing w:val="0"/>
        <w:jc w:val="both"/>
        <w:rPr>
          <w:szCs w:val="18"/>
        </w:rPr>
      </w:pPr>
      <w:r w:rsidRPr="00DB7060">
        <w:rPr>
          <w:szCs w:val="18"/>
        </w:rPr>
        <w:t>Oddělení</w:t>
      </w:r>
      <w:r w:rsidR="00A00405" w:rsidRPr="00DB7060">
        <w:rPr>
          <w:szCs w:val="18"/>
        </w:rPr>
        <w:t xml:space="preserve"> metodické a právní podpory</w:t>
      </w:r>
      <w:r w:rsidR="00E40554" w:rsidRPr="00DB7060">
        <w:rPr>
          <w:szCs w:val="18"/>
        </w:rPr>
        <w:t xml:space="preserve"> </w:t>
      </w:r>
    </w:p>
    <w:p w14:paraId="429FB9C8" w14:textId="77777777" w:rsidR="00DB7060" w:rsidRDefault="0014160F" w:rsidP="00E21AD8">
      <w:pPr>
        <w:pStyle w:val="Odstavecseseznamem"/>
        <w:numPr>
          <w:ilvl w:val="0"/>
          <w:numId w:val="67"/>
        </w:numPr>
        <w:spacing w:before="120" w:after="0" w:line="240" w:lineRule="auto"/>
        <w:contextualSpacing w:val="0"/>
        <w:jc w:val="both"/>
        <w:rPr>
          <w:szCs w:val="18"/>
        </w:rPr>
      </w:pPr>
      <w:r w:rsidRPr="00DB7060">
        <w:rPr>
          <w:szCs w:val="18"/>
        </w:rPr>
        <w:t>O</w:t>
      </w:r>
      <w:r w:rsidR="00A00405" w:rsidRPr="00DB7060">
        <w:rPr>
          <w:szCs w:val="18"/>
        </w:rPr>
        <w:t>dboru kontroly</w:t>
      </w:r>
      <w:r w:rsidR="00E40554" w:rsidRPr="00DB7060">
        <w:rPr>
          <w:szCs w:val="18"/>
        </w:rPr>
        <w:t xml:space="preserve"> </w:t>
      </w:r>
    </w:p>
    <w:p w14:paraId="04A7069A" w14:textId="77777777" w:rsidR="000404E4" w:rsidRDefault="00DB7060" w:rsidP="00E21AD8">
      <w:pPr>
        <w:pStyle w:val="Odstavecseseznamem"/>
        <w:numPr>
          <w:ilvl w:val="0"/>
          <w:numId w:val="67"/>
        </w:numPr>
        <w:spacing w:before="120" w:after="0" w:line="240" w:lineRule="auto"/>
        <w:contextualSpacing w:val="0"/>
        <w:jc w:val="both"/>
        <w:rPr>
          <w:szCs w:val="18"/>
        </w:rPr>
      </w:pPr>
      <w:r w:rsidRPr="00DB7060">
        <w:rPr>
          <w:szCs w:val="18"/>
        </w:rPr>
        <w:t>Sekce státní tajemnice – Oddělení rozpočtu a financování, Oddělení i</w:t>
      </w:r>
      <w:r w:rsidR="000404E4">
        <w:rPr>
          <w:szCs w:val="18"/>
        </w:rPr>
        <w:t>nformatik</w:t>
      </w:r>
      <w:r w:rsidR="00C53CD2">
        <w:rPr>
          <w:szCs w:val="18"/>
        </w:rPr>
        <w:t>y</w:t>
      </w:r>
      <w:r w:rsidR="000404E4">
        <w:rPr>
          <w:szCs w:val="18"/>
        </w:rPr>
        <w:t>, Odbor personální</w:t>
      </w:r>
      <w:r w:rsidRPr="00DB7060">
        <w:rPr>
          <w:szCs w:val="18"/>
        </w:rPr>
        <w:t xml:space="preserve"> </w:t>
      </w:r>
    </w:p>
    <w:p w14:paraId="16B4E65D" w14:textId="77777777" w:rsidR="000404E4" w:rsidRPr="000404E4" w:rsidRDefault="0014160F" w:rsidP="00E21AD8">
      <w:pPr>
        <w:pStyle w:val="Odstavecseseznamem"/>
        <w:numPr>
          <w:ilvl w:val="0"/>
          <w:numId w:val="67"/>
        </w:numPr>
        <w:spacing w:before="120" w:after="0" w:line="240" w:lineRule="auto"/>
        <w:contextualSpacing w:val="0"/>
        <w:jc w:val="both"/>
        <w:rPr>
          <w:szCs w:val="18"/>
        </w:rPr>
      </w:pPr>
      <w:r>
        <w:t>O</w:t>
      </w:r>
      <w:r w:rsidR="00E86D52">
        <w:t>dboru komunikace</w:t>
      </w:r>
    </w:p>
    <w:p w14:paraId="34F63BE7" w14:textId="77777777" w:rsidR="000133A3" w:rsidRDefault="000404E4" w:rsidP="00E21AD8">
      <w:pPr>
        <w:spacing w:before="120" w:after="0" w:line="240" w:lineRule="auto"/>
        <w:jc w:val="both"/>
      </w:pPr>
      <w:r>
        <w:t xml:space="preserve">Dále se bude jednat o </w:t>
      </w:r>
      <w:r w:rsidR="00E40554">
        <w:t>z</w:t>
      </w:r>
      <w:r w:rsidR="00EB3A56" w:rsidRPr="00A00405">
        <w:t xml:space="preserve">ástupce pracovníků </w:t>
      </w:r>
      <w:r w:rsidR="004F22CE">
        <w:t>ZS (API) a správce finančních nástrojů (ČMZRB)</w:t>
      </w:r>
      <w:r w:rsidR="000133A3">
        <w:t>:</w:t>
      </w:r>
    </w:p>
    <w:p w14:paraId="6564D6A5" w14:textId="77777777" w:rsidR="000133A3" w:rsidRPr="000133A3" w:rsidRDefault="000133A3" w:rsidP="00E21AD8">
      <w:pPr>
        <w:pStyle w:val="Odstavecseseznamem"/>
        <w:numPr>
          <w:ilvl w:val="0"/>
          <w:numId w:val="68"/>
        </w:numPr>
        <w:spacing w:before="120" w:after="0" w:line="240" w:lineRule="auto"/>
        <w:contextualSpacing w:val="0"/>
        <w:jc w:val="both"/>
        <w:rPr>
          <w:szCs w:val="18"/>
        </w:rPr>
      </w:pPr>
      <w:r>
        <w:t>API</w:t>
      </w:r>
    </w:p>
    <w:p w14:paraId="688B6DF4" w14:textId="77777777" w:rsidR="0051361C" w:rsidRPr="0051361C" w:rsidRDefault="002C5877" w:rsidP="00E21AD8">
      <w:pPr>
        <w:pStyle w:val="Odstavecseseznamem"/>
        <w:numPr>
          <w:ilvl w:val="1"/>
          <w:numId w:val="68"/>
        </w:numPr>
        <w:spacing w:before="120" w:after="0" w:line="240" w:lineRule="auto"/>
        <w:contextualSpacing w:val="0"/>
        <w:jc w:val="both"/>
        <w:rPr>
          <w:szCs w:val="18"/>
        </w:rPr>
      </w:pPr>
      <w:r>
        <w:rPr>
          <w:szCs w:val="18"/>
        </w:rPr>
        <w:t>Odbor</w:t>
      </w:r>
      <w:r w:rsidR="000133A3" w:rsidRPr="000133A3">
        <w:rPr>
          <w:szCs w:val="18"/>
        </w:rPr>
        <w:t xml:space="preserve"> podpory fondů EU (</w:t>
      </w:r>
      <w:r w:rsidR="0014160F">
        <w:t>Oddělení metodiky fondů EU</w:t>
      </w:r>
      <w:r w:rsidR="000133A3">
        <w:t xml:space="preserve">, Oddělení monitoringu fondů EU, </w:t>
      </w:r>
      <w:r w:rsidR="0014160F">
        <w:t>Oddělení ekonomického hodnocení projektů</w:t>
      </w:r>
    </w:p>
    <w:p w14:paraId="480606B4" w14:textId="77777777" w:rsidR="0051361C" w:rsidRDefault="0014160F" w:rsidP="00E21AD8">
      <w:pPr>
        <w:pStyle w:val="Odstavecseseznamem"/>
        <w:numPr>
          <w:ilvl w:val="1"/>
          <w:numId w:val="68"/>
        </w:numPr>
        <w:spacing w:before="120" w:after="0" w:line="240" w:lineRule="auto"/>
        <w:contextualSpacing w:val="0"/>
        <w:jc w:val="both"/>
        <w:rPr>
          <w:szCs w:val="18"/>
        </w:rPr>
      </w:pPr>
      <w:r>
        <w:t>Odbor koordinace fondů EU a regionálních kanceláří</w:t>
      </w:r>
      <w:r w:rsidR="00E40554">
        <w:t xml:space="preserve"> </w:t>
      </w:r>
    </w:p>
    <w:p w14:paraId="2A3BF1CC" w14:textId="77777777" w:rsidR="0051361C" w:rsidRDefault="0051361C" w:rsidP="00E21AD8">
      <w:pPr>
        <w:pStyle w:val="Odstavecseseznamem"/>
        <w:numPr>
          <w:ilvl w:val="1"/>
          <w:numId w:val="68"/>
        </w:numPr>
        <w:spacing w:before="120" w:after="0" w:line="240" w:lineRule="auto"/>
        <w:contextualSpacing w:val="0"/>
        <w:jc w:val="both"/>
        <w:rPr>
          <w:szCs w:val="18"/>
        </w:rPr>
      </w:pPr>
      <w:r>
        <w:rPr>
          <w:szCs w:val="18"/>
        </w:rPr>
        <w:t>Odbor právní, personální a ekonomický</w:t>
      </w:r>
    </w:p>
    <w:p w14:paraId="58B7E0BF" w14:textId="77777777" w:rsidR="0051361C" w:rsidRDefault="002C5877" w:rsidP="00E21AD8">
      <w:pPr>
        <w:pStyle w:val="Odstavecseseznamem"/>
        <w:numPr>
          <w:ilvl w:val="1"/>
          <w:numId w:val="68"/>
        </w:numPr>
        <w:spacing w:before="120" w:after="0" w:line="240" w:lineRule="auto"/>
        <w:contextualSpacing w:val="0"/>
        <w:jc w:val="both"/>
        <w:rPr>
          <w:szCs w:val="18"/>
        </w:rPr>
      </w:pPr>
      <w:r>
        <w:rPr>
          <w:szCs w:val="18"/>
        </w:rPr>
        <w:t>Odbor vnitřní správy (</w:t>
      </w:r>
      <w:r w:rsidR="0051361C">
        <w:rPr>
          <w:szCs w:val="18"/>
        </w:rPr>
        <w:t>Oddělení informačních technologií a technicko-hospodářské správy</w:t>
      </w:r>
      <w:r>
        <w:rPr>
          <w:szCs w:val="18"/>
        </w:rPr>
        <w:t>)</w:t>
      </w:r>
    </w:p>
    <w:p w14:paraId="2135DDB9" w14:textId="77777777" w:rsidR="0051361C" w:rsidRDefault="00EB3A56" w:rsidP="00E21AD8">
      <w:pPr>
        <w:pStyle w:val="Odstavecseseznamem"/>
        <w:numPr>
          <w:ilvl w:val="0"/>
          <w:numId w:val="68"/>
        </w:numPr>
        <w:spacing w:before="120" w:after="0" w:line="240" w:lineRule="auto"/>
        <w:contextualSpacing w:val="0"/>
        <w:jc w:val="both"/>
        <w:rPr>
          <w:szCs w:val="18"/>
        </w:rPr>
      </w:pPr>
      <w:r w:rsidRPr="000133A3">
        <w:rPr>
          <w:szCs w:val="18"/>
        </w:rPr>
        <w:t>ČMZRB</w:t>
      </w:r>
    </w:p>
    <w:p w14:paraId="2A87CFFC" w14:textId="77777777" w:rsidR="002C5877" w:rsidRDefault="002C5877" w:rsidP="00E21AD8">
      <w:pPr>
        <w:pStyle w:val="Odstavecseseznamem"/>
        <w:numPr>
          <w:ilvl w:val="1"/>
          <w:numId w:val="68"/>
        </w:numPr>
        <w:spacing w:before="120" w:after="0" w:line="240" w:lineRule="auto"/>
        <w:contextualSpacing w:val="0"/>
        <w:jc w:val="both"/>
        <w:rPr>
          <w:szCs w:val="18"/>
        </w:rPr>
      </w:pPr>
      <w:r>
        <w:rPr>
          <w:szCs w:val="18"/>
        </w:rPr>
        <w:t>Metodické prostředí OP PIK</w:t>
      </w:r>
    </w:p>
    <w:p w14:paraId="3742BEDB" w14:textId="77777777" w:rsidR="002C5877" w:rsidRDefault="002C5877" w:rsidP="00E21AD8">
      <w:pPr>
        <w:pStyle w:val="Odstavecseseznamem"/>
        <w:numPr>
          <w:ilvl w:val="1"/>
          <w:numId w:val="68"/>
        </w:numPr>
        <w:spacing w:before="120" w:after="0" w:line="240" w:lineRule="auto"/>
        <w:contextualSpacing w:val="0"/>
        <w:jc w:val="both"/>
        <w:rPr>
          <w:szCs w:val="18"/>
        </w:rPr>
      </w:pPr>
      <w:r>
        <w:rPr>
          <w:szCs w:val="18"/>
        </w:rPr>
        <w:t>Implementace</w:t>
      </w:r>
    </w:p>
    <w:p w14:paraId="16A095E7" w14:textId="77777777" w:rsidR="002C5877" w:rsidRDefault="002C5877" w:rsidP="00E21AD8">
      <w:pPr>
        <w:pStyle w:val="Odstavecseseznamem"/>
        <w:numPr>
          <w:ilvl w:val="1"/>
          <w:numId w:val="68"/>
        </w:numPr>
        <w:spacing w:before="120" w:after="0" w:line="240" w:lineRule="auto"/>
        <w:contextualSpacing w:val="0"/>
        <w:jc w:val="both"/>
        <w:rPr>
          <w:szCs w:val="18"/>
        </w:rPr>
      </w:pPr>
      <w:r>
        <w:rPr>
          <w:szCs w:val="18"/>
        </w:rPr>
        <w:t>Komunikace</w:t>
      </w:r>
    </w:p>
    <w:p w14:paraId="29A37731" w14:textId="77777777" w:rsidR="00817E90" w:rsidRDefault="002C5877" w:rsidP="00E21AD8">
      <w:pPr>
        <w:pStyle w:val="Odstavecseseznamem"/>
        <w:numPr>
          <w:ilvl w:val="1"/>
          <w:numId w:val="68"/>
        </w:numPr>
        <w:spacing w:before="120" w:after="0" w:line="240" w:lineRule="auto"/>
        <w:contextualSpacing w:val="0"/>
        <w:jc w:val="both"/>
        <w:rPr>
          <w:szCs w:val="18"/>
        </w:rPr>
      </w:pPr>
      <w:r>
        <w:rPr>
          <w:szCs w:val="18"/>
        </w:rPr>
        <w:t>Kontroly a nesrovnalosti</w:t>
      </w:r>
    </w:p>
    <w:p w14:paraId="7F205615" w14:textId="77777777" w:rsidR="0051361C" w:rsidRDefault="0051361C" w:rsidP="0051361C">
      <w:pPr>
        <w:spacing w:before="113" w:after="113" w:line="240" w:lineRule="auto"/>
        <w:jc w:val="both"/>
        <w:rPr>
          <w:szCs w:val="18"/>
        </w:rPr>
      </w:pPr>
    </w:p>
    <w:p w14:paraId="1693682E" w14:textId="77777777" w:rsidR="0051361C" w:rsidRDefault="0051361C" w:rsidP="0051361C">
      <w:pPr>
        <w:spacing w:before="113" w:after="113" w:line="240" w:lineRule="auto"/>
        <w:jc w:val="both"/>
        <w:rPr>
          <w:szCs w:val="18"/>
        </w:rPr>
      </w:pPr>
      <w:r>
        <w:rPr>
          <w:szCs w:val="18"/>
        </w:rPr>
        <w:t xml:space="preserve">Jedná se o indikativní seznam relevantních odborů a oddělení a jejich zástupců, který bude upřesněn a validován. </w:t>
      </w:r>
    </w:p>
    <w:p w14:paraId="30106CA0" w14:textId="77777777" w:rsidR="00800ACB" w:rsidRDefault="00800ACB" w:rsidP="00800ACB">
      <w:pPr>
        <w:spacing w:before="240" w:after="120" w:line="240" w:lineRule="auto"/>
        <w:rPr>
          <w:b/>
          <w:color w:val="012169" w:themeColor="accent4"/>
        </w:rPr>
      </w:pPr>
      <w:r w:rsidRPr="00800ACB">
        <w:rPr>
          <w:b/>
          <w:color w:val="012169" w:themeColor="accent4"/>
        </w:rPr>
        <w:t>Velikost vzorku</w:t>
      </w:r>
    </w:p>
    <w:p w14:paraId="01240DA5" w14:textId="092631DE" w:rsidR="008B26C3" w:rsidRPr="00EE0921" w:rsidRDefault="008B26C3" w:rsidP="00EE0921">
      <w:pPr>
        <w:spacing w:after="120" w:line="240" w:lineRule="auto"/>
        <w:jc w:val="both"/>
      </w:pPr>
      <w:r>
        <w:t xml:space="preserve">Dodavatel předpokládá provedení </w:t>
      </w:r>
      <w:r w:rsidR="00E40554">
        <w:t xml:space="preserve">cca </w:t>
      </w:r>
      <w:r w:rsidR="00E21AD8" w:rsidRPr="00E21AD8">
        <w:rPr>
          <w:b/>
        </w:rPr>
        <w:t>10 –</w:t>
      </w:r>
      <w:r w:rsidR="00E21AD8">
        <w:t xml:space="preserve"> </w:t>
      </w:r>
      <w:r w:rsidR="00CB22A7">
        <w:rPr>
          <w:b/>
        </w:rPr>
        <w:t xml:space="preserve"> 20</w:t>
      </w:r>
      <w:r w:rsidR="00E40554" w:rsidRPr="00EE0921">
        <w:rPr>
          <w:b/>
        </w:rPr>
        <w:t xml:space="preserve"> rozhovorů</w:t>
      </w:r>
      <w:r w:rsidR="00320EA5">
        <w:t xml:space="preserve"> v</w:t>
      </w:r>
      <w:r w:rsidR="00E40554">
        <w:t> následující struktuře</w:t>
      </w:r>
      <w:r w:rsidR="00320EA5">
        <w:t xml:space="preserve"> respondentů</w:t>
      </w:r>
      <w:r w:rsidR="00E40554">
        <w:t>:</w:t>
      </w:r>
    </w:p>
    <w:p w14:paraId="5F2C2C69" w14:textId="77777777" w:rsidR="008B26C3" w:rsidRDefault="008B26C3" w:rsidP="00320EA5">
      <w:pPr>
        <w:pStyle w:val="Odstavecseseznamem"/>
        <w:numPr>
          <w:ilvl w:val="0"/>
          <w:numId w:val="15"/>
        </w:numPr>
        <w:spacing w:after="120" w:line="240" w:lineRule="auto"/>
        <w:ind w:left="709" w:hanging="357"/>
        <w:contextualSpacing w:val="0"/>
        <w:jc w:val="both"/>
      </w:pPr>
      <w:r>
        <w:t>Z</w:t>
      </w:r>
      <w:r w:rsidRPr="00CA1B17">
        <w:t>ástupc</w:t>
      </w:r>
      <w:r w:rsidR="009103BA">
        <w:t>i</w:t>
      </w:r>
      <w:r w:rsidRPr="00CA1B17">
        <w:t xml:space="preserve"> ŘO OP PIK</w:t>
      </w:r>
      <w:r>
        <w:t>:</w:t>
      </w:r>
    </w:p>
    <w:p w14:paraId="3CB09E33" w14:textId="77777777" w:rsidR="008B26C3" w:rsidRDefault="008B26C3" w:rsidP="00320EA5">
      <w:pPr>
        <w:numPr>
          <w:ilvl w:val="1"/>
          <w:numId w:val="13"/>
        </w:numPr>
        <w:spacing w:after="120" w:line="240" w:lineRule="auto"/>
        <w:ind w:left="1418"/>
        <w:jc w:val="both"/>
        <w:rPr>
          <w:szCs w:val="18"/>
        </w:rPr>
      </w:pPr>
      <w:r>
        <w:rPr>
          <w:szCs w:val="18"/>
        </w:rPr>
        <w:t>1 – 2 p</w:t>
      </w:r>
      <w:r w:rsidRPr="00A00405">
        <w:rPr>
          <w:szCs w:val="18"/>
        </w:rPr>
        <w:t xml:space="preserve">racovníci </w:t>
      </w:r>
      <w:r>
        <w:rPr>
          <w:szCs w:val="18"/>
        </w:rPr>
        <w:t>Oddělení</w:t>
      </w:r>
      <w:r w:rsidRPr="00A00405">
        <w:rPr>
          <w:szCs w:val="18"/>
        </w:rPr>
        <w:t xml:space="preserve"> metodické a právní podpory</w:t>
      </w:r>
      <w:r w:rsidR="00D22F4E">
        <w:rPr>
          <w:szCs w:val="18"/>
        </w:rPr>
        <w:t>, Odbor strukturálních fondů</w:t>
      </w:r>
    </w:p>
    <w:p w14:paraId="5EB1D89A" w14:textId="77777777" w:rsidR="00FB1068" w:rsidRDefault="008B26C3" w:rsidP="00AC4A07">
      <w:pPr>
        <w:numPr>
          <w:ilvl w:val="1"/>
          <w:numId w:val="13"/>
        </w:numPr>
        <w:spacing w:after="120" w:line="240" w:lineRule="auto"/>
        <w:ind w:left="1418"/>
        <w:jc w:val="both"/>
        <w:rPr>
          <w:szCs w:val="18"/>
        </w:rPr>
      </w:pPr>
      <w:r>
        <w:rPr>
          <w:szCs w:val="18"/>
        </w:rPr>
        <w:t>1 – 2 p</w:t>
      </w:r>
      <w:r w:rsidRPr="00A00405">
        <w:rPr>
          <w:szCs w:val="18"/>
        </w:rPr>
        <w:t xml:space="preserve">racovníci </w:t>
      </w:r>
      <w:r>
        <w:rPr>
          <w:szCs w:val="18"/>
        </w:rPr>
        <w:t>O</w:t>
      </w:r>
      <w:r w:rsidRPr="00A00405">
        <w:rPr>
          <w:szCs w:val="18"/>
        </w:rPr>
        <w:t>dboru kontroly</w:t>
      </w:r>
    </w:p>
    <w:p w14:paraId="67CF701F" w14:textId="774FF6AA" w:rsidR="00FB1068" w:rsidRDefault="00CB22A7" w:rsidP="00AC4A07">
      <w:pPr>
        <w:numPr>
          <w:ilvl w:val="1"/>
          <w:numId w:val="13"/>
        </w:numPr>
        <w:spacing w:after="120" w:line="240" w:lineRule="auto"/>
        <w:ind w:left="1440"/>
        <w:jc w:val="both"/>
        <w:rPr>
          <w:szCs w:val="18"/>
        </w:rPr>
      </w:pPr>
      <w:r>
        <w:rPr>
          <w:szCs w:val="18"/>
        </w:rPr>
        <w:t xml:space="preserve">1 - </w:t>
      </w:r>
      <w:r w:rsidR="00FB1068">
        <w:rPr>
          <w:szCs w:val="18"/>
        </w:rPr>
        <w:t xml:space="preserve">2 pracovníci </w:t>
      </w:r>
      <w:r w:rsidR="00FB1068" w:rsidRPr="00FB1068">
        <w:rPr>
          <w:szCs w:val="18"/>
        </w:rPr>
        <w:t xml:space="preserve">Odboru PO1 a finančních nástrojů </w:t>
      </w:r>
    </w:p>
    <w:p w14:paraId="1C0D4FD9" w14:textId="27BFB165" w:rsidR="00FB1068" w:rsidRPr="00FB1068" w:rsidRDefault="00CB22A7" w:rsidP="00AC4A07">
      <w:pPr>
        <w:numPr>
          <w:ilvl w:val="1"/>
          <w:numId w:val="13"/>
        </w:numPr>
        <w:spacing w:after="120" w:line="240" w:lineRule="auto"/>
        <w:ind w:left="1440"/>
        <w:jc w:val="both"/>
        <w:rPr>
          <w:szCs w:val="18"/>
        </w:rPr>
      </w:pPr>
      <w:r>
        <w:rPr>
          <w:szCs w:val="18"/>
        </w:rPr>
        <w:t xml:space="preserve">1 – </w:t>
      </w:r>
      <w:r w:rsidR="00D77C29">
        <w:rPr>
          <w:szCs w:val="18"/>
        </w:rPr>
        <w:t>3</w:t>
      </w:r>
      <w:r w:rsidR="00FB1068">
        <w:rPr>
          <w:szCs w:val="18"/>
        </w:rPr>
        <w:t xml:space="preserve"> pracovníci O</w:t>
      </w:r>
      <w:r w:rsidR="00FB1068" w:rsidRPr="00FB1068">
        <w:rPr>
          <w:szCs w:val="18"/>
        </w:rPr>
        <w:t xml:space="preserve">dboru PO2, PO3 a PO4 </w:t>
      </w:r>
    </w:p>
    <w:p w14:paraId="7C8D7C81" w14:textId="77777777" w:rsidR="008B26C3" w:rsidRPr="00E86D52" w:rsidRDefault="008B26C3" w:rsidP="00320EA5">
      <w:pPr>
        <w:numPr>
          <w:ilvl w:val="1"/>
          <w:numId w:val="13"/>
        </w:numPr>
        <w:spacing w:after="120" w:line="240" w:lineRule="auto"/>
        <w:ind w:left="1418"/>
        <w:jc w:val="both"/>
        <w:rPr>
          <w:szCs w:val="18"/>
        </w:rPr>
      </w:pPr>
      <w:r>
        <w:t>1 – 2 pracovníci Odboru komunikace</w:t>
      </w:r>
      <w:r w:rsidR="00D22F4E">
        <w:t>, Sekce státní tajemnice</w:t>
      </w:r>
    </w:p>
    <w:p w14:paraId="5AEE5FB7" w14:textId="3D3CD41E" w:rsidR="008B26C3" w:rsidRPr="00A00405" w:rsidRDefault="001E5D56" w:rsidP="00320EA5">
      <w:pPr>
        <w:numPr>
          <w:ilvl w:val="1"/>
          <w:numId w:val="13"/>
        </w:numPr>
        <w:spacing w:after="120" w:line="240" w:lineRule="auto"/>
        <w:ind w:left="1418"/>
        <w:jc w:val="both"/>
        <w:rPr>
          <w:szCs w:val="18"/>
        </w:rPr>
      </w:pPr>
      <w:r>
        <w:rPr>
          <w:szCs w:val="18"/>
        </w:rPr>
        <w:t>Gestoři</w:t>
      </w:r>
      <w:r w:rsidR="00D77C29">
        <w:rPr>
          <w:szCs w:val="18"/>
        </w:rPr>
        <w:t xml:space="preserve"> jednotlivých programů podpory</w:t>
      </w:r>
      <w:r w:rsidR="008B26C3">
        <w:rPr>
          <w:szCs w:val="18"/>
        </w:rPr>
        <w:t xml:space="preserve"> (pouze v případě potřeby)</w:t>
      </w:r>
    </w:p>
    <w:p w14:paraId="05DADD41" w14:textId="77777777" w:rsidR="008B26C3" w:rsidRPr="00A00405" w:rsidRDefault="008B26C3" w:rsidP="00320EA5">
      <w:pPr>
        <w:pStyle w:val="Odstavecseseznamem"/>
        <w:numPr>
          <w:ilvl w:val="0"/>
          <w:numId w:val="15"/>
        </w:numPr>
        <w:spacing w:after="120" w:line="240" w:lineRule="auto"/>
        <w:ind w:left="709" w:hanging="357"/>
        <w:contextualSpacing w:val="0"/>
        <w:jc w:val="both"/>
      </w:pPr>
      <w:r w:rsidRPr="00A00405">
        <w:lastRenderedPageBreak/>
        <w:t>Zástupc</w:t>
      </w:r>
      <w:r w:rsidR="009103BA">
        <w:t>i</w:t>
      </w:r>
      <w:r w:rsidR="00E21AD8">
        <w:t xml:space="preserve"> ZS a správce finančních nástrojů</w:t>
      </w:r>
      <w:r w:rsidRPr="00A00405">
        <w:t>:</w:t>
      </w:r>
    </w:p>
    <w:p w14:paraId="3866BE10" w14:textId="77777777" w:rsidR="008B26C3" w:rsidRPr="0014160F" w:rsidRDefault="008B26C3" w:rsidP="00320EA5">
      <w:pPr>
        <w:numPr>
          <w:ilvl w:val="1"/>
          <w:numId w:val="13"/>
        </w:numPr>
        <w:spacing w:after="120" w:line="240" w:lineRule="auto"/>
        <w:ind w:left="1418"/>
        <w:jc w:val="both"/>
        <w:rPr>
          <w:szCs w:val="18"/>
        </w:rPr>
      </w:pPr>
      <w:r>
        <w:rPr>
          <w:szCs w:val="18"/>
        </w:rPr>
        <w:t>1 –</w:t>
      </w:r>
      <w:r w:rsidRPr="0014160F">
        <w:rPr>
          <w:szCs w:val="18"/>
        </w:rPr>
        <w:t xml:space="preserve"> 2 projektoví manažeři</w:t>
      </w:r>
    </w:p>
    <w:p w14:paraId="58962F2C" w14:textId="77777777" w:rsidR="008B26C3" w:rsidRPr="0014160F" w:rsidRDefault="008B26C3" w:rsidP="00320EA5">
      <w:pPr>
        <w:numPr>
          <w:ilvl w:val="1"/>
          <w:numId w:val="13"/>
        </w:numPr>
        <w:spacing w:after="120" w:line="240" w:lineRule="auto"/>
        <w:ind w:left="1418"/>
        <w:jc w:val="both"/>
        <w:rPr>
          <w:szCs w:val="18"/>
        </w:rPr>
      </w:pPr>
      <w:r>
        <w:rPr>
          <w:szCs w:val="18"/>
        </w:rPr>
        <w:t>1 –</w:t>
      </w:r>
      <w:r w:rsidRPr="0014160F">
        <w:rPr>
          <w:szCs w:val="18"/>
        </w:rPr>
        <w:t xml:space="preserve"> 2 zástupci </w:t>
      </w:r>
      <w:r>
        <w:t>Oddělení metodiky fondů EU</w:t>
      </w:r>
      <w:r w:rsidR="00D22F4E">
        <w:t>, Oddělení monitoringu fondů EU</w:t>
      </w:r>
    </w:p>
    <w:p w14:paraId="149C9024" w14:textId="77777777" w:rsidR="008B26C3" w:rsidRPr="0014160F" w:rsidRDefault="008B26C3" w:rsidP="00320EA5">
      <w:pPr>
        <w:numPr>
          <w:ilvl w:val="1"/>
          <w:numId w:val="13"/>
        </w:numPr>
        <w:spacing w:after="120" w:line="240" w:lineRule="auto"/>
        <w:ind w:left="1418"/>
        <w:jc w:val="both"/>
        <w:rPr>
          <w:szCs w:val="18"/>
        </w:rPr>
      </w:pPr>
      <w:r>
        <w:t>1 – 2 zástupci Oddělení ekonomického hodnocení projektů</w:t>
      </w:r>
    </w:p>
    <w:p w14:paraId="555270CC" w14:textId="77777777" w:rsidR="008B26C3" w:rsidRPr="00626FBA" w:rsidRDefault="008B26C3" w:rsidP="00320EA5">
      <w:pPr>
        <w:numPr>
          <w:ilvl w:val="1"/>
          <w:numId w:val="13"/>
        </w:numPr>
        <w:spacing w:after="120" w:line="240" w:lineRule="auto"/>
        <w:ind w:left="1418"/>
        <w:jc w:val="both"/>
        <w:rPr>
          <w:szCs w:val="18"/>
        </w:rPr>
      </w:pPr>
      <w:r>
        <w:t xml:space="preserve">1 – 2 zástupci Odboru </w:t>
      </w:r>
      <w:r w:rsidR="00071760">
        <w:t xml:space="preserve">podpory fondů EU, Odboru </w:t>
      </w:r>
      <w:r>
        <w:t>koordinace fondů EU a regionálních kanceláří</w:t>
      </w:r>
      <w:r w:rsidR="00D22F4E">
        <w:t xml:space="preserve">, </w:t>
      </w:r>
    </w:p>
    <w:p w14:paraId="56BE1308" w14:textId="77777777" w:rsidR="00626FBA" w:rsidRPr="0014160F" w:rsidRDefault="00626FBA" w:rsidP="00320EA5">
      <w:pPr>
        <w:numPr>
          <w:ilvl w:val="1"/>
          <w:numId w:val="13"/>
        </w:numPr>
        <w:spacing w:after="120" w:line="240" w:lineRule="auto"/>
        <w:ind w:left="1418"/>
        <w:jc w:val="both"/>
        <w:rPr>
          <w:szCs w:val="18"/>
        </w:rPr>
      </w:pPr>
      <w:r>
        <w:t>1 – 2 zástupci Odboru právní, personální a ekonomický, Odboru vnitřní správy</w:t>
      </w:r>
    </w:p>
    <w:p w14:paraId="54ECFA57" w14:textId="77777777" w:rsidR="008B26C3" w:rsidRDefault="008B26C3" w:rsidP="00320EA5">
      <w:pPr>
        <w:numPr>
          <w:ilvl w:val="1"/>
          <w:numId w:val="13"/>
        </w:numPr>
        <w:spacing w:after="120" w:line="240" w:lineRule="auto"/>
        <w:ind w:left="1418"/>
        <w:jc w:val="both"/>
        <w:rPr>
          <w:szCs w:val="18"/>
        </w:rPr>
      </w:pPr>
      <w:r>
        <w:rPr>
          <w:szCs w:val="18"/>
        </w:rPr>
        <w:t>1 – 2</w:t>
      </w:r>
      <w:r w:rsidRPr="00817E90">
        <w:rPr>
          <w:szCs w:val="18"/>
        </w:rPr>
        <w:t xml:space="preserve"> zástupci ČMZRB</w:t>
      </w:r>
    </w:p>
    <w:p w14:paraId="224CACAE" w14:textId="77777777" w:rsidR="008B26C3" w:rsidRPr="009103BA" w:rsidRDefault="008B26C3" w:rsidP="00320EA5">
      <w:pPr>
        <w:numPr>
          <w:ilvl w:val="1"/>
          <w:numId w:val="13"/>
        </w:numPr>
        <w:spacing w:after="120" w:line="240" w:lineRule="auto"/>
        <w:ind w:left="1418"/>
        <w:jc w:val="both"/>
        <w:rPr>
          <w:szCs w:val="18"/>
        </w:rPr>
      </w:pPr>
      <w:r>
        <w:rPr>
          <w:szCs w:val="18"/>
        </w:rPr>
        <w:t xml:space="preserve">Ředitelky odborů v rámci </w:t>
      </w:r>
      <w:r>
        <w:t>Sekce řízení a podpory fondů EU API (pouze v případě potřeby)</w:t>
      </w:r>
    </w:p>
    <w:p w14:paraId="72895737" w14:textId="77777777" w:rsidR="00BE6A29" w:rsidRDefault="00BE6A29" w:rsidP="00BE6A29">
      <w:pPr>
        <w:spacing w:after="120" w:line="240" w:lineRule="auto"/>
        <w:jc w:val="both"/>
      </w:pPr>
      <w:r>
        <w:t xml:space="preserve">Individuální hloubkové rozhovory Dodavatel využije v kombinaci s dalšími evaluačními metodami v průběhu II. a III. etapy Projektu a při zodpovězení většiny evaluačních otázek v rámci všech evaluačních okruhů. </w:t>
      </w:r>
      <w:r w:rsidR="00D77C29">
        <w:rPr>
          <w:rFonts w:cs="Calibri"/>
        </w:rPr>
        <w:t xml:space="preserve">V rámci </w:t>
      </w:r>
      <w:r w:rsidR="006B17DE">
        <w:rPr>
          <w:rFonts w:cs="Calibri"/>
        </w:rPr>
        <w:t>nominace relevantních respondentů h</w:t>
      </w:r>
      <w:r w:rsidR="00D77C29">
        <w:rPr>
          <w:rFonts w:cs="Calibri"/>
        </w:rPr>
        <w:t xml:space="preserve">loubkových rozhovorů </w:t>
      </w:r>
      <w:r w:rsidR="006B17DE">
        <w:rPr>
          <w:rFonts w:cs="Calibri"/>
        </w:rPr>
        <w:t>Dodavatel zohlední</w:t>
      </w:r>
      <w:r w:rsidR="00D77C29">
        <w:rPr>
          <w:rFonts w:cs="Calibri"/>
        </w:rPr>
        <w:t xml:space="preserve"> rozdílné podmínky jednotlivých programů podpory OP PIK realizovaných formou dotace i finančními nástroji. U relevantních otázek </w:t>
      </w:r>
      <w:r w:rsidR="006B17DE">
        <w:rPr>
          <w:rFonts w:cs="Calibri"/>
        </w:rPr>
        <w:t>výzkum provede</w:t>
      </w:r>
      <w:r w:rsidR="00D77C29">
        <w:rPr>
          <w:rFonts w:cs="Calibri"/>
        </w:rPr>
        <w:t xml:space="preserve"> na úrovni jednotlivých programů podpory</w:t>
      </w:r>
      <w:r w:rsidR="006B17DE">
        <w:rPr>
          <w:rFonts w:cs="Calibri"/>
        </w:rPr>
        <w:t xml:space="preserve">, aby se výsledná syntéza </w:t>
      </w:r>
      <w:r w:rsidR="00C11920">
        <w:rPr>
          <w:rFonts w:cs="Calibri"/>
        </w:rPr>
        <w:t xml:space="preserve">za celý operační program zakládala na potřebné granularitě získaných dat. </w:t>
      </w:r>
    </w:p>
    <w:p w14:paraId="19E3C82D" w14:textId="77777777" w:rsidR="00800ACB" w:rsidRPr="00800ACB" w:rsidRDefault="00800ACB" w:rsidP="00800ACB">
      <w:pPr>
        <w:spacing w:before="240" w:after="120" w:line="240" w:lineRule="auto"/>
        <w:rPr>
          <w:b/>
          <w:color w:val="012169" w:themeColor="accent4"/>
        </w:rPr>
      </w:pPr>
      <w:r w:rsidRPr="00800ACB">
        <w:rPr>
          <w:b/>
          <w:color w:val="012169" w:themeColor="accent4"/>
        </w:rPr>
        <w:t>Dílčí harmonogram</w:t>
      </w:r>
    </w:p>
    <w:p w14:paraId="52832F1A" w14:textId="77777777" w:rsidR="00D84996" w:rsidRDefault="00D84996" w:rsidP="00D84996">
      <w:pPr>
        <w:spacing w:before="113" w:after="240" w:line="240" w:lineRule="auto"/>
        <w:jc w:val="both"/>
        <w:rPr>
          <w:szCs w:val="18"/>
        </w:rPr>
      </w:pPr>
      <w:r>
        <w:rPr>
          <w:szCs w:val="18"/>
        </w:rPr>
        <w:t xml:space="preserve">Harmonogram níže zobrazuje přehled kroků, které bude Dodavatel v rámci individuálních hloubkových rozhovorů realizovat, včetně požadované součinnosti ze strany Zadavatele a její odhadované náročnosti. </w:t>
      </w:r>
    </w:p>
    <w:p w14:paraId="0DB2E099" w14:textId="77777777" w:rsidR="00E61437" w:rsidRDefault="00E61437" w:rsidP="0028578A">
      <w:pPr>
        <w:pStyle w:val="Titulek"/>
        <w:jc w:val="center"/>
      </w:pPr>
      <w:bookmarkStart w:id="27" w:name="_Toc24384736"/>
      <w:r>
        <w:t xml:space="preserve">Tabulka </w:t>
      </w:r>
      <w:r>
        <w:fldChar w:fldCharType="begin"/>
      </w:r>
      <w:r>
        <w:instrText xml:space="preserve"> SEQ Tabulka \* ARABIC </w:instrText>
      </w:r>
      <w:r>
        <w:fldChar w:fldCharType="separate"/>
      </w:r>
      <w:r w:rsidR="00E93151">
        <w:rPr>
          <w:noProof/>
        </w:rPr>
        <w:t>10</w:t>
      </w:r>
      <w:r>
        <w:fldChar w:fldCharType="end"/>
      </w:r>
      <w:r w:rsidR="0028578A">
        <w:t>:</w:t>
      </w:r>
      <w:r>
        <w:t xml:space="preserve"> Harmonogram hloubkových rozhovorů</w:t>
      </w:r>
      <w:bookmarkEnd w:id="27"/>
    </w:p>
    <w:tbl>
      <w:tblPr>
        <w:tblStyle w:val="Deloittetable11"/>
        <w:tblW w:w="5000" w:type="pct"/>
        <w:tblCellMar>
          <w:top w:w="0" w:type="dxa"/>
          <w:left w:w="108" w:type="dxa"/>
          <w:bottom w:w="0" w:type="dxa"/>
          <w:right w:w="108" w:type="dxa"/>
        </w:tblCellMar>
        <w:tblLook w:val="04A0" w:firstRow="1" w:lastRow="0" w:firstColumn="1" w:lastColumn="0" w:noHBand="0" w:noVBand="1"/>
      </w:tblPr>
      <w:tblGrid>
        <w:gridCol w:w="451"/>
        <w:gridCol w:w="4786"/>
        <w:gridCol w:w="1702"/>
        <w:gridCol w:w="1609"/>
        <w:gridCol w:w="1544"/>
      </w:tblGrid>
      <w:tr w:rsidR="00800ACB" w:rsidRPr="00793EC0" w14:paraId="0D8D55E2" w14:textId="77777777" w:rsidTr="00AC4A07">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223" w:type="pct"/>
            <w:shd w:val="clear" w:color="auto" w:fill="92D050"/>
          </w:tcPr>
          <w:p w14:paraId="225F137E" w14:textId="77777777" w:rsidR="00800ACB" w:rsidRPr="00EC5AEF" w:rsidRDefault="00800ACB" w:rsidP="0031220A">
            <w:pPr>
              <w:rPr>
                <w:rFonts w:asciiTheme="majorHAnsi" w:hAnsiTheme="majorHAnsi" w:cs="Arial"/>
                <w:bCs/>
                <w:color w:val="FFFFFF" w:themeColor="background1"/>
                <w:szCs w:val="18"/>
                <w:lang w:eastAsia="cs-CZ"/>
              </w:rPr>
            </w:pPr>
            <w:r w:rsidRPr="00EC5AEF">
              <w:rPr>
                <w:rFonts w:eastAsia="Times New Roman" w:cs="Arial"/>
                <w:bCs/>
                <w:color w:val="FFFFFF" w:themeColor="background1"/>
                <w:szCs w:val="18"/>
                <w:lang w:eastAsia="cs-CZ"/>
              </w:rPr>
              <w:t>Č.</w:t>
            </w:r>
          </w:p>
        </w:tc>
        <w:tc>
          <w:tcPr>
            <w:tcW w:w="2371" w:type="pct"/>
            <w:shd w:val="clear" w:color="auto" w:fill="92D050"/>
          </w:tcPr>
          <w:p w14:paraId="347B8E4F" w14:textId="77777777" w:rsidR="00800ACB" w:rsidRPr="00EC5AEF" w:rsidRDefault="00800ACB" w:rsidP="0031220A">
            <w:pPr>
              <w:cnfStyle w:val="100000000000" w:firstRow="1" w:lastRow="0" w:firstColumn="0" w:lastColumn="0" w:oddVBand="0" w:evenVBand="0" w:oddHBand="0" w:evenHBand="0" w:firstRowFirstColumn="0" w:firstRowLastColumn="0" w:lastRowFirstColumn="0" w:lastRowLastColumn="0"/>
              <w:rPr>
                <w:rFonts w:asciiTheme="majorHAnsi" w:hAnsiTheme="majorHAnsi" w:cs="Arial"/>
                <w:bCs/>
                <w:color w:val="FFFFFF" w:themeColor="background1"/>
                <w:szCs w:val="18"/>
                <w:lang w:eastAsia="cs-CZ"/>
              </w:rPr>
            </w:pPr>
            <w:r w:rsidRPr="00EC5AEF">
              <w:rPr>
                <w:rFonts w:eastAsia="Times New Roman" w:cs="Arial"/>
                <w:bCs/>
                <w:color w:val="FFFFFF" w:themeColor="background1"/>
                <w:szCs w:val="18"/>
                <w:lang w:eastAsia="cs-CZ"/>
              </w:rPr>
              <w:t>Aktivita</w:t>
            </w:r>
          </w:p>
        </w:tc>
        <w:tc>
          <w:tcPr>
            <w:tcW w:w="843" w:type="pct"/>
            <w:shd w:val="clear" w:color="auto" w:fill="92D050"/>
          </w:tcPr>
          <w:p w14:paraId="030F35C2" w14:textId="77777777" w:rsidR="00800ACB" w:rsidRPr="00EC5AEF" w:rsidRDefault="00800ACB" w:rsidP="0031220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color w:val="FFFFFF" w:themeColor="background1"/>
                <w:szCs w:val="18"/>
                <w:lang w:eastAsia="cs-CZ"/>
              </w:rPr>
            </w:pPr>
            <w:r w:rsidRPr="00EC5AEF">
              <w:rPr>
                <w:rFonts w:eastAsia="Times New Roman" w:cs="Arial"/>
                <w:bCs/>
                <w:color w:val="FFFFFF" w:themeColor="background1"/>
                <w:szCs w:val="18"/>
                <w:lang w:eastAsia="cs-CZ"/>
              </w:rPr>
              <w:t>Odpovědnost</w:t>
            </w:r>
          </w:p>
        </w:tc>
        <w:tc>
          <w:tcPr>
            <w:tcW w:w="797" w:type="pct"/>
            <w:shd w:val="clear" w:color="auto" w:fill="92D050"/>
          </w:tcPr>
          <w:p w14:paraId="798E0AC5" w14:textId="77777777" w:rsidR="00800ACB" w:rsidRPr="00EC5AEF" w:rsidRDefault="00800ACB" w:rsidP="0031220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color w:val="FFFFFF" w:themeColor="background1"/>
                <w:szCs w:val="18"/>
                <w:lang w:eastAsia="cs-CZ"/>
              </w:rPr>
            </w:pPr>
            <w:r w:rsidRPr="00EC5AEF">
              <w:rPr>
                <w:rFonts w:eastAsia="Times New Roman" w:cs="Arial"/>
                <w:bCs/>
                <w:color w:val="FFFFFF" w:themeColor="background1"/>
                <w:szCs w:val="18"/>
                <w:lang w:eastAsia="cs-CZ"/>
              </w:rPr>
              <w:t>Termín (do)</w:t>
            </w:r>
          </w:p>
        </w:tc>
        <w:tc>
          <w:tcPr>
            <w:tcW w:w="765" w:type="pct"/>
            <w:tcBorders>
              <w:bottom w:val="single" w:sz="4" w:space="0" w:color="92D400"/>
            </w:tcBorders>
            <w:shd w:val="clear" w:color="auto" w:fill="92D050"/>
          </w:tcPr>
          <w:p w14:paraId="594029B8" w14:textId="77777777" w:rsidR="00800ACB" w:rsidRPr="00EC5AEF" w:rsidRDefault="00800ACB" w:rsidP="0031220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color w:val="FFFFFF" w:themeColor="background1"/>
                <w:szCs w:val="18"/>
                <w:lang w:eastAsia="cs-CZ"/>
              </w:rPr>
            </w:pPr>
            <w:r w:rsidRPr="00EC5AEF">
              <w:rPr>
                <w:rFonts w:eastAsia="Times New Roman" w:cs="Arial"/>
                <w:bCs/>
                <w:color w:val="FFFFFF" w:themeColor="background1"/>
                <w:szCs w:val="18"/>
                <w:lang w:eastAsia="cs-CZ"/>
              </w:rPr>
              <w:t>Náročnost</w:t>
            </w:r>
          </w:p>
        </w:tc>
      </w:tr>
      <w:tr w:rsidR="00BE6A29" w:rsidRPr="00793EC0" w14:paraId="5FE4377E" w14:textId="77777777" w:rsidTr="00D84996">
        <w:trPr>
          <w:trHeight w:val="340"/>
        </w:trPr>
        <w:tc>
          <w:tcPr>
            <w:cnfStyle w:val="001000000000" w:firstRow="0" w:lastRow="0" w:firstColumn="1" w:lastColumn="0" w:oddVBand="0" w:evenVBand="0" w:oddHBand="0" w:evenHBand="0" w:firstRowFirstColumn="0" w:firstRowLastColumn="0" w:lastRowFirstColumn="0" w:lastRowLastColumn="0"/>
            <w:tcW w:w="223" w:type="pct"/>
            <w:tcBorders>
              <w:top w:val="single" w:sz="4" w:space="0" w:color="92D400"/>
            </w:tcBorders>
            <w:vAlign w:val="center"/>
          </w:tcPr>
          <w:p w14:paraId="02247102" w14:textId="77777777" w:rsidR="00BE6A29" w:rsidRPr="00C62AF1" w:rsidRDefault="00BE6A29" w:rsidP="0031220A">
            <w:pPr>
              <w:rPr>
                <w:rFonts w:eastAsia="Times New Roman" w:cs="Calibri"/>
                <w:color w:val="000000"/>
                <w:szCs w:val="18"/>
                <w:lang w:eastAsia="cs-CZ"/>
              </w:rPr>
            </w:pPr>
            <w:r w:rsidRPr="00C62AF1">
              <w:rPr>
                <w:rFonts w:eastAsia="Times New Roman" w:cs="Calibri"/>
                <w:color w:val="000000"/>
                <w:szCs w:val="18"/>
                <w:lang w:eastAsia="cs-CZ"/>
              </w:rPr>
              <w:t>1</w:t>
            </w:r>
          </w:p>
        </w:tc>
        <w:tc>
          <w:tcPr>
            <w:tcW w:w="2371" w:type="pct"/>
            <w:tcBorders>
              <w:top w:val="single" w:sz="4" w:space="0" w:color="92D400"/>
            </w:tcBorders>
            <w:vAlign w:val="center"/>
          </w:tcPr>
          <w:p w14:paraId="4B100C27" w14:textId="77777777" w:rsidR="00BE6A29" w:rsidRPr="00C62AF1" w:rsidRDefault="00BE6A29" w:rsidP="0016699E">
            <w:pPr>
              <w:cnfStyle w:val="000000000000" w:firstRow="0" w:lastRow="0" w:firstColumn="0" w:lastColumn="0" w:oddVBand="0" w:evenVBand="0" w:oddHBand="0" w:evenHBand="0" w:firstRowFirstColumn="0" w:firstRowLastColumn="0" w:lastRowFirstColumn="0" w:lastRowLastColumn="0"/>
              <w:rPr>
                <w:color w:val="000000"/>
                <w:szCs w:val="18"/>
              </w:rPr>
            </w:pPr>
            <w:r w:rsidRPr="00C62AF1">
              <w:rPr>
                <w:color w:val="000000"/>
                <w:szCs w:val="18"/>
              </w:rPr>
              <w:t xml:space="preserve">Nominace garantů ev. okruhů </w:t>
            </w:r>
          </w:p>
        </w:tc>
        <w:tc>
          <w:tcPr>
            <w:tcW w:w="843" w:type="pct"/>
            <w:tcBorders>
              <w:top w:val="single" w:sz="4" w:space="0" w:color="92D400"/>
            </w:tcBorders>
            <w:vAlign w:val="center"/>
          </w:tcPr>
          <w:p w14:paraId="41AF1760" w14:textId="77777777" w:rsidR="00BE6A29" w:rsidRPr="00C62AF1" w:rsidRDefault="00BE6A29" w:rsidP="0031220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sidRPr="00C62AF1">
              <w:rPr>
                <w:rFonts w:eastAsia="Times New Roman" w:cs="Calibri"/>
                <w:color w:val="000000"/>
                <w:szCs w:val="18"/>
                <w:lang w:eastAsia="cs-CZ"/>
              </w:rPr>
              <w:t>MPO</w:t>
            </w:r>
          </w:p>
        </w:tc>
        <w:tc>
          <w:tcPr>
            <w:tcW w:w="797" w:type="pct"/>
            <w:tcBorders>
              <w:top w:val="single" w:sz="4" w:space="0" w:color="92D400"/>
            </w:tcBorders>
            <w:vAlign w:val="center"/>
          </w:tcPr>
          <w:p w14:paraId="75209B3C" w14:textId="77777777" w:rsidR="00BE6A29" w:rsidRPr="00C62AF1" w:rsidRDefault="00BE6A29" w:rsidP="0031220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sidRPr="00C62AF1">
              <w:rPr>
                <w:rFonts w:asciiTheme="majorHAnsi" w:hAnsiTheme="majorHAnsi" w:cs="Calibri"/>
                <w:color w:val="000000"/>
                <w:szCs w:val="18"/>
                <w:lang w:eastAsia="cs-CZ"/>
              </w:rPr>
              <w:t>11. 11. 2019</w:t>
            </w:r>
          </w:p>
        </w:tc>
        <w:tc>
          <w:tcPr>
            <w:tcW w:w="765" w:type="pct"/>
            <w:tcBorders>
              <w:top w:val="single" w:sz="4" w:space="0" w:color="92D400"/>
            </w:tcBorders>
            <w:shd w:val="clear" w:color="auto" w:fill="86BC25" w:themeFill="accent1"/>
            <w:vAlign w:val="center"/>
          </w:tcPr>
          <w:p w14:paraId="7EF03312" w14:textId="77777777" w:rsidR="00BE6A29" w:rsidRPr="00C62AF1" w:rsidRDefault="00BE6A29" w:rsidP="003122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p>
        </w:tc>
      </w:tr>
      <w:tr w:rsidR="00A5778C" w:rsidRPr="00793EC0" w14:paraId="29FB33F7" w14:textId="77777777" w:rsidTr="00D84996">
        <w:trPr>
          <w:trHeight w:val="340"/>
        </w:trPr>
        <w:tc>
          <w:tcPr>
            <w:cnfStyle w:val="001000000000" w:firstRow="0" w:lastRow="0" w:firstColumn="1" w:lastColumn="0" w:oddVBand="0" w:evenVBand="0" w:oddHBand="0" w:evenHBand="0" w:firstRowFirstColumn="0" w:firstRowLastColumn="0" w:lastRowFirstColumn="0" w:lastRowLastColumn="0"/>
            <w:tcW w:w="223" w:type="pct"/>
            <w:tcBorders>
              <w:top w:val="single" w:sz="4" w:space="0" w:color="92D400"/>
            </w:tcBorders>
            <w:vAlign w:val="center"/>
          </w:tcPr>
          <w:p w14:paraId="5131C3A6" w14:textId="77777777" w:rsidR="00A5778C" w:rsidRPr="00C62AF1" w:rsidRDefault="00A5778C" w:rsidP="0031220A">
            <w:pPr>
              <w:rPr>
                <w:rFonts w:eastAsia="Times New Roman" w:cs="Calibri"/>
                <w:color w:val="000000"/>
                <w:szCs w:val="18"/>
                <w:lang w:eastAsia="cs-CZ"/>
              </w:rPr>
            </w:pPr>
            <w:r>
              <w:rPr>
                <w:rFonts w:eastAsia="Times New Roman" w:cs="Calibri"/>
                <w:color w:val="000000"/>
                <w:szCs w:val="18"/>
                <w:lang w:eastAsia="cs-CZ"/>
              </w:rPr>
              <w:t>2</w:t>
            </w:r>
          </w:p>
        </w:tc>
        <w:tc>
          <w:tcPr>
            <w:tcW w:w="2371" w:type="pct"/>
            <w:tcBorders>
              <w:top w:val="single" w:sz="4" w:space="0" w:color="92D400"/>
            </w:tcBorders>
            <w:vAlign w:val="center"/>
          </w:tcPr>
          <w:p w14:paraId="7D2BA033" w14:textId="77777777" w:rsidR="00A5778C" w:rsidRPr="00C62AF1" w:rsidRDefault="00A5778C" w:rsidP="0016699E">
            <w:pPr>
              <w:cnfStyle w:val="000000000000" w:firstRow="0" w:lastRow="0" w:firstColumn="0" w:lastColumn="0" w:oddVBand="0" w:evenVBand="0" w:oddHBand="0" w:evenHBand="0" w:firstRowFirstColumn="0" w:firstRowLastColumn="0" w:lastRowFirstColumn="0" w:lastRowLastColumn="0"/>
              <w:rPr>
                <w:color w:val="000000"/>
                <w:szCs w:val="18"/>
              </w:rPr>
            </w:pPr>
            <w:r>
              <w:rPr>
                <w:color w:val="000000"/>
                <w:szCs w:val="18"/>
              </w:rPr>
              <w:t xml:space="preserve">Validace navržených </w:t>
            </w:r>
            <w:r w:rsidR="0016699E">
              <w:rPr>
                <w:color w:val="000000"/>
                <w:szCs w:val="18"/>
              </w:rPr>
              <w:t>respondentů</w:t>
            </w:r>
            <w:r>
              <w:rPr>
                <w:color w:val="000000"/>
                <w:szCs w:val="18"/>
              </w:rPr>
              <w:t xml:space="preserve"> </w:t>
            </w:r>
            <w:r w:rsidR="0016699E">
              <w:rPr>
                <w:color w:val="000000"/>
                <w:szCs w:val="18"/>
              </w:rPr>
              <w:t xml:space="preserve">(viz výše) </w:t>
            </w:r>
            <w:r>
              <w:rPr>
                <w:color w:val="000000"/>
                <w:szCs w:val="18"/>
              </w:rPr>
              <w:t>a</w:t>
            </w:r>
            <w:r w:rsidR="0016699E">
              <w:rPr>
                <w:color w:val="000000"/>
                <w:szCs w:val="18"/>
              </w:rPr>
              <w:t> </w:t>
            </w:r>
            <w:r>
              <w:rPr>
                <w:color w:val="000000"/>
                <w:szCs w:val="18"/>
              </w:rPr>
              <w:t xml:space="preserve">předání </w:t>
            </w:r>
            <w:r w:rsidR="00390A1D">
              <w:rPr>
                <w:color w:val="000000"/>
                <w:szCs w:val="18"/>
              </w:rPr>
              <w:t>kontaktů</w:t>
            </w:r>
          </w:p>
        </w:tc>
        <w:tc>
          <w:tcPr>
            <w:tcW w:w="843" w:type="pct"/>
            <w:tcBorders>
              <w:top w:val="single" w:sz="4" w:space="0" w:color="92D400"/>
            </w:tcBorders>
            <w:vAlign w:val="center"/>
          </w:tcPr>
          <w:p w14:paraId="0DADD01F" w14:textId="77777777" w:rsidR="00A5778C" w:rsidRPr="00C62AF1" w:rsidRDefault="00390A1D" w:rsidP="0031220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Pr>
                <w:rFonts w:eastAsia="Times New Roman" w:cs="Calibri"/>
                <w:color w:val="000000"/>
                <w:szCs w:val="18"/>
                <w:lang w:eastAsia="cs-CZ"/>
              </w:rPr>
              <w:t>MPO</w:t>
            </w:r>
          </w:p>
        </w:tc>
        <w:tc>
          <w:tcPr>
            <w:tcW w:w="797" w:type="pct"/>
            <w:tcBorders>
              <w:top w:val="single" w:sz="4" w:space="0" w:color="92D400"/>
            </w:tcBorders>
            <w:vAlign w:val="center"/>
          </w:tcPr>
          <w:p w14:paraId="6015F805" w14:textId="77777777" w:rsidR="00A5778C" w:rsidRPr="00C62AF1" w:rsidRDefault="00390A1D" w:rsidP="0031220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30. 11. 2019</w:t>
            </w:r>
          </w:p>
        </w:tc>
        <w:tc>
          <w:tcPr>
            <w:tcW w:w="765" w:type="pct"/>
            <w:tcBorders>
              <w:top w:val="single" w:sz="4" w:space="0" w:color="92D400"/>
            </w:tcBorders>
            <w:shd w:val="clear" w:color="auto" w:fill="86BC25" w:themeFill="accent1"/>
            <w:vAlign w:val="center"/>
          </w:tcPr>
          <w:p w14:paraId="45D8D1F3" w14:textId="77777777" w:rsidR="00A5778C" w:rsidRPr="00C62AF1" w:rsidRDefault="00A5778C" w:rsidP="003122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p>
        </w:tc>
      </w:tr>
      <w:tr w:rsidR="00800ACB" w:rsidRPr="00793EC0" w14:paraId="0EEDBA0C" w14:textId="77777777" w:rsidTr="00D84996">
        <w:trPr>
          <w:trHeight w:val="340"/>
        </w:trPr>
        <w:tc>
          <w:tcPr>
            <w:cnfStyle w:val="001000000000" w:firstRow="0" w:lastRow="0" w:firstColumn="1" w:lastColumn="0" w:oddVBand="0" w:evenVBand="0" w:oddHBand="0" w:evenHBand="0" w:firstRowFirstColumn="0" w:firstRowLastColumn="0" w:lastRowFirstColumn="0" w:lastRowLastColumn="0"/>
            <w:tcW w:w="223" w:type="pct"/>
            <w:tcBorders>
              <w:top w:val="single" w:sz="4" w:space="0" w:color="92D400"/>
            </w:tcBorders>
            <w:vAlign w:val="center"/>
          </w:tcPr>
          <w:p w14:paraId="250558A8" w14:textId="77777777" w:rsidR="00800ACB" w:rsidRPr="00C62AF1" w:rsidRDefault="00390A1D" w:rsidP="0031220A">
            <w:pPr>
              <w:rPr>
                <w:rFonts w:asciiTheme="majorHAnsi" w:hAnsiTheme="majorHAnsi" w:cs="Calibri"/>
                <w:color w:val="000000"/>
                <w:szCs w:val="18"/>
                <w:lang w:eastAsia="cs-CZ"/>
              </w:rPr>
            </w:pPr>
            <w:r>
              <w:rPr>
                <w:rFonts w:eastAsia="Times New Roman" w:cs="Calibri"/>
                <w:color w:val="000000"/>
                <w:szCs w:val="18"/>
                <w:lang w:eastAsia="cs-CZ"/>
              </w:rPr>
              <w:t>3</w:t>
            </w:r>
          </w:p>
        </w:tc>
        <w:tc>
          <w:tcPr>
            <w:tcW w:w="2371" w:type="pct"/>
            <w:tcBorders>
              <w:top w:val="single" w:sz="4" w:space="0" w:color="92D400"/>
            </w:tcBorders>
            <w:vAlign w:val="center"/>
          </w:tcPr>
          <w:p w14:paraId="5926FB46" w14:textId="77777777" w:rsidR="00800ACB" w:rsidRPr="00C62AF1" w:rsidRDefault="00800ACB" w:rsidP="0016699E">
            <w:pPr>
              <w:cnfStyle w:val="000000000000" w:firstRow="0" w:lastRow="0" w:firstColumn="0" w:lastColumn="0" w:oddVBand="0" w:evenVBand="0" w:oddHBand="0" w:evenHBand="0" w:firstRowFirstColumn="0" w:firstRowLastColumn="0" w:lastRowFirstColumn="0" w:lastRowLastColumn="0"/>
              <w:rPr>
                <w:color w:val="000000"/>
                <w:szCs w:val="18"/>
              </w:rPr>
            </w:pPr>
            <w:r w:rsidRPr="00C62AF1">
              <w:rPr>
                <w:color w:val="000000"/>
                <w:szCs w:val="18"/>
              </w:rPr>
              <w:t xml:space="preserve">Návrh scénáře rozhovorů </w:t>
            </w:r>
          </w:p>
        </w:tc>
        <w:tc>
          <w:tcPr>
            <w:tcW w:w="843" w:type="pct"/>
            <w:tcBorders>
              <w:top w:val="single" w:sz="4" w:space="0" w:color="92D400"/>
            </w:tcBorders>
            <w:vAlign w:val="center"/>
          </w:tcPr>
          <w:p w14:paraId="478288E4" w14:textId="77777777" w:rsidR="00800ACB" w:rsidRPr="00C62AF1" w:rsidRDefault="00800ACB" w:rsidP="0031220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sidRPr="00C62AF1">
              <w:rPr>
                <w:rFonts w:eastAsia="Times New Roman" w:cs="Calibri"/>
                <w:color w:val="000000"/>
                <w:szCs w:val="18"/>
                <w:lang w:eastAsia="cs-CZ"/>
              </w:rPr>
              <w:t>Deloitte</w:t>
            </w:r>
          </w:p>
        </w:tc>
        <w:tc>
          <w:tcPr>
            <w:tcW w:w="797" w:type="pct"/>
            <w:tcBorders>
              <w:top w:val="single" w:sz="4" w:space="0" w:color="92D400"/>
            </w:tcBorders>
            <w:vAlign w:val="center"/>
          </w:tcPr>
          <w:p w14:paraId="75CA7235" w14:textId="77777777" w:rsidR="00800ACB" w:rsidRPr="00C62AF1" w:rsidRDefault="00C62AF1" w:rsidP="0031220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sidRPr="00C62AF1">
              <w:rPr>
                <w:rFonts w:asciiTheme="majorHAnsi" w:hAnsiTheme="majorHAnsi" w:cs="Calibri"/>
                <w:color w:val="000000"/>
                <w:szCs w:val="18"/>
                <w:lang w:eastAsia="cs-CZ"/>
              </w:rPr>
              <w:t>30</w:t>
            </w:r>
            <w:r w:rsidR="00800ACB" w:rsidRPr="00C62AF1">
              <w:rPr>
                <w:rFonts w:asciiTheme="majorHAnsi" w:hAnsiTheme="majorHAnsi" w:cs="Calibri"/>
                <w:color w:val="000000"/>
                <w:szCs w:val="18"/>
                <w:lang w:eastAsia="cs-CZ"/>
              </w:rPr>
              <w:t>. 11. 2019</w:t>
            </w:r>
          </w:p>
        </w:tc>
        <w:tc>
          <w:tcPr>
            <w:tcW w:w="765" w:type="pct"/>
            <w:tcBorders>
              <w:top w:val="single" w:sz="4" w:space="0" w:color="92D400"/>
            </w:tcBorders>
            <w:shd w:val="clear" w:color="auto" w:fill="auto"/>
            <w:vAlign w:val="center"/>
          </w:tcPr>
          <w:p w14:paraId="728C6438" w14:textId="77777777" w:rsidR="00800ACB" w:rsidRPr="00C62AF1" w:rsidRDefault="00800ACB" w:rsidP="003122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p>
        </w:tc>
      </w:tr>
      <w:tr w:rsidR="00800ACB" w:rsidRPr="00793EC0" w14:paraId="1DBD13FE" w14:textId="77777777" w:rsidTr="00D84996">
        <w:trPr>
          <w:trHeight w:val="340"/>
        </w:trPr>
        <w:tc>
          <w:tcPr>
            <w:cnfStyle w:val="001000000000" w:firstRow="0" w:lastRow="0" w:firstColumn="1" w:lastColumn="0" w:oddVBand="0" w:evenVBand="0" w:oddHBand="0" w:evenHBand="0" w:firstRowFirstColumn="0" w:firstRowLastColumn="0" w:lastRowFirstColumn="0" w:lastRowLastColumn="0"/>
            <w:tcW w:w="223" w:type="pct"/>
            <w:tcBorders>
              <w:top w:val="single" w:sz="4" w:space="0" w:color="92D400"/>
            </w:tcBorders>
            <w:vAlign w:val="center"/>
          </w:tcPr>
          <w:p w14:paraId="51072205" w14:textId="77777777" w:rsidR="00800ACB" w:rsidRPr="00C62AF1" w:rsidRDefault="00390A1D" w:rsidP="0031220A">
            <w:pPr>
              <w:rPr>
                <w:rFonts w:asciiTheme="majorHAnsi" w:hAnsiTheme="majorHAnsi" w:cs="Calibri"/>
                <w:color w:val="000000"/>
                <w:szCs w:val="18"/>
                <w:lang w:eastAsia="cs-CZ"/>
              </w:rPr>
            </w:pPr>
            <w:r>
              <w:rPr>
                <w:rFonts w:eastAsia="Times New Roman" w:cs="Calibri"/>
                <w:color w:val="000000"/>
                <w:szCs w:val="18"/>
                <w:lang w:eastAsia="cs-CZ"/>
              </w:rPr>
              <w:t>4</w:t>
            </w:r>
          </w:p>
        </w:tc>
        <w:tc>
          <w:tcPr>
            <w:tcW w:w="2371" w:type="pct"/>
            <w:tcBorders>
              <w:top w:val="single" w:sz="4" w:space="0" w:color="92D400"/>
            </w:tcBorders>
            <w:vAlign w:val="center"/>
          </w:tcPr>
          <w:p w14:paraId="19B0F47B" w14:textId="77777777" w:rsidR="00800ACB" w:rsidRPr="00C62AF1" w:rsidRDefault="00800ACB" w:rsidP="0016699E">
            <w:pPr>
              <w:cnfStyle w:val="000000000000" w:firstRow="0" w:lastRow="0" w:firstColumn="0" w:lastColumn="0" w:oddVBand="0" w:evenVBand="0" w:oddHBand="0" w:evenHBand="0" w:firstRowFirstColumn="0" w:firstRowLastColumn="0" w:lastRowFirstColumn="0" w:lastRowLastColumn="0"/>
              <w:rPr>
                <w:color w:val="000000"/>
                <w:szCs w:val="18"/>
              </w:rPr>
            </w:pPr>
            <w:r w:rsidRPr="00C62AF1">
              <w:rPr>
                <w:color w:val="000000"/>
                <w:szCs w:val="18"/>
              </w:rPr>
              <w:t xml:space="preserve">Validace </w:t>
            </w:r>
            <w:r w:rsidR="00BE6A29" w:rsidRPr="00C62AF1">
              <w:rPr>
                <w:color w:val="000000"/>
                <w:szCs w:val="18"/>
              </w:rPr>
              <w:t xml:space="preserve">scénářů rozhovorů </w:t>
            </w:r>
          </w:p>
        </w:tc>
        <w:tc>
          <w:tcPr>
            <w:tcW w:w="843" w:type="pct"/>
            <w:tcBorders>
              <w:top w:val="single" w:sz="4" w:space="0" w:color="92D400"/>
            </w:tcBorders>
            <w:vAlign w:val="center"/>
          </w:tcPr>
          <w:p w14:paraId="349FE448" w14:textId="77777777" w:rsidR="00800ACB" w:rsidRPr="00C62AF1" w:rsidRDefault="00800ACB" w:rsidP="0031220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sidRPr="00C62AF1">
              <w:rPr>
                <w:rFonts w:eastAsia="Times New Roman" w:cs="Calibri"/>
                <w:color w:val="000000"/>
                <w:szCs w:val="18"/>
                <w:lang w:eastAsia="cs-CZ"/>
              </w:rPr>
              <w:t>MPO</w:t>
            </w:r>
          </w:p>
        </w:tc>
        <w:tc>
          <w:tcPr>
            <w:tcW w:w="797" w:type="pct"/>
            <w:tcBorders>
              <w:top w:val="single" w:sz="4" w:space="0" w:color="92D400"/>
            </w:tcBorders>
            <w:vAlign w:val="center"/>
          </w:tcPr>
          <w:p w14:paraId="75057093" w14:textId="77777777" w:rsidR="00800ACB" w:rsidRPr="00C62AF1" w:rsidRDefault="00C62AF1" w:rsidP="0031220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sidRPr="00C62AF1">
              <w:rPr>
                <w:rFonts w:asciiTheme="majorHAnsi" w:hAnsiTheme="majorHAnsi" w:cs="Calibri"/>
                <w:color w:val="000000"/>
                <w:szCs w:val="18"/>
                <w:lang w:eastAsia="cs-CZ"/>
              </w:rPr>
              <w:t>15. 12</w:t>
            </w:r>
            <w:r w:rsidR="00800ACB" w:rsidRPr="00C62AF1">
              <w:rPr>
                <w:rFonts w:asciiTheme="majorHAnsi" w:hAnsiTheme="majorHAnsi" w:cs="Calibri"/>
                <w:color w:val="000000"/>
                <w:szCs w:val="18"/>
                <w:lang w:eastAsia="cs-CZ"/>
              </w:rPr>
              <w:t>. 2019</w:t>
            </w:r>
          </w:p>
        </w:tc>
        <w:tc>
          <w:tcPr>
            <w:tcW w:w="765" w:type="pct"/>
            <w:tcBorders>
              <w:top w:val="single" w:sz="4" w:space="0" w:color="92D400"/>
              <w:bottom w:val="single" w:sz="4" w:space="0" w:color="92D400"/>
            </w:tcBorders>
            <w:shd w:val="clear" w:color="auto" w:fill="FFC000"/>
            <w:vAlign w:val="center"/>
          </w:tcPr>
          <w:p w14:paraId="6CBCB01C" w14:textId="77777777" w:rsidR="00800ACB" w:rsidRPr="00C62AF1" w:rsidRDefault="00800ACB" w:rsidP="003122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p>
        </w:tc>
      </w:tr>
      <w:tr w:rsidR="00DB7330" w:rsidRPr="00793EC0" w14:paraId="1A8DE905" w14:textId="77777777" w:rsidTr="00D84996">
        <w:trPr>
          <w:trHeight w:val="340"/>
        </w:trPr>
        <w:tc>
          <w:tcPr>
            <w:cnfStyle w:val="001000000000" w:firstRow="0" w:lastRow="0" w:firstColumn="1" w:lastColumn="0" w:oddVBand="0" w:evenVBand="0" w:oddHBand="0" w:evenHBand="0" w:firstRowFirstColumn="0" w:firstRowLastColumn="0" w:lastRowFirstColumn="0" w:lastRowLastColumn="0"/>
            <w:tcW w:w="223" w:type="pct"/>
            <w:tcBorders>
              <w:top w:val="single" w:sz="4" w:space="0" w:color="92D400"/>
            </w:tcBorders>
            <w:vAlign w:val="center"/>
          </w:tcPr>
          <w:p w14:paraId="79B4A773" w14:textId="77777777" w:rsidR="00DB7330" w:rsidRDefault="00390A1D" w:rsidP="0031220A">
            <w:pPr>
              <w:rPr>
                <w:rFonts w:eastAsia="Times New Roman" w:cs="Calibri"/>
                <w:color w:val="000000"/>
                <w:szCs w:val="18"/>
                <w:lang w:eastAsia="cs-CZ"/>
              </w:rPr>
            </w:pPr>
            <w:r>
              <w:rPr>
                <w:rFonts w:eastAsia="Times New Roman" w:cs="Calibri"/>
                <w:color w:val="000000"/>
                <w:szCs w:val="18"/>
                <w:lang w:eastAsia="cs-CZ"/>
              </w:rPr>
              <w:t>5</w:t>
            </w:r>
          </w:p>
        </w:tc>
        <w:tc>
          <w:tcPr>
            <w:tcW w:w="2371" w:type="pct"/>
            <w:tcBorders>
              <w:top w:val="single" w:sz="4" w:space="0" w:color="92D400"/>
            </w:tcBorders>
            <w:vAlign w:val="center"/>
          </w:tcPr>
          <w:p w14:paraId="2288DF1D" w14:textId="77777777" w:rsidR="00DB7330" w:rsidRPr="00C62AF1" w:rsidRDefault="00DB7330" w:rsidP="0031220A">
            <w:pPr>
              <w:cnfStyle w:val="000000000000" w:firstRow="0" w:lastRow="0" w:firstColumn="0" w:lastColumn="0" w:oddVBand="0" w:evenVBand="0" w:oddHBand="0" w:evenHBand="0" w:firstRowFirstColumn="0" w:firstRowLastColumn="0" w:lastRowFirstColumn="0" w:lastRowLastColumn="0"/>
              <w:rPr>
                <w:color w:val="000000"/>
                <w:szCs w:val="18"/>
              </w:rPr>
            </w:pPr>
            <w:r>
              <w:rPr>
                <w:color w:val="000000"/>
                <w:szCs w:val="18"/>
              </w:rPr>
              <w:t>Příprava pověřovacího dopisu MPO</w:t>
            </w:r>
          </w:p>
        </w:tc>
        <w:tc>
          <w:tcPr>
            <w:tcW w:w="843" w:type="pct"/>
            <w:tcBorders>
              <w:top w:val="single" w:sz="4" w:space="0" w:color="92D400"/>
            </w:tcBorders>
            <w:vAlign w:val="center"/>
          </w:tcPr>
          <w:p w14:paraId="77E42A95" w14:textId="77777777" w:rsidR="00DB7330" w:rsidRPr="00C62AF1" w:rsidRDefault="00DB7330" w:rsidP="0031220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Pr>
                <w:rFonts w:eastAsia="Times New Roman" w:cs="Calibri"/>
                <w:color w:val="000000"/>
                <w:szCs w:val="18"/>
                <w:lang w:eastAsia="cs-CZ"/>
              </w:rPr>
              <w:t>MPO</w:t>
            </w:r>
          </w:p>
        </w:tc>
        <w:tc>
          <w:tcPr>
            <w:tcW w:w="797" w:type="pct"/>
            <w:tcBorders>
              <w:top w:val="single" w:sz="4" w:space="0" w:color="92D400"/>
            </w:tcBorders>
            <w:vAlign w:val="center"/>
          </w:tcPr>
          <w:p w14:paraId="0742882C" w14:textId="77777777" w:rsidR="00DB7330" w:rsidRPr="00C62AF1" w:rsidRDefault="00DB7330" w:rsidP="0031220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30. 11. 2019</w:t>
            </w:r>
          </w:p>
        </w:tc>
        <w:tc>
          <w:tcPr>
            <w:tcW w:w="765" w:type="pct"/>
            <w:tcBorders>
              <w:top w:val="single" w:sz="4" w:space="0" w:color="92D400"/>
              <w:bottom w:val="single" w:sz="4" w:space="0" w:color="92D400"/>
            </w:tcBorders>
            <w:shd w:val="clear" w:color="auto" w:fill="FFC000"/>
            <w:vAlign w:val="center"/>
          </w:tcPr>
          <w:p w14:paraId="1E6EC525" w14:textId="77777777" w:rsidR="00DB7330" w:rsidRPr="00C62AF1" w:rsidRDefault="00DB7330" w:rsidP="003122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p>
        </w:tc>
      </w:tr>
      <w:tr w:rsidR="00800ACB" w:rsidRPr="00793EC0" w14:paraId="55D9B9F0" w14:textId="77777777" w:rsidTr="00D84996">
        <w:trPr>
          <w:trHeight w:val="340"/>
        </w:trPr>
        <w:tc>
          <w:tcPr>
            <w:cnfStyle w:val="001000000000" w:firstRow="0" w:lastRow="0" w:firstColumn="1" w:lastColumn="0" w:oddVBand="0" w:evenVBand="0" w:oddHBand="0" w:evenHBand="0" w:firstRowFirstColumn="0" w:firstRowLastColumn="0" w:lastRowFirstColumn="0" w:lastRowLastColumn="0"/>
            <w:tcW w:w="223" w:type="pct"/>
            <w:tcBorders>
              <w:top w:val="single" w:sz="4" w:space="0" w:color="92D400"/>
              <w:bottom w:val="single" w:sz="4" w:space="0" w:color="92D400"/>
            </w:tcBorders>
            <w:vAlign w:val="center"/>
          </w:tcPr>
          <w:p w14:paraId="513130B8" w14:textId="77777777" w:rsidR="00800ACB" w:rsidRPr="00C62AF1" w:rsidRDefault="00390A1D" w:rsidP="0031220A">
            <w:pPr>
              <w:rPr>
                <w:rFonts w:eastAsia="Times New Roman" w:cs="Calibri"/>
                <w:color w:val="000000"/>
                <w:szCs w:val="18"/>
                <w:lang w:eastAsia="cs-CZ"/>
              </w:rPr>
            </w:pPr>
            <w:r>
              <w:rPr>
                <w:rFonts w:eastAsia="Times New Roman" w:cs="Calibri"/>
                <w:color w:val="000000"/>
                <w:szCs w:val="18"/>
                <w:lang w:eastAsia="cs-CZ"/>
              </w:rPr>
              <w:t>6</w:t>
            </w:r>
          </w:p>
        </w:tc>
        <w:tc>
          <w:tcPr>
            <w:tcW w:w="2371" w:type="pct"/>
            <w:tcBorders>
              <w:top w:val="single" w:sz="4" w:space="0" w:color="92D400"/>
              <w:bottom w:val="single" w:sz="4" w:space="0" w:color="92D400"/>
            </w:tcBorders>
            <w:vAlign w:val="center"/>
          </w:tcPr>
          <w:p w14:paraId="6726DCC1" w14:textId="77777777" w:rsidR="00800ACB" w:rsidRPr="00C62AF1" w:rsidRDefault="00800ACB" w:rsidP="00B35C43">
            <w:pPr>
              <w:cnfStyle w:val="000000000000" w:firstRow="0" w:lastRow="0" w:firstColumn="0" w:lastColumn="0" w:oddVBand="0" w:evenVBand="0" w:oddHBand="0" w:evenHBand="0" w:firstRowFirstColumn="0" w:firstRowLastColumn="0" w:lastRowFirstColumn="0" w:lastRowLastColumn="0"/>
              <w:rPr>
                <w:color w:val="000000"/>
                <w:szCs w:val="18"/>
              </w:rPr>
            </w:pPr>
            <w:r w:rsidRPr="00C62AF1">
              <w:rPr>
                <w:color w:val="000000"/>
                <w:szCs w:val="18"/>
              </w:rPr>
              <w:t xml:space="preserve">Oslovení </w:t>
            </w:r>
            <w:r w:rsidR="00817E90" w:rsidRPr="00C62AF1">
              <w:rPr>
                <w:color w:val="000000"/>
                <w:szCs w:val="18"/>
              </w:rPr>
              <w:t>respondentů</w:t>
            </w:r>
            <w:r w:rsidR="00060038" w:rsidRPr="00C62AF1">
              <w:rPr>
                <w:color w:val="000000"/>
                <w:szCs w:val="18"/>
              </w:rPr>
              <w:t xml:space="preserve"> v rámci II. etapy</w:t>
            </w:r>
          </w:p>
        </w:tc>
        <w:tc>
          <w:tcPr>
            <w:tcW w:w="843" w:type="pct"/>
            <w:tcBorders>
              <w:top w:val="single" w:sz="4" w:space="0" w:color="92D400"/>
              <w:bottom w:val="single" w:sz="4" w:space="0" w:color="92D400"/>
            </w:tcBorders>
            <w:vAlign w:val="center"/>
          </w:tcPr>
          <w:p w14:paraId="58EFD71E" w14:textId="77777777" w:rsidR="00800ACB" w:rsidRPr="00C62AF1" w:rsidRDefault="00800ACB" w:rsidP="0031220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sidRPr="00C62AF1">
              <w:rPr>
                <w:rFonts w:eastAsia="Times New Roman" w:cs="Calibri"/>
                <w:color w:val="000000"/>
                <w:szCs w:val="18"/>
                <w:lang w:eastAsia="cs-CZ"/>
              </w:rPr>
              <w:t>Deloitte</w:t>
            </w:r>
          </w:p>
        </w:tc>
        <w:tc>
          <w:tcPr>
            <w:tcW w:w="797" w:type="pct"/>
            <w:tcBorders>
              <w:top w:val="single" w:sz="4" w:space="0" w:color="92D400"/>
              <w:bottom w:val="single" w:sz="4" w:space="0" w:color="92D400"/>
            </w:tcBorders>
            <w:vAlign w:val="center"/>
          </w:tcPr>
          <w:p w14:paraId="041C6F2C" w14:textId="77777777" w:rsidR="00800ACB" w:rsidRPr="00C62AF1" w:rsidRDefault="00800ACB" w:rsidP="0031220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sidRPr="00C62AF1">
              <w:rPr>
                <w:rFonts w:asciiTheme="majorHAnsi" w:hAnsiTheme="majorHAnsi" w:cs="Calibri"/>
                <w:color w:val="000000"/>
                <w:szCs w:val="18"/>
                <w:lang w:eastAsia="cs-CZ"/>
              </w:rPr>
              <w:t>9. 1. 2020</w:t>
            </w:r>
          </w:p>
        </w:tc>
        <w:tc>
          <w:tcPr>
            <w:tcW w:w="765" w:type="pct"/>
            <w:tcBorders>
              <w:top w:val="single" w:sz="4" w:space="0" w:color="92D400"/>
              <w:bottom w:val="single" w:sz="4" w:space="0" w:color="92D400"/>
            </w:tcBorders>
            <w:shd w:val="clear" w:color="auto" w:fill="auto"/>
            <w:vAlign w:val="center"/>
          </w:tcPr>
          <w:p w14:paraId="51E19338" w14:textId="77777777" w:rsidR="00800ACB" w:rsidRPr="00C62AF1" w:rsidRDefault="00800ACB" w:rsidP="003122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p>
        </w:tc>
      </w:tr>
      <w:tr w:rsidR="00800ACB" w:rsidRPr="00793EC0" w14:paraId="5729449E" w14:textId="77777777" w:rsidTr="00D84996">
        <w:trPr>
          <w:trHeight w:val="340"/>
        </w:trPr>
        <w:tc>
          <w:tcPr>
            <w:cnfStyle w:val="001000000000" w:firstRow="0" w:lastRow="0" w:firstColumn="1" w:lastColumn="0" w:oddVBand="0" w:evenVBand="0" w:oddHBand="0" w:evenHBand="0" w:firstRowFirstColumn="0" w:firstRowLastColumn="0" w:lastRowFirstColumn="0" w:lastRowLastColumn="0"/>
            <w:tcW w:w="223" w:type="pct"/>
            <w:tcBorders>
              <w:top w:val="single" w:sz="4" w:space="0" w:color="92D400"/>
              <w:bottom w:val="single" w:sz="4" w:space="0" w:color="92D400"/>
            </w:tcBorders>
            <w:vAlign w:val="center"/>
          </w:tcPr>
          <w:p w14:paraId="1CBF09ED" w14:textId="77777777" w:rsidR="00800ACB" w:rsidRPr="00C62AF1" w:rsidRDefault="00390A1D" w:rsidP="0031220A">
            <w:pPr>
              <w:rPr>
                <w:rFonts w:eastAsia="Times New Roman" w:cs="Calibri"/>
                <w:color w:val="000000"/>
                <w:szCs w:val="18"/>
                <w:lang w:eastAsia="cs-CZ"/>
              </w:rPr>
            </w:pPr>
            <w:r>
              <w:rPr>
                <w:rFonts w:eastAsia="Times New Roman" w:cs="Calibri"/>
                <w:color w:val="000000"/>
                <w:szCs w:val="18"/>
                <w:lang w:eastAsia="cs-CZ"/>
              </w:rPr>
              <w:t>7</w:t>
            </w:r>
          </w:p>
        </w:tc>
        <w:tc>
          <w:tcPr>
            <w:tcW w:w="2371" w:type="pct"/>
            <w:tcBorders>
              <w:top w:val="single" w:sz="4" w:space="0" w:color="92D400"/>
              <w:bottom w:val="single" w:sz="4" w:space="0" w:color="92D400"/>
            </w:tcBorders>
            <w:vAlign w:val="center"/>
          </w:tcPr>
          <w:p w14:paraId="67EC857D" w14:textId="77777777" w:rsidR="00800ACB" w:rsidRPr="00C62AF1" w:rsidRDefault="00800ACB" w:rsidP="0031220A">
            <w:pPr>
              <w:cnfStyle w:val="000000000000" w:firstRow="0" w:lastRow="0" w:firstColumn="0" w:lastColumn="0" w:oddVBand="0" w:evenVBand="0" w:oddHBand="0" w:evenHBand="0" w:firstRowFirstColumn="0" w:firstRowLastColumn="0" w:lastRowFirstColumn="0" w:lastRowLastColumn="0"/>
              <w:rPr>
                <w:color w:val="000000"/>
                <w:szCs w:val="18"/>
              </w:rPr>
            </w:pPr>
            <w:r w:rsidRPr="00C62AF1">
              <w:rPr>
                <w:color w:val="000000"/>
                <w:szCs w:val="18"/>
              </w:rPr>
              <w:t>Realizace rozhovorů</w:t>
            </w:r>
            <w:r w:rsidR="00060038" w:rsidRPr="00C62AF1">
              <w:rPr>
                <w:color w:val="000000"/>
                <w:szCs w:val="18"/>
              </w:rPr>
              <w:t xml:space="preserve"> v rámci II. etapy</w:t>
            </w:r>
          </w:p>
        </w:tc>
        <w:tc>
          <w:tcPr>
            <w:tcW w:w="843" w:type="pct"/>
            <w:tcBorders>
              <w:top w:val="single" w:sz="4" w:space="0" w:color="92D400"/>
              <w:bottom w:val="single" w:sz="4" w:space="0" w:color="92D400"/>
            </w:tcBorders>
            <w:vAlign w:val="center"/>
          </w:tcPr>
          <w:p w14:paraId="77C9F5AE" w14:textId="77777777" w:rsidR="00800ACB" w:rsidRPr="00C62AF1" w:rsidRDefault="00800ACB" w:rsidP="0031220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sidRPr="00C62AF1">
              <w:rPr>
                <w:rFonts w:eastAsia="Times New Roman" w:cs="Calibri"/>
                <w:color w:val="000000"/>
                <w:szCs w:val="18"/>
                <w:lang w:eastAsia="cs-CZ"/>
              </w:rPr>
              <w:t>Deloitte</w:t>
            </w:r>
          </w:p>
        </w:tc>
        <w:tc>
          <w:tcPr>
            <w:tcW w:w="797" w:type="pct"/>
            <w:tcBorders>
              <w:top w:val="single" w:sz="4" w:space="0" w:color="92D400"/>
              <w:bottom w:val="single" w:sz="4" w:space="0" w:color="92D400"/>
            </w:tcBorders>
            <w:vAlign w:val="center"/>
          </w:tcPr>
          <w:p w14:paraId="19E31C49" w14:textId="77777777" w:rsidR="00800ACB" w:rsidRPr="00C62AF1" w:rsidRDefault="00060038" w:rsidP="0006003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sidRPr="00C62AF1">
              <w:rPr>
                <w:rFonts w:asciiTheme="majorHAnsi" w:hAnsiTheme="majorHAnsi" w:cs="Calibri"/>
                <w:color w:val="000000"/>
                <w:szCs w:val="18"/>
                <w:lang w:eastAsia="cs-CZ"/>
              </w:rPr>
              <w:t>7</w:t>
            </w:r>
            <w:r w:rsidR="00800ACB" w:rsidRPr="00C62AF1">
              <w:rPr>
                <w:rFonts w:asciiTheme="majorHAnsi" w:hAnsiTheme="majorHAnsi" w:cs="Calibri"/>
                <w:color w:val="000000"/>
                <w:szCs w:val="18"/>
                <w:lang w:eastAsia="cs-CZ"/>
              </w:rPr>
              <w:t xml:space="preserve">. </w:t>
            </w:r>
            <w:r w:rsidRPr="00C62AF1">
              <w:rPr>
                <w:rFonts w:asciiTheme="majorHAnsi" w:hAnsiTheme="majorHAnsi" w:cs="Calibri"/>
                <w:color w:val="000000"/>
                <w:szCs w:val="18"/>
                <w:lang w:eastAsia="cs-CZ"/>
              </w:rPr>
              <w:t>2</w:t>
            </w:r>
            <w:r w:rsidR="00800ACB" w:rsidRPr="00C62AF1">
              <w:rPr>
                <w:rFonts w:asciiTheme="majorHAnsi" w:hAnsiTheme="majorHAnsi" w:cs="Calibri"/>
                <w:color w:val="000000"/>
                <w:szCs w:val="18"/>
                <w:lang w:eastAsia="cs-CZ"/>
              </w:rPr>
              <w:t>. 2020</w:t>
            </w:r>
          </w:p>
        </w:tc>
        <w:tc>
          <w:tcPr>
            <w:tcW w:w="765" w:type="pct"/>
            <w:tcBorders>
              <w:top w:val="single" w:sz="4" w:space="0" w:color="92D400"/>
              <w:bottom w:val="single" w:sz="4" w:space="0" w:color="92D400"/>
            </w:tcBorders>
            <w:shd w:val="clear" w:color="auto" w:fill="auto"/>
            <w:vAlign w:val="center"/>
          </w:tcPr>
          <w:p w14:paraId="38C0CA9A" w14:textId="77777777" w:rsidR="00800ACB" w:rsidRPr="00C62AF1" w:rsidRDefault="00800ACB" w:rsidP="003122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p>
        </w:tc>
      </w:tr>
      <w:tr w:rsidR="00060038" w:rsidRPr="00793EC0" w14:paraId="25531A5B" w14:textId="77777777" w:rsidTr="00D84996">
        <w:trPr>
          <w:trHeight w:val="340"/>
        </w:trPr>
        <w:tc>
          <w:tcPr>
            <w:cnfStyle w:val="001000000000" w:firstRow="0" w:lastRow="0" w:firstColumn="1" w:lastColumn="0" w:oddVBand="0" w:evenVBand="0" w:oddHBand="0" w:evenHBand="0" w:firstRowFirstColumn="0" w:firstRowLastColumn="0" w:lastRowFirstColumn="0" w:lastRowLastColumn="0"/>
            <w:tcW w:w="223" w:type="pct"/>
            <w:tcBorders>
              <w:top w:val="single" w:sz="4" w:space="0" w:color="92D400"/>
              <w:bottom w:val="single" w:sz="4" w:space="0" w:color="92D400"/>
            </w:tcBorders>
            <w:vAlign w:val="center"/>
          </w:tcPr>
          <w:p w14:paraId="653A56F5" w14:textId="77777777" w:rsidR="00060038" w:rsidRPr="00EC5AEF" w:rsidRDefault="00390A1D" w:rsidP="0031220A">
            <w:pPr>
              <w:rPr>
                <w:rFonts w:eastAsia="Times New Roman" w:cs="Calibri"/>
                <w:color w:val="000000"/>
                <w:szCs w:val="18"/>
                <w:lang w:eastAsia="cs-CZ"/>
              </w:rPr>
            </w:pPr>
            <w:r>
              <w:rPr>
                <w:rFonts w:eastAsia="Times New Roman" w:cs="Calibri"/>
                <w:color w:val="000000"/>
                <w:szCs w:val="18"/>
                <w:lang w:eastAsia="cs-CZ"/>
              </w:rPr>
              <w:t>8</w:t>
            </w:r>
          </w:p>
        </w:tc>
        <w:tc>
          <w:tcPr>
            <w:tcW w:w="2371" w:type="pct"/>
            <w:tcBorders>
              <w:top w:val="single" w:sz="4" w:space="0" w:color="92D400"/>
              <w:bottom w:val="single" w:sz="4" w:space="0" w:color="92D400"/>
            </w:tcBorders>
            <w:vAlign w:val="center"/>
          </w:tcPr>
          <w:p w14:paraId="0A26F4FC" w14:textId="77777777" w:rsidR="00060038" w:rsidRPr="00EC5AEF" w:rsidRDefault="00060038" w:rsidP="00817E90">
            <w:pPr>
              <w:cnfStyle w:val="000000000000" w:firstRow="0" w:lastRow="0" w:firstColumn="0" w:lastColumn="0" w:oddVBand="0" w:evenVBand="0" w:oddHBand="0" w:evenHBand="0" w:firstRowFirstColumn="0" w:firstRowLastColumn="0" w:lastRowFirstColumn="0" w:lastRowLastColumn="0"/>
              <w:rPr>
                <w:color w:val="000000"/>
                <w:szCs w:val="18"/>
              </w:rPr>
            </w:pPr>
            <w:r>
              <w:rPr>
                <w:color w:val="000000"/>
                <w:szCs w:val="18"/>
              </w:rPr>
              <w:t xml:space="preserve">Oslovení </w:t>
            </w:r>
            <w:r w:rsidR="00817E90">
              <w:rPr>
                <w:color w:val="000000"/>
                <w:szCs w:val="18"/>
              </w:rPr>
              <w:t>respondentů</w:t>
            </w:r>
            <w:r>
              <w:rPr>
                <w:color w:val="000000"/>
                <w:szCs w:val="18"/>
              </w:rPr>
              <w:t xml:space="preserve"> v rámci III. etapy</w:t>
            </w:r>
            <w:r w:rsidR="00913BC8">
              <w:rPr>
                <w:color w:val="000000"/>
                <w:szCs w:val="18"/>
              </w:rPr>
              <w:t xml:space="preserve"> (realizováno ve dvou bězích)</w:t>
            </w:r>
          </w:p>
        </w:tc>
        <w:tc>
          <w:tcPr>
            <w:tcW w:w="843" w:type="pct"/>
            <w:tcBorders>
              <w:top w:val="single" w:sz="4" w:space="0" w:color="92D400"/>
              <w:bottom w:val="single" w:sz="4" w:space="0" w:color="92D400"/>
            </w:tcBorders>
            <w:vAlign w:val="center"/>
          </w:tcPr>
          <w:p w14:paraId="13912451" w14:textId="77777777" w:rsidR="00060038" w:rsidRPr="00EC5AEF" w:rsidRDefault="00060038" w:rsidP="0031220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sidRPr="00EC5AEF">
              <w:rPr>
                <w:rFonts w:eastAsia="Times New Roman" w:cs="Calibri"/>
                <w:color w:val="000000"/>
                <w:szCs w:val="18"/>
                <w:lang w:eastAsia="cs-CZ"/>
              </w:rPr>
              <w:t>Deloitte</w:t>
            </w:r>
          </w:p>
        </w:tc>
        <w:tc>
          <w:tcPr>
            <w:tcW w:w="797" w:type="pct"/>
            <w:tcBorders>
              <w:top w:val="single" w:sz="4" w:space="0" w:color="92D400"/>
              <w:bottom w:val="single" w:sz="4" w:space="0" w:color="92D400"/>
            </w:tcBorders>
            <w:vAlign w:val="center"/>
          </w:tcPr>
          <w:p w14:paraId="422AF6D1" w14:textId="77777777" w:rsidR="00060038" w:rsidRDefault="00060038" w:rsidP="0006003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12. 3. 2020</w:t>
            </w:r>
          </w:p>
          <w:p w14:paraId="054B7D08" w14:textId="77777777" w:rsidR="00060038" w:rsidDel="00060038" w:rsidRDefault="00060038" w:rsidP="0006003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7. 5. 2020</w:t>
            </w:r>
          </w:p>
        </w:tc>
        <w:tc>
          <w:tcPr>
            <w:tcW w:w="765" w:type="pct"/>
            <w:tcBorders>
              <w:top w:val="single" w:sz="4" w:space="0" w:color="92D400"/>
              <w:bottom w:val="single" w:sz="4" w:space="0" w:color="92D400"/>
            </w:tcBorders>
            <w:shd w:val="clear" w:color="auto" w:fill="auto"/>
            <w:vAlign w:val="center"/>
          </w:tcPr>
          <w:p w14:paraId="3C084BDC" w14:textId="77777777" w:rsidR="00060038" w:rsidRPr="00EC5AEF" w:rsidRDefault="00060038" w:rsidP="003122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p>
        </w:tc>
      </w:tr>
      <w:tr w:rsidR="00060038" w:rsidRPr="00793EC0" w14:paraId="297F577E" w14:textId="77777777" w:rsidTr="00D84996">
        <w:trPr>
          <w:trHeight w:val="340"/>
        </w:trPr>
        <w:tc>
          <w:tcPr>
            <w:cnfStyle w:val="001000000000" w:firstRow="0" w:lastRow="0" w:firstColumn="1" w:lastColumn="0" w:oddVBand="0" w:evenVBand="0" w:oddHBand="0" w:evenHBand="0" w:firstRowFirstColumn="0" w:firstRowLastColumn="0" w:lastRowFirstColumn="0" w:lastRowLastColumn="0"/>
            <w:tcW w:w="223" w:type="pct"/>
            <w:tcBorders>
              <w:top w:val="single" w:sz="4" w:space="0" w:color="92D400"/>
              <w:bottom w:val="single" w:sz="4" w:space="0" w:color="92D400"/>
            </w:tcBorders>
            <w:vAlign w:val="center"/>
          </w:tcPr>
          <w:p w14:paraId="0026C9F6" w14:textId="77777777" w:rsidR="00060038" w:rsidRPr="00EC5AEF" w:rsidRDefault="00390A1D" w:rsidP="0031220A">
            <w:pPr>
              <w:rPr>
                <w:rFonts w:eastAsia="Times New Roman" w:cs="Calibri"/>
                <w:color w:val="000000"/>
                <w:szCs w:val="18"/>
                <w:lang w:eastAsia="cs-CZ"/>
              </w:rPr>
            </w:pPr>
            <w:r>
              <w:rPr>
                <w:rFonts w:eastAsia="Times New Roman" w:cs="Calibri"/>
                <w:color w:val="000000"/>
                <w:szCs w:val="18"/>
                <w:lang w:eastAsia="cs-CZ"/>
              </w:rPr>
              <w:t>9</w:t>
            </w:r>
          </w:p>
        </w:tc>
        <w:tc>
          <w:tcPr>
            <w:tcW w:w="2371" w:type="pct"/>
            <w:tcBorders>
              <w:top w:val="single" w:sz="4" w:space="0" w:color="92D400"/>
              <w:bottom w:val="single" w:sz="4" w:space="0" w:color="92D400"/>
            </w:tcBorders>
            <w:vAlign w:val="center"/>
          </w:tcPr>
          <w:p w14:paraId="6B1E9EFB" w14:textId="77777777" w:rsidR="00060038" w:rsidRPr="00EC5AEF" w:rsidRDefault="00060038" w:rsidP="0031220A">
            <w:pPr>
              <w:cnfStyle w:val="000000000000" w:firstRow="0" w:lastRow="0" w:firstColumn="0" w:lastColumn="0" w:oddVBand="0" w:evenVBand="0" w:oddHBand="0" w:evenHBand="0" w:firstRowFirstColumn="0" w:firstRowLastColumn="0" w:lastRowFirstColumn="0" w:lastRowLastColumn="0"/>
              <w:rPr>
                <w:color w:val="000000"/>
                <w:szCs w:val="18"/>
              </w:rPr>
            </w:pPr>
            <w:r w:rsidRPr="00EC5AEF">
              <w:rPr>
                <w:color w:val="000000"/>
                <w:szCs w:val="18"/>
              </w:rPr>
              <w:t>Realizace rozhovorů</w:t>
            </w:r>
            <w:r>
              <w:rPr>
                <w:color w:val="000000"/>
                <w:szCs w:val="18"/>
              </w:rPr>
              <w:t xml:space="preserve"> v rámci III. etapy</w:t>
            </w:r>
            <w:r w:rsidR="00913BC8">
              <w:rPr>
                <w:color w:val="000000"/>
                <w:szCs w:val="18"/>
              </w:rPr>
              <w:t xml:space="preserve"> (realizováno ve dvou bězích)</w:t>
            </w:r>
          </w:p>
        </w:tc>
        <w:tc>
          <w:tcPr>
            <w:tcW w:w="843" w:type="pct"/>
            <w:tcBorders>
              <w:top w:val="single" w:sz="4" w:space="0" w:color="92D400"/>
              <w:bottom w:val="single" w:sz="4" w:space="0" w:color="92D400"/>
            </w:tcBorders>
            <w:vAlign w:val="center"/>
          </w:tcPr>
          <w:p w14:paraId="10C6015E" w14:textId="77777777" w:rsidR="00060038" w:rsidRPr="00EC5AEF" w:rsidRDefault="00060038" w:rsidP="0031220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sidRPr="00EC5AEF">
              <w:rPr>
                <w:rFonts w:eastAsia="Times New Roman" w:cs="Calibri"/>
                <w:color w:val="000000"/>
                <w:szCs w:val="18"/>
                <w:lang w:eastAsia="cs-CZ"/>
              </w:rPr>
              <w:t>Deloitte</w:t>
            </w:r>
          </w:p>
        </w:tc>
        <w:tc>
          <w:tcPr>
            <w:tcW w:w="797" w:type="pct"/>
            <w:tcBorders>
              <w:top w:val="single" w:sz="4" w:space="0" w:color="92D400"/>
              <w:bottom w:val="single" w:sz="4" w:space="0" w:color="92D400"/>
            </w:tcBorders>
            <w:vAlign w:val="center"/>
          </w:tcPr>
          <w:p w14:paraId="172F3084" w14:textId="77777777" w:rsidR="00060038" w:rsidRDefault="00060038" w:rsidP="0006003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3. 4. 2020</w:t>
            </w:r>
          </w:p>
          <w:p w14:paraId="086508BB" w14:textId="77777777" w:rsidR="00060038" w:rsidDel="00060038" w:rsidRDefault="00060038" w:rsidP="0006003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19. 6. 2020</w:t>
            </w:r>
          </w:p>
        </w:tc>
        <w:tc>
          <w:tcPr>
            <w:tcW w:w="765" w:type="pct"/>
            <w:tcBorders>
              <w:top w:val="single" w:sz="4" w:space="0" w:color="92D400"/>
              <w:bottom w:val="single" w:sz="4" w:space="0" w:color="92D400"/>
            </w:tcBorders>
            <w:shd w:val="clear" w:color="auto" w:fill="auto"/>
            <w:vAlign w:val="center"/>
          </w:tcPr>
          <w:p w14:paraId="270C9A11" w14:textId="77777777" w:rsidR="00060038" w:rsidRPr="00EC5AEF" w:rsidRDefault="00060038" w:rsidP="0031220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p>
        </w:tc>
      </w:tr>
    </w:tbl>
    <w:p w14:paraId="154C4408" w14:textId="0F6D283E" w:rsidR="00AC4A07" w:rsidRDefault="00AC4A07" w:rsidP="00800ACB"/>
    <w:p w14:paraId="69AD7B82" w14:textId="77777777" w:rsidR="00AC4A07" w:rsidRDefault="00AC4A07">
      <w:r>
        <w:br w:type="page"/>
      </w:r>
    </w:p>
    <w:p w14:paraId="29DAB6C8" w14:textId="77777777" w:rsidR="00483311" w:rsidRDefault="00483311" w:rsidP="00D84996">
      <w:pPr>
        <w:pStyle w:val="Nadpis2"/>
        <w:ind w:hanging="720"/>
      </w:pPr>
      <w:bookmarkStart w:id="28" w:name="_Toc25228652"/>
      <w:r>
        <w:lastRenderedPageBreak/>
        <w:t>Fokusní skupin</w:t>
      </w:r>
      <w:r w:rsidR="00617123">
        <w:t>a</w:t>
      </w:r>
      <w:bookmarkEnd w:id="28"/>
    </w:p>
    <w:p w14:paraId="46A2E242" w14:textId="77777777" w:rsidR="00483311" w:rsidRPr="00CE7B5B" w:rsidRDefault="00483311" w:rsidP="00CE7B5B">
      <w:pPr>
        <w:spacing w:before="240" w:after="120" w:line="240" w:lineRule="auto"/>
        <w:rPr>
          <w:b/>
          <w:color w:val="012169" w:themeColor="accent4"/>
        </w:rPr>
      </w:pPr>
      <w:r w:rsidRPr="00CE7B5B">
        <w:rPr>
          <w:b/>
          <w:color w:val="012169" w:themeColor="accent4"/>
        </w:rPr>
        <w:t>Způsob realizace</w:t>
      </w:r>
    </w:p>
    <w:p w14:paraId="71CEE261" w14:textId="77777777" w:rsidR="006F0768" w:rsidRDefault="008272B2" w:rsidP="006F0768">
      <w:pPr>
        <w:spacing w:after="120" w:line="240" w:lineRule="auto"/>
        <w:jc w:val="both"/>
      </w:pPr>
      <w:r w:rsidRPr="008272B2">
        <w:t>Po dohodě se Zadavatelem na kick-off jednání zrealizuje Dodavatel fokusní skupinu</w:t>
      </w:r>
      <w:r w:rsidR="006F0768">
        <w:t xml:space="preserve"> (dále také „FS“)</w:t>
      </w:r>
      <w:r w:rsidRPr="008272B2">
        <w:t xml:space="preserve"> </w:t>
      </w:r>
      <w:r w:rsidR="00131C27" w:rsidRPr="00CE7B5B">
        <w:rPr>
          <w:b/>
        </w:rPr>
        <w:t>se</w:t>
      </w:r>
      <w:r w:rsidRPr="00CE7B5B">
        <w:rPr>
          <w:b/>
        </w:rPr>
        <w:t xml:space="preserve"> žadatel</w:t>
      </w:r>
      <w:r w:rsidR="00131C27" w:rsidRPr="00CE7B5B">
        <w:rPr>
          <w:b/>
        </w:rPr>
        <w:t>i</w:t>
      </w:r>
      <w:r w:rsidRPr="00CE7B5B">
        <w:rPr>
          <w:b/>
        </w:rPr>
        <w:t xml:space="preserve"> a příjemc</w:t>
      </w:r>
      <w:r w:rsidR="00131C27" w:rsidRPr="00CE7B5B">
        <w:rPr>
          <w:b/>
        </w:rPr>
        <w:t>i</w:t>
      </w:r>
      <w:r w:rsidR="00131C27">
        <w:t xml:space="preserve"> podpory z OP PIK</w:t>
      </w:r>
      <w:r w:rsidR="0000536E">
        <w:t xml:space="preserve">. Původně navrhovanou </w:t>
      </w:r>
      <w:r w:rsidR="00131C27">
        <w:t>f</w:t>
      </w:r>
      <w:r w:rsidRPr="008272B2">
        <w:t>okusní skupin</w:t>
      </w:r>
      <w:r w:rsidR="00131C27">
        <w:t>u</w:t>
      </w:r>
      <w:r w:rsidRPr="008272B2">
        <w:t xml:space="preserve"> </w:t>
      </w:r>
      <w:r w:rsidR="00A8003C" w:rsidRPr="00CE7B5B">
        <w:rPr>
          <w:b/>
        </w:rPr>
        <w:t>s pracovníky implementační struktury</w:t>
      </w:r>
      <w:r w:rsidR="0000536E">
        <w:rPr>
          <w:b/>
        </w:rPr>
        <w:t xml:space="preserve"> </w:t>
      </w:r>
      <w:r w:rsidR="0000536E">
        <w:t>Zpracovatel kvůli duplicitě účastníků a jejich časovému vytížení navrhuje spojit s expertním panelem</w:t>
      </w:r>
      <w:r w:rsidR="00A8003C">
        <w:t xml:space="preserve">. </w:t>
      </w:r>
      <w:r w:rsidR="006F0768">
        <w:t>Cílem FS je bližší diskuze relevantních témat (v souladu s požadavky jednotlivých EO) a doplnění a prohloubení poznatků získaných v rámci dotazníkového šetření</w:t>
      </w:r>
      <w:r w:rsidR="00617123">
        <w:t xml:space="preserve"> a individuálních rozhovorů</w:t>
      </w:r>
      <w:r w:rsidR="006F0768">
        <w:t>.</w:t>
      </w:r>
    </w:p>
    <w:p w14:paraId="28CF8C5D" w14:textId="77777777" w:rsidR="006F0768" w:rsidRDefault="006F0768" w:rsidP="006F0768">
      <w:pPr>
        <w:spacing w:after="120" w:line="240" w:lineRule="auto"/>
        <w:jc w:val="both"/>
      </w:pPr>
      <w:r>
        <w:t xml:space="preserve">Metodu FS zvolil </w:t>
      </w:r>
      <w:r w:rsidR="00DF08EE">
        <w:t>Dodavatel</w:t>
      </w:r>
      <w:r>
        <w:t xml:space="preserve"> především kvůli možnosti účastníků diskutovat dané téma a vzájemně na sebe reagovat, což umožní lepší pochopení a interpretaci zjištění ze sekundárních analýz</w:t>
      </w:r>
      <w:r w:rsidR="00B45855">
        <w:t xml:space="preserve">, </w:t>
      </w:r>
      <w:r w:rsidR="00617123">
        <w:t>IHR a </w:t>
      </w:r>
      <w:r>
        <w:t>DŠ.</w:t>
      </w:r>
    </w:p>
    <w:p w14:paraId="3D489FA1" w14:textId="77777777" w:rsidR="00A8003C" w:rsidRDefault="008272B2" w:rsidP="00A8003C">
      <w:pPr>
        <w:spacing w:after="120" w:line="240" w:lineRule="auto"/>
        <w:jc w:val="both"/>
      </w:pPr>
      <w:r>
        <w:t>Fokusní skupin</w:t>
      </w:r>
      <w:r w:rsidR="00953575">
        <w:t>a</w:t>
      </w:r>
      <w:r>
        <w:t xml:space="preserve"> </w:t>
      </w:r>
      <w:r w:rsidR="00953575">
        <w:t xml:space="preserve">bude </w:t>
      </w:r>
      <w:r>
        <w:t>využit</w:t>
      </w:r>
      <w:r w:rsidR="00953575">
        <w:t>a</w:t>
      </w:r>
      <w:r>
        <w:t xml:space="preserve"> zejména </w:t>
      </w:r>
      <w:r w:rsidR="00A8003C">
        <w:t xml:space="preserve">k zodpovězení evaluačních </w:t>
      </w:r>
      <w:r>
        <w:t>otáz</w:t>
      </w:r>
      <w:r w:rsidR="00A8003C">
        <w:t>e</w:t>
      </w:r>
      <w:r>
        <w:t>k</w:t>
      </w:r>
      <w:r w:rsidR="00A8003C">
        <w:t xml:space="preserve"> zjišťujících pohled, zkušenosti či hodnocení</w:t>
      </w:r>
      <w:r w:rsidR="00FB704B">
        <w:t xml:space="preserve"> ze strany žadatelů a příjemců</w:t>
      </w:r>
      <w:r w:rsidR="00A8003C">
        <w:t>:</w:t>
      </w:r>
    </w:p>
    <w:p w14:paraId="2620C725" w14:textId="77777777" w:rsidR="00A8003C" w:rsidRPr="00B45855" w:rsidRDefault="00617123" w:rsidP="00CE7B5B">
      <w:pPr>
        <w:pStyle w:val="Odstavecseseznamem"/>
        <w:numPr>
          <w:ilvl w:val="0"/>
          <w:numId w:val="15"/>
        </w:numPr>
        <w:spacing w:after="120" w:line="240" w:lineRule="auto"/>
        <w:ind w:left="709" w:hanging="357"/>
        <w:contextualSpacing w:val="0"/>
        <w:jc w:val="both"/>
      </w:pPr>
      <w:r>
        <w:t>Metodického prostředí;</w:t>
      </w:r>
    </w:p>
    <w:p w14:paraId="5284A03F" w14:textId="77777777" w:rsidR="00A8003C" w:rsidRPr="00B45855" w:rsidRDefault="00617123" w:rsidP="00CE7B5B">
      <w:pPr>
        <w:pStyle w:val="Odstavecseseznamem"/>
        <w:numPr>
          <w:ilvl w:val="0"/>
          <w:numId w:val="15"/>
        </w:numPr>
        <w:spacing w:after="120" w:line="240" w:lineRule="auto"/>
        <w:ind w:left="709" w:hanging="357"/>
        <w:contextualSpacing w:val="0"/>
        <w:jc w:val="both"/>
      </w:pPr>
      <w:r>
        <w:t>Implementačních procesů;</w:t>
      </w:r>
    </w:p>
    <w:p w14:paraId="45046781" w14:textId="77777777" w:rsidR="00A8003C" w:rsidRPr="00B45855" w:rsidRDefault="00A8003C" w:rsidP="00CE7B5B">
      <w:pPr>
        <w:pStyle w:val="Odstavecseseznamem"/>
        <w:numPr>
          <w:ilvl w:val="0"/>
          <w:numId w:val="15"/>
        </w:numPr>
        <w:spacing w:after="120" w:line="240" w:lineRule="auto"/>
        <w:ind w:left="709" w:hanging="357"/>
        <w:contextualSpacing w:val="0"/>
        <w:jc w:val="both"/>
      </w:pPr>
      <w:r>
        <w:t>Komunikace mezi ŽaP a pracovníky OP PIK</w:t>
      </w:r>
      <w:r w:rsidR="00617123">
        <w:t>;</w:t>
      </w:r>
      <w:r>
        <w:t xml:space="preserve"> a</w:t>
      </w:r>
    </w:p>
    <w:p w14:paraId="550398CD" w14:textId="77777777" w:rsidR="00A8003C" w:rsidRPr="00B45855" w:rsidRDefault="00A8003C" w:rsidP="00CE7B5B">
      <w:pPr>
        <w:pStyle w:val="Odstavecseseznamem"/>
        <w:numPr>
          <w:ilvl w:val="0"/>
          <w:numId w:val="15"/>
        </w:numPr>
        <w:spacing w:after="120" w:line="240" w:lineRule="auto"/>
        <w:ind w:left="709" w:hanging="357"/>
        <w:contextualSpacing w:val="0"/>
        <w:jc w:val="both"/>
      </w:pPr>
      <w:r>
        <w:t>Kontrol ze strany pracovníků OP PIK</w:t>
      </w:r>
      <w:r w:rsidR="00617123">
        <w:t>;</w:t>
      </w:r>
    </w:p>
    <w:p w14:paraId="0609E19E" w14:textId="77777777" w:rsidR="00A8003C" w:rsidRPr="00D84996" w:rsidRDefault="00A8003C" w:rsidP="00A8003C">
      <w:pPr>
        <w:spacing w:after="120" w:line="240" w:lineRule="auto"/>
        <w:jc w:val="both"/>
      </w:pPr>
      <w:r>
        <w:t xml:space="preserve">V rámci </w:t>
      </w:r>
      <w:r w:rsidR="0028578A">
        <w:t>FS</w:t>
      </w:r>
      <w:r>
        <w:t xml:space="preserve"> by tak měly být zcela </w:t>
      </w:r>
      <w:r w:rsidR="00617123">
        <w:t xml:space="preserve">či částečně zodpovězeny následující </w:t>
      </w:r>
      <w:r w:rsidRPr="00D84996">
        <w:t>evaluační otázky (konkrétní znění otázek je součástí kapitoly 4.1.1. Výběr evaluačních metod pro realizaci Projektu):</w:t>
      </w:r>
    </w:p>
    <w:p w14:paraId="44212884" w14:textId="77777777" w:rsidR="00A8003C" w:rsidRPr="00F57E36" w:rsidRDefault="00A8003C" w:rsidP="00A8003C">
      <w:pPr>
        <w:pStyle w:val="Odstavecseseznamem"/>
        <w:numPr>
          <w:ilvl w:val="0"/>
          <w:numId w:val="15"/>
        </w:numPr>
        <w:spacing w:after="120" w:line="240" w:lineRule="auto"/>
        <w:ind w:left="709" w:hanging="357"/>
        <w:contextualSpacing w:val="0"/>
        <w:jc w:val="both"/>
      </w:pPr>
      <w:r>
        <w:t>Evaluační o</w:t>
      </w:r>
      <w:r w:rsidRPr="00F57E36">
        <w:t xml:space="preserve">kruh A: otázky </w:t>
      </w:r>
      <w:r w:rsidR="007B5C5A">
        <w:t>1, 2, 5 a 7</w:t>
      </w:r>
    </w:p>
    <w:p w14:paraId="471C19AF" w14:textId="77777777" w:rsidR="00A8003C" w:rsidRPr="00F57E36" w:rsidRDefault="00A8003C" w:rsidP="00A8003C">
      <w:pPr>
        <w:pStyle w:val="Odstavecseseznamem"/>
        <w:numPr>
          <w:ilvl w:val="0"/>
          <w:numId w:val="15"/>
        </w:numPr>
        <w:spacing w:after="120" w:line="240" w:lineRule="auto"/>
        <w:ind w:left="709" w:hanging="357"/>
        <w:contextualSpacing w:val="0"/>
        <w:jc w:val="both"/>
      </w:pPr>
      <w:r>
        <w:t>Evaluační</w:t>
      </w:r>
      <w:r w:rsidRPr="00F57E36">
        <w:t xml:space="preserve"> </w:t>
      </w:r>
      <w:r>
        <w:t>o</w:t>
      </w:r>
      <w:r w:rsidRPr="00F57E36">
        <w:t xml:space="preserve">kruh B: otázky </w:t>
      </w:r>
      <w:r w:rsidR="007B5C5A">
        <w:t>1, 3, 4, 6, 9, 10 a 11</w:t>
      </w:r>
    </w:p>
    <w:p w14:paraId="1C121E3A" w14:textId="77777777" w:rsidR="00A8003C" w:rsidRPr="00F57E36" w:rsidRDefault="00A8003C" w:rsidP="00A8003C">
      <w:pPr>
        <w:pStyle w:val="Odstavecseseznamem"/>
        <w:numPr>
          <w:ilvl w:val="0"/>
          <w:numId w:val="15"/>
        </w:numPr>
        <w:spacing w:after="120" w:line="240" w:lineRule="auto"/>
        <w:ind w:left="709" w:hanging="357"/>
        <w:contextualSpacing w:val="0"/>
        <w:jc w:val="both"/>
      </w:pPr>
      <w:r>
        <w:t>Evaluační</w:t>
      </w:r>
      <w:r w:rsidRPr="00F57E36">
        <w:t xml:space="preserve"> </w:t>
      </w:r>
      <w:r>
        <w:t>o</w:t>
      </w:r>
      <w:r w:rsidRPr="00F57E36">
        <w:t xml:space="preserve">kruh C: otázky </w:t>
      </w:r>
      <w:r w:rsidR="007B5C5A">
        <w:t>5, 6, 7 a 8</w:t>
      </w:r>
    </w:p>
    <w:p w14:paraId="7E1E4DC4" w14:textId="77777777" w:rsidR="008272B2" w:rsidRDefault="00A8003C" w:rsidP="00CE7B5B">
      <w:pPr>
        <w:pStyle w:val="Odstavecseseznamem"/>
        <w:numPr>
          <w:ilvl w:val="0"/>
          <w:numId w:val="15"/>
        </w:numPr>
        <w:spacing w:after="120" w:line="240" w:lineRule="auto"/>
        <w:ind w:left="709" w:hanging="357"/>
        <w:contextualSpacing w:val="0"/>
        <w:jc w:val="both"/>
      </w:pPr>
      <w:r>
        <w:t>Evaluační</w:t>
      </w:r>
      <w:r w:rsidRPr="00F57E36">
        <w:t xml:space="preserve"> </w:t>
      </w:r>
      <w:r>
        <w:t>o</w:t>
      </w:r>
      <w:r w:rsidRPr="00F57E36">
        <w:t xml:space="preserve">kruh D: otázky </w:t>
      </w:r>
      <w:r w:rsidR="007B5C5A">
        <w:t>2</w:t>
      </w:r>
    </w:p>
    <w:p w14:paraId="6B9A48F8" w14:textId="77777777" w:rsidR="00363DA0" w:rsidRPr="00CE7B5B" w:rsidRDefault="00363DA0" w:rsidP="00CE7B5B">
      <w:pPr>
        <w:spacing w:before="240" w:after="120" w:line="240" w:lineRule="auto"/>
        <w:rPr>
          <w:b/>
          <w:color w:val="012169" w:themeColor="accent4"/>
        </w:rPr>
      </w:pPr>
      <w:r w:rsidRPr="00CE7B5B">
        <w:rPr>
          <w:b/>
          <w:color w:val="012169" w:themeColor="accent4"/>
        </w:rPr>
        <w:t>Účastníci</w:t>
      </w:r>
    </w:p>
    <w:p w14:paraId="18EE3A2C" w14:textId="48DDCF09" w:rsidR="00363DA0" w:rsidRDefault="00363DA0" w:rsidP="00CE7B5B">
      <w:pPr>
        <w:spacing w:after="120" w:line="240" w:lineRule="auto"/>
        <w:jc w:val="both"/>
      </w:pPr>
      <w:r w:rsidRPr="00363DA0">
        <w:t>Účastníky</w:t>
      </w:r>
      <w:r w:rsidR="006F0768">
        <w:t xml:space="preserve"> </w:t>
      </w:r>
      <w:r w:rsidRPr="00363DA0">
        <w:t>budou zástupci žadatelů a příjemců všech prioritních os OP PIK (kromě technické asistence)</w:t>
      </w:r>
      <w:r w:rsidR="006F0768">
        <w:t>, přičemž v</w:t>
      </w:r>
      <w:r>
        <w:t xml:space="preserve">ýběr bude proveden náhodně z kontaktů v MS2014+ a bude validován se Zadavatelem. </w:t>
      </w:r>
      <w:r w:rsidR="00A00405">
        <w:t>Dodavatel n</w:t>
      </w:r>
      <w:r w:rsidR="00A00405" w:rsidRPr="00B07104">
        <w:t xml:space="preserve">avrhuje </w:t>
      </w:r>
      <w:r w:rsidR="00A00405">
        <w:t>účast 2 zástupců žadatelů/příjemců pro každ</w:t>
      </w:r>
      <w:r w:rsidR="00282470">
        <w:t xml:space="preserve">ou </w:t>
      </w:r>
      <w:r w:rsidR="00F601BD">
        <w:t>skupinu programů</w:t>
      </w:r>
      <w:r w:rsidR="00282470">
        <w:t>, případně jednotlivé programy podpory</w:t>
      </w:r>
      <w:r>
        <w:t>.</w:t>
      </w:r>
      <w:r w:rsidR="00F601BD">
        <w:t xml:space="preserve"> Ve vybraných případech může být zohledněna potřeba  </w:t>
      </w:r>
      <w:r w:rsidR="008F68DE">
        <w:t xml:space="preserve">vyrovnaného zastoupení příjemců a neúspěšných, neuspokojených či čekajících žadatelů. </w:t>
      </w:r>
      <w:r w:rsidR="00CB22A7">
        <w:t xml:space="preserve">V případě </w:t>
      </w:r>
      <w:r w:rsidR="008F68DE">
        <w:t xml:space="preserve"> vysokého počtu účastníků </w:t>
      </w:r>
      <w:r w:rsidR="00CB22A7">
        <w:t xml:space="preserve">lze realizovat více FS (tak, aby byl zachován optimální počet 8 – 10 účastníků FS), případně realizovat </w:t>
      </w:r>
      <w:r w:rsidR="008F68DE">
        <w:t xml:space="preserve"> FS se </w:t>
      </w:r>
      <w:r w:rsidR="008F68DE" w:rsidRPr="008F68DE">
        <w:t>zástupc</w:t>
      </w:r>
      <w:r w:rsidR="008F68DE">
        <w:t>i</w:t>
      </w:r>
      <w:r w:rsidR="008F68DE" w:rsidRPr="008F68DE">
        <w:t xml:space="preserve"> žadatelů/příjemců z řad podnikatelských svazů či poradenských společností, </w:t>
      </w:r>
      <w:r w:rsidR="008F68DE">
        <w:t xml:space="preserve">které </w:t>
      </w:r>
      <w:r w:rsidR="008F68DE" w:rsidRPr="008F68DE">
        <w:t>v sobě implicitně agregují více programů podpory.</w:t>
      </w:r>
      <w:r w:rsidR="00282470">
        <w:t xml:space="preserve"> </w:t>
      </w:r>
    </w:p>
    <w:p w14:paraId="063A6901" w14:textId="77777777" w:rsidR="00363DA0" w:rsidRPr="00CE7B5B" w:rsidRDefault="00363DA0" w:rsidP="00CE7B5B">
      <w:pPr>
        <w:spacing w:before="240" w:after="120" w:line="240" w:lineRule="auto"/>
        <w:rPr>
          <w:b/>
          <w:color w:val="012169" w:themeColor="accent4"/>
        </w:rPr>
      </w:pPr>
      <w:r w:rsidRPr="00CE7B5B">
        <w:rPr>
          <w:b/>
          <w:color w:val="012169" w:themeColor="accent4"/>
        </w:rPr>
        <w:t>Dílčí harmonogram</w:t>
      </w:r>
    </w:p>
    <w:p w14:paraId="09DAF5A0" w14:textId="77777777" w:rsidR="008272B2" w:rsidRDefault="00363DA0" w:rsidP="00CE7B5B">
      <w:pPr>
        <w:spacing w:line="240" w:lineRule="auto"/>
        <w:jc w:val="both"/>
      </w:pPr>
      <w:r w:rsidRPr="00BC7275">
        <w:t xml:space="preserve">V rámci realizace </w:t>
      </w:r>
      <w:r w:rsidR="001B436F">
        <w:t>FS</w:t>
      </w:r>
      <w:r w:rsidRPr="00BC7275">
        <w:t xml:space="preserve"> podnikne Dodavatel tyto klíčové kroky, přičemž u některých z nich bude od Za</w:t>
      </w:r>
      <w:r>
        <w:t>davatele potřebovat součinnost.</w:t>
      </w:r>
    </w:p>
    <w:p w14:paraId="300DBFB0" w14:textId="77777777" w:rsidR="00747426" w:rsidRDefault="00747426" w:rsidP="008C286A">
      <w:pPr>
        <w:pStyle w:val="Titulek"/>
        <w:jc w:val="center"/>
      </w:pPr>
      <w:bookmarkStart w:id="29" w:name="_Toc24384737"/>
      <w:r>
        <w:t xml:space="preserve">Tabulka </w:t>
      </w:r>
      <w:r>
        <w:fldChar w:fldCharType="begin"/>
      </w:r>
      <w:r>
        <w:instrText xml:space="preserve"> SEQ Tabulka \* ARABIC </w:instrText>
      </w:r>
      <w:r>
        <w:fldChar w:fldCharType="separate"/>
      </w:r>
      <w:r w:rsidR="00E93151">
        <w:rPr>
          <w:noProof/>
        </w:rPr>
        <w:t>11</w:t>
      </w:r>
      <w:r>
        <w:fldChar w:fldCharType="end"/>
      </w:r>
      <w:r w:rsidR="0028578A">
        <w:t>:</w:t>
      </w:r>
      <w:r>
        <w:t xml:space="preserve"> Harmonogram fokusní skupiny</w:t>
      </w:r>
      <w:bookmarkEnd w:id="29"/>
    </w:p>
    <w:tbl>
      <w:tblPr>
        <w:tblStyle w:val="Deloittetable11"/>
        <w:tblW w:w="5000" w:type="pct"/>
        <w:tblCellMar>
          <w:top w:w="0" w:type="dxa"/>
          <w:left w:w="108" w:type="dxa"/>
          <w:bottom w:w="0" w:type="dxa"/>
          <w:right w:w="108" w:type="dxa"/>
        </w:tblCellMar>
        <w:tblLook w:val="04A0" w:firstRow="1" w:lastRow="0" w:firstColumn="1" w:lastColumn="0" w:noHBand="0" w:noVBand="1"/>
      </w:tblPr>
      <w:tblGrid>
        <w:gridCol w:w="390"/>
        <w:gridCol w:w="4872"/>
        <w:gridCol w:w="1714"/>
        <w:gridCol w:w="1582"/>
        <w:gridCol w:w="1534"/>
      </w:tblGrid>
      <w:tr w:rsidR="00363DA0" w:rsidRPr="00BC7275" w14:paraId="07835881" w14:textId="77777777" w:rsidTr="00617123">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93" w:type="pct"/>
          </w:tcPr>
          <w:p w14:paraId="1A7F7E22" w14:textId="77777777" w:rsidR="00363DA0" w:rsidRPr="00BC7275" w:rsidRDefault="00363DA0" w:rsidP="00255944">
            <w:pPr>
              <w:rPr>
                <w:rFonts w:asciiTheme="majorHAnsi" w:hAnsiTheme="majorHAnsi" w:cs="Arial"/>
                <w:bCs/>
                <w:color w:val="FFFFFF" w:themeColor="background1"/>
                <w:szCs w:val="18"/>
                <w:lang w:eastAsia="cs-CZ"/>
              </w:rPr>
            </w:pPr>
            <w:r w:rsidRPr="00BC7275">
              <w:rPr>
                <w:rFonts w:eastAsia="Times New Roman" w:cs="Arial"/>
                <w:bCs/>
                <w:color w:val="FFFFFF" w:themeColor="background1"/>
                <w:szCs w:val="18"/>
                <w:lang w:eastAsia="cs-CZ"/>
              </w:rPr>
              <w:t>Č</w:t>
            </w:r>
          </w:p>
        </w:tc>
        <w:tc>
          <w:tcPr>
            <w:tcW w:w="2414" w:type="pct"/>
          </w:tcPr>
          <w:p w14:paraId="2816A4DC" w14:textId="77777777" w:rsidR="00363DA0" w:rsidRPr="00BC7275" w:rsidRDefault="00363DA0" w:rsidP="00255944">
            <w:pPr>
              <w:cnfStyle w:val="100000000000" w:firstRow="1" w:lastRow="0" w:firstColumn="0" w:lastColumn="0" w:oddVBand="0" w:evenVBand="0" w:oddHBand="0" w:evenHBand="0" w:firstRowFirstColumn="0" w:firstRowLastColumn="0" w:lastRowFirstColumn="0" w:lastRowLastColumn="0"/>
              <w:rPr>
                <w:rFonts w:asciiTheme="majorHAnsi" w:hAnsiTheme="majorHAnsi" w:cs="Arial"/>
                <w:bCs/>
                <w:color w:val="FFFFFF" w:themeColor="background1"/>
                <w:szCs w:val="18"/>
                <w:lang w:eastAsia="cs-CZ"/>
              </w:rPr>
            </w:pPr>
            <w:r w:rsidRPr="00BC7275">
              <w:rPr>
                <w:rFonts w:eastAsia="Times New Roman" w:cs="Arial"/>
                <w:bCs/>
                <w:color w:val="FFFFFF" w:themeColor="background1"/>
                <w:szCs w:val="18"/>
                <w:lang w:eastAsia="cs-CZ"/>
              </w:rPr>
              <w:t>Aktivita</w:t>
            </w:r>
          </w:p>
        </w:tc>
        <w:tc>
          <w:tcPr>
            <w:tcW w:w="849" w:type="pct"/>
          </w:tcPr>
          <w:p w14:paraId="07BF62D8" w14:textId="77777777" w:rsidR="00363DA0" w:rsidRPr="00BC7275" w:rsidRDefault="00363DA0" w:rsidP="002559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color w:val="FFFFFF" w:themeColor="background1"/>
                <w:szCs w:val="18"/>
                <w:lang w:eastAsia="cs-CZ"/>
              </w:rPr>
            </w:pPr>
            <w:r w:rsidRPr="00BC7275">
              <w:rPr>
                <w:rFonts w:eastAsia="Times New Roman" w:cs="Arial"/>
                <w:bCs/>
                <w:color w:val="FFFFFF" w:themeColor="background1"/>
                <w:szCs w:val="18"/>
                <w:lang w:eastAsia="cs-CZ"/>
              </w:rPr>
              <w:t>Odpovědnost</w:t>
            </w:r>
          </w:p>
        </w:tc>
        <w:tc>
          <w:tcPr>
            <w:tcW w:w="784" w:type="pct"/>
          </w:tcPr>
          <w:p w14:paraId="543FA08E" w14:textId="77777777" w:rsidR="00363DA0" w:rsidRPr="00BC7275" w:rsidRDefault="00363DA0" w:rsidP="002559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color w:val="FFFFFF" w:themeColor="background1"/>
                <w:szCs w:val="18"/>
                <w:lang w:eastAsia="cs-CZ"/>
              </w:rPr>
            </w:pPr>
            <w:r w:rsidRPr="00BC7275">
              <w:rPr>
                <w:rFonts w:eastAsia="Times New Roman" w:cs="Arial"/>
                <w:bCs/>
                <w:color w:val="FFFFFF" w:themeColor="background1"/>
                <w:szCs w:val="18"/>
                <w:lang w:eastAsia="cs-CZ"/>
              </w:rPr>
              <w:t>Termín</w:t>
            </w:r>
          </w:p>
        </w:tc>
        <w:tc>
          <w:tcPr>
            <w:tcW w:w="760" w:type="pct"/>
            <w:tcBorders>
              <w:bottom w:val="single" w:sz="4" w:space="0" w:color="92D400"/>
            </w:tcBorders>
          </w:tcPr>
          <w:p w14:paraId="27FF483F" w14:textId="77777777" w:rsidR="00363DA0" w:rsidRPr="00BC7275" w:rsidRDefault="00363DA0" w:rsidP="00255944">
            <w:pPr>
              <w:cnfStyle w:val="100000000000" w:firstRow="1" w:lastRow="0" w:firstColumn="0" w:lastColumn="0" w:oddVBand="0" w:evenVBand="0" w:oddHBand="0" w:evenHBand="0" w:firstRowFirstColumn="0" w:firstRowLastColumn="0" w:lastRowFirstColumn="0" w:lastRowLastColumn="0"/>
              <w:rPr>
                <w:rFonts w:asciiTheme="majorHAnsi" w:hAnsiTheme="majorHAnsi" w:cs="Arial"/>
                <w:bCs/>
                <w:color w:val="FFFFFF" w:themeColor="background1"/>
                <w:szCs w:val="18"/>
                <w:lang w:eastAsia="cs-CZ"/>
              </w:rPr>
            </w:pPr>
            <w:r w:rsidRPr="00BC7275">
              <w:rPr>
                <w:rFonts w:eastAsia="Times New Roman" w:cs="Arial"/>
                <w:bCs/>
                <w:color w:val="FFFFFF" w:themeColor="background1"/>
                <w:szCs w:val="18"/>
                <w:lang w:eastAsia="cs-CZ"/>
              </w:rPr>
              <w:t>Náročnost</w:t>
            </w:r>
          </w:p>
        </w:tc>
      </w:tr>
      <w:tr w:rsidR="00363DA0" w:rsidRPr="00BC7275" w14:paraId="41268638" w14:textId="77777777" w:rsidTr="00617123">
        <w:trPr>
          <w:trHeight w:val="340"/>
        </w:trPr>
        <w:tc>
          <w:tcPr>
            <w:cnfStyle w:val="001000000000" w:firstRow="0" w:lastRow="0" w:firstColumn="1" w:lastColumn="0" w:oddVBand="0" w:evenVBand="0" w:oddHBand="0" w:evenHBand="0" w:firstRowFirstColumn="0" w:firstRowLastColumn="0" w:lastRowFirstColumn="0" w:lastRowLastColumn="0"/>
            <w:tcW w:w="193" w:type="pct"/>
            <w:tcBorders>
              <w:top w:val="single" w:sz="4" w:space="0" w:color="92D400"/>
            </w:tcBorders>
            <w:vAlign w:val="center"/>
          </w:tcPr>
          <w:p w14:paraId="54E70881" w14:textId="77777777" w:rsidR="00363DA0" w:rsidRPr="00BC7275" w:rsidRDefault="00363DA0" w:rsidP="00255944">
            <w:pPr>
              <w:rPr>
                <w:rFonts w:asciiTheme="majorHAnsi" w:hAnsiTheme="majorHAnsi" w:cs="Calibri"/>
                <w:color w:val="000000"/>
                <w:szCs w:val="18"/>
                <w:lang w:eastAsia="cs-CZ"/>
              </w:rPr>
            </w:pPr>
            <w:r w:rsidRPr="00BC7275">
              <w:rPr>
                <w:rFonts w:eastAsia="Times New Roman" w:cs="Calibri"/>
                <w:color w:val="000000"/>
                <w:szCs w:val="18"/>
                <w:lang w:eastAsia="cs-CZ"/>
              </w:rPr>
              <w:t>1</w:t>
            </w:r>
          </w:p>
        </w:tc>
        <w:tc>
          <w:tcPr>
            <w:tcW w:w="2414" w:type="pct"/>
            <w:tcBorders>
              <w:top w:val="single" w:sz="4" w:space="0" w:color="92D400"/>
            </w:tcBorders>
            <w:vAlign w:val="center"/>
          </w:tcPr>
          <w:p w14:paraId="3E3E2D2E" w14:textId="77777777" w:rsidR="00363DA0" w:rsidRPr="00BC7275" w:rsidRDefault="00363DA0" w:rsidP="000126A9">
            <w:pPr>
              <w:cnfStyle w:val="000000000000" w:firstRow="0" w:lastRow="0" w:firstColumn="0" w:lastColumn="0" w:oddVBand="0" w:evenVBand="0" w:oddHBand="0" w:evenHBand="0" w:firstRowFirstColumn="0" w:firstRowLastColumn="0" w:lastRowFirstColumn="0" w:lastRowLastColumn="0"/>
              <w:rPr>
                <w:color w:val="000000"/>
                <w:szCs w:val="18"/>
              </w:rPr>
            </w:pPr>
            <w:r w:rsidRPr="00BC7275">
              <w:rPr>
                <w:color w:val="000000"/>
                <w:szCs w:val="18"/>
              </w:rPr>
              <w:t xml:space="preserve">Návrh scénáře </w:t>
            </w:r>
            <w:r>
              <w:rPr>
                <w:color w:val="000000"/>
                <w:szCs w:val="18"/>
              </w:rPr>
              <w:t>fokusní</w:t>
            </w:r>
            <w:r w:rsidR="000126A9">
              <w:rPr>
                <w:color w:val="000000"/>
                <w:szCs w:val="18"/>
              </w:rPr>
              <w:t>ch</w:t>
            </w:r>
            <w:r>
              <w:rPr>
                <w:color w:val="000000"/>
                <w:szCs w:val="18"/>
              </w:rPr>
              <w:t xml:space="preserve"> skupin a seznamu </w:t>
            </w:r>
            <w:r w:rsidR="000126A9">
              <w:rPr>
                <w:color w:val="000000"/>
                <w:szCs w:val="18"/>
              </w:rPr>
              <w:t>účastníků</w:t>
            </w:r>
          </w:p>
        </w:tc>
        <w:tc>
          <w:tcPr>
            <w:tcW w:w="849" w:type="pct"/>
            <w:tcBorders>
              <w:top w:val="single" w:sz="4" w:space="0" w:color="92D400"/>
            </w:tcBorders>
            <w:vAlign w:val="center"/>
          </w:tcPr>
          <w:p w14:paraId="72582243" w14:textId="77777777" w:rsidR="00363DA0" w:rsidRPr="00BC7275" w:rsidRDefault="00363DA0" w:rsidP="0025594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sidRPr="00BC7275">
              <w:rPr>
                <w:rFonts w:eastAsia="Times New Roman" w:cs="Calibri"/>
                <w:color w:val="000000"/>
                <w:szCs w:val="18"/>
                <w:lang w:eastAsia="cs-CZ"/>
              </w:rPr>
              <w:t>Deloitte</w:t>
            </w:r>
          </w:p>
        </w:tc>
        <w:tc>
          <w:tcPr>
            <w:tcW w:w="784" w:type="pct"/>
            <w:tcBorders>
              <w:top w:val="single" w:sz="4" w:space="0" w:color="92D400"/>
            </w:tcBorders>
            <w:vAlign w:val="center"/>
          </w:tcPr>
          <w:p w14:paraId="3A275B67" w14:textId="77777777" w:rsidR="00363DA0" w:rsidRPr="00BC7275" w:rsidRDefault="00E82902" w:rsidP="00E8290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1</w:t>
            </w:r>
            <w:r w:rsidR="008C286A">
              <w:rPr>
                <w:rFonts w:asciiTheme="majorHAnsi" w:hAnsiTheme="majorHAnsi" w:cs="Calibri"/>
                <w:color w:val="000000"/>
                <w:szCs w:val="18"/>
                <w:lang w:eastAsia="cs-CZ"/>
              </w:rPr>
              <w:t>0. 4</w:t>
            </w:r>
            <w:r w:rsidR="00363DA0">
              <w:rPr>
                <w:rFonts w:asciiTheme="majorHAnsi" w:hAnsiTheme="majorHAnsi" w:cs="Calibri"/>
                <w:color w:val="000000"/>
                <w:szCs w:val="18"/>
                <w:lang w:eastAsia="cs-CZ"/>
              </w:rPr>
              <w:t>. 2020</w:t>
            </w:r>
          </w:p>
        </w:tc>
        <w:tc>
          <w:tcPr>
            <w:tcW w:w="760" w:type="pct"/>
            <w:tcBorders>
              <w:top w:val="single" w:sz="4" w:space="0" w:color="92D400"/>
            </w:tcBorders>
            <w:shd w:val="clear" w:color="auto" w:fill="auto"/>
            <w:vAlign w:val="center"/>
          </w:tcPr>
          <w:p w14:paraId="12EA4A06" w14:textId="77777777" w:rsidR="00363DA0" w:rsidRPr="00BC7275" w:rsidRDefault="00363DA0" w:rsidP="00255944">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p>
        </w:tc>
      </w:tr>
      <w:tr w:rsidR="00363DA0" w:rsidRPr="00BC7275" w14:paraId="3C5C11E9" w14:textId="77777777" w:rsidTr="00617123">
        <w:trPr>
          <w:trHeight w:val="340"/>
        </w:trPr>
        <w:tc>
          <w:tcPr>
            <w:cnfStyle w:val="001000000000" w:firstRow="0" w:lastRow="0" w:firstColumn="1" w:lastColumn="0" w:oddVBand="0" w:evenVBand="0" w:oddHBand="0" w:evenHBand="0" w:firstRowFirstColumn="0" w:firstRowLastColumn="0" w:lastRowFirstColumn="0" w:lastRowLastColumn="0"/>
            <w:tcW w:w="193" w:type="pct"/>
            <w:tcBorders>
              <w:top w:val="single" w:sz="4" w:space="0" w:color="92D400"/>
            </w:tcBorders>
            <w:vAlign w:val="center"/>
          </w:tcPr>
          <w:p w14:paraId="7DF7FB77" w14:textId="77777777" w:rsidR="00363DA0" w:rsidRPr="00BC7275" w:rsidRDefault="00363DA0" w:rsidP="00255944">
            <w:pPr>
              <w:rPr>
                <w:rFonts w:asciiTheme="majorHAnsi" w:hAnsiTheme="majorHAnsi" w:cs="Calibri"/>
                <w:color w:val="000000"/>
                <w:szCs w:val="18"/>
                <w:lang w:eastAsia="cs-CZ"/>
              </w:rPr>
            </w:pPr>
            <w:r w:rsidRPr="00BC7275">
              <w:rPr>
                <w:rFonts w:eastAsia="Times New Roman" w:cs="Calibri"/>
                <w:color w:val="000000"/>
                <w:szCs w:val="18"/>
                <w:lang w:eastAsia="cs-CZ"/>
              </w:rPr>
              <w:t>2</w:t>
            </w:r>
          </w:p>
        </w:tc>
        <w:tc>
          <w:tcPr>
            <w:tcW w:w="2414" w:type="pct"/>
            <w:tcBorders>
              <w:top w:val="single" w:sz="4" w:space="0" w:color="92D400"/>
            </w:tcBorders>
            <w:vAlign w:val="center"/>
          </w:tcPr>
          <w:p w14:paraId="2D76FE5D" w14:textId="77777777" w:rsidR="00363DA0" w:rsidRPr="00BC7275" w:rsidRDefault="00363DA0" w:rsidP="00363DA0">
            <w:pPr>
              <w:cnfStyle w:val="000000000000" w:firstRow="0" w:lastRow="0" w:firstColumn="0" w:lastColumn="0" w:oddVBand="0" w:evenVBand="0" w:oddHBand="0" w:evenHBand="0" w:firstRowFirstColumn="0" w:firstRowLastColumn="0" w:lastRowFirstColumn="0" w:lastRowLastColumn="0"/>
              <w:rPr>
                <w:color w:val="000000"/>
                <w:szCs w:val="18"/>
              </w:rPr>
            </w:pPr>
            <w:r>
              <w:rPr>
                <w:color w:val="000000"/>
                <w:szCs w:val="18"/>
              </w:rPr>
              <w:t>Validace seznamu informátorů</w:t>
            </w:r>
            <w:r w:rsidRPr="00BC7275">
              <w:rPr>
                <w:color w:val="000000"/>
                <w:szCs w:val="18"/>
              </w:rPr>
              <w:t xml:space="preserve"> a předání kontaktů</w:t>
            </w:r>
          </w:p>
        </w:tc>
        <w:tc>
          <w:tcPr>
            <w:tcW w:w="849" w:type="pct"/>
            <w:tcBorders>
              <w:top w:val="single" w:sz="4" w:space="0" w:color="92D400"/>
            </w:tcBorders>
            <w:vAlign w:val="center"/>
          </w:tcPr>
          <w:p w14:paraId="4909129F" w14:textId="77777777" w:rsidR="00363DA0" w:rsidRPr="00BC7275" w:rsidRDefault="00363DA0" w:rsidP="0025594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sidRPr="00BC7275">
              <w:rPr>
                <w:rFonts w:eastAsia="Times New Roman" w:cs="Calibri"/>
                <w:color w:val="000000"/>
                <w:szCs w:val="18"/>
                <w:lang w:eastAsia="cs-CZ"/>
              </w:rPr>
              <w:t>MPO</w:t>
            </w:r>
          </w:p>
        </w:tc>
        <w:tc>
          <w:tcPr>
            <w:tcW w:w="784" w:type="pct"/>
            <w:tcBorders>
              <w:top w:val="single" w:sz="4" w:space="0" w:color="92D400"/>
            </w:tcBorders>
            <w:vAlign w:val="center"/>
          </w:tcPr>
          <w:p w14:paraId="7C1C399F" w14:textId="77777777" w:rsidR="00363DA0" w:rsidRPr="00BC7275" w:rsidRDefault="008C286A" w:rsidP="00D338E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24. 4</w:t>
            </w:r>
            <w:r w:rsidR="00363DA0">
              <w:rPr>
                <w:rFonts w:asciiTheme="majorHAnsi" w:hAnsiTheme="majorHAnsi" w:cs="Calibri"/>
                <w:color w:val="000000"/>
                <w:szCs w:val="18"/>
                <w:lang w:eastAsia="cs-CZ"/>
              </w:rPr>
              <w:t>. 2020</w:t>
            </w:r>
          </w:p>
        </w:tc>
        <w:tc>
          <w:tcPr>
            <w:tcW w:w="760" w:type="pct"/>
            <w:tcBorders>
              <w:top w:val="single" w:sz="4" w:space="0" w:color="92D400"/>
            </w:tcBorders>
            <w:shd w:val="clear" w:color="auto" w:fill="86BC25" w:themeFill="accent1"/>
            <w:vAlign w:val="center"/>
          </w:tcPr>
          <w:p w14:paraId="61DB7D20" w14:textId="77777777" w:rsidR="00363DA0" w:rsidRPr="00BC7275" w:rsidRDefault="00363DA0" w:rsidP="00255944">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p>
        </w:tc>
      </w:tr>
      <w:tr w:rsidR="00363DA0" w:rsidRPr="00BC7275" w14:paraId="521EA8F9" w14:textId="77777777" w:rsidTr="00617123">
        <w:trPr>
          <w:trHeight w:val="340"/>
        </w:trPr>
        <w:tc>
          <w:tcPr>
            <w:cnfStyle w:val="001000000000" w:firstRow="0" w:lastRow="0" w:firstColumn="1" w:lastColumn="0" w:oddVBand="0" w:evenVBand="0" w:oddHBand="0" w:evenHBand="0" w:firstRowFirstColumn="0" w:firstRowLastColumn="0" w:lastRowFirstColumn="0" w:lastRowLastColumn="0"/>
            <w:tcW w:w="193" w:type="pct"/>
            <w:tcBorders>
              <w:top w:val="single" w:sz="4" w:space="0" w:color="92D400"/>
              <w:bottom w:val="single" w:sz="4" w:space="0" w:color="92D400"/>
            </w:tcBorders>
            <w:vAlign w:val="center"/>
          </w:tcPr>
          <w:p w14:paraId="3327F6F4" w14:textId="77777777" w:rsidR="00363DA0" w:rsidRPr="00BC7275" w:rsidRDefault="00363DA0" w:rsidP="00255944">
            <w:pPr>
              <w:rPr>
                <w:rFonts w:eastAsia="Times New Roman" w:cs="Calibri"/>
                <w:color w:val="000000"/>
                <w:szCs w:val="18"/>
                <w:lang w:eastAsia="cs-CZ"/>
              </w:rPr>
            </w:pPr>
            <w:r w:rsidRPr="00BC7275">
              <w:rPr>
                <w:rFonts w:eastAsia="Times New Roman" w:cs="Calibri"/>
                <w:color w:val="000000"/>
                <w:szCs w:val="18"/>
                <w:lang w:eastAsia="cs-CZ"/>
              </w:rPr>
              <w:t>3</w:t>
            </w:r>
          </w:p>
        </w:tc>
        <w:tc>
          <w:tcPr>
            <w:tcW w:w="2414" w:type="pct"/>
            <w:tcBorders>
              <w:top w:val="single" w:sz="4" w:space="0" w:color="92D400"/>
              <w:bottom w:val="single" w:sz="4" w:space="0" w:color="92D400"/>
            </w:tcBorders>
            <w:vAlign w:val="center"/>
          </w:tcPr>
          <w:p w14:paraId="1F39CA48" w14:textId="77777777" w:rsidR="00363DA0" w:rsidRPr="00BC7275" w:rsidRDefault="008C286A" w:rsidP="00255944">
            <w:pPr>
              <w:cnfStyle w:val="000000000000" w:firstRow="0" w:lastRow="0" w:firstColumn="0" w:lastColumn="0" w:oddVBand="0" w:evenVBand="0" w:oddHBand="0" w:evenHBand="0" w:firstRowFirstColumn="0" w:firstRowLastColumn="0" w:lastRowFirstColumn="0" w:lastRowLastColumn="0"/>
              <w:rPr>
                <w:color w:val="000000"/>
                <w:szCs w:val="18"/>
              </w:rPr>
            </w:pPr>
            <w:r>
              <w:rPr>
                <w:color w:val="000000"/>
                <w:szCs w:val="18"/>
              </w:rPr>
              <w:t xml:space="preserve">Validace scénáře a otázek </w:t>
            </w:r>
            <w:r w:rsidR="00363DA0" w:rsidRPr="00BC7275">
              <w:rPr>
                <w:color w:val="000000"/>
                <w:szCs w:val="18"/>
              </w:rPr>
              <w:t>Zadavatelem</w:t>
            </w:r>
          </w:p>
        </w:tc>
        <w:tc>
          <w:tcPr>
            <w:tcW w:w="849" w:type="pct"/>
            <w:tcBorders>
              <w:top w:val="single" w:sz="4" w:space="0" w:color="92D400"/>
              <w:bottom w:val="single" w:sz="4" w:space="0" w:color="92D400"/>
            </w:tcBorders>
            <w:vAlign w:val="center"/>
          </w:tcPr>
          <w:p w14:paraId="0711E541" w14:textId="77777777" w:rsidR="00363DA0" w:rsidRPr="00BC7275" w:rsidRDefault="00363DA0" w:rsidP="00255944">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sidRPr="00BC7275">
              <w:rPr>
                <w:rFonts w:eastAsia="Times New Roman" w:cs="Calibri"/>
                <w:color w:val="000000"/>
                <w:szCs w:val="18"/>
                <w:lang w:eastAsia="cs-CZ"/>
              </w:rPr>
              <w:t>MPO</w:t>
            </w:r>
          </w:p>
        </w:tc>
        <w:tc>
          <w:tcPr>
            <w:tcW w:w="784" w:type="pct"/>
            <w:tcBorders>
              <w:top w:val="single" w:sz="4" w:space="0" w:color="92D400"/>
              <w:bottom w:val="single" w:sz="4" w:space="0" w:color="92D400"/>
            </w:tcBorders>
            <w:vAlign w:val="center"/>
          </w:tcPr>
          <w:p w14:paraId="5494B1D3" w14:textId="77777777" w:rsidR="00363DA0" w:rsidRPr="00BC7275" w:rsidRDefault="00E82902" w:rsidP="00D338E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2</w:t>
            </w:r>
            <w:r w:rsidR="008C286A">
              <w:rPr>
                <w:rFonts w:asciiTheme="majorHAnsi" w:hAnsiTheme="majorHAnsi" w:cs="Calibri"/>
                <w:color w:val="000000"/>
                <w:szCs w:val="18"/>
                <w:lang w:eastAsia="cs-CZ"/>
              </w:rPr>
              <w:t>4. 4</w:t>
            </w:r>
            <w:r w:rsidR="00363DA0">
              <w:rPr>
                <w:rFonts w:asciiTheme="majorHAnsi" w:hAnsiTheme="majorHAnsi" w:cs="Calibri"/>
                <w:color w:val="000000"/>
                <w:szCs w:val="18"/>
                <w:lang w:eastAsia="cs-CZ"/>
              </w:rPr>
              <w:t>. 2020</w:t>
            </w:r>
          </w:p>
        </w:tc>
        <w:tc>
          <w:tcPr>
            <w:tcW w:w="760" w:type="pct"/>
            <w:tcBorders>
              <w:top w:val="single" w:sz="4" w:space="0" w:color="92D400"/>
              <w:bottom w:val="single" w:sz="4" w:space="0" w:color="92D400"/>
            </w:tcBorders>
            <w:shd w:val="clear" w:color="auto" w:fill="FFC000"/>
            <w:vAlign w:val="center"/>
          </w:tcPr>
          <w:p w14:paraId="6776C2DE" w14:textId="77777777" w:rsidR="00363DA0" w:rsidRPr="00BC7275" w:rsidRDefault="00363DA0" w:rsidP="00255944">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p>
        </w:tc>
      </w:tr>
      <w:tr w:rsidR="00363DA0" w:rsidRPr="00BC7275" w14:paraId="2AC7EEA3" w14:textId="77777777" w:rsidTr="00617123">
        <w:trPr>
          <w:trHeight w:val="340"/>
        </w:trPr>
        <w:tc>
          <w:tcPr>
            <w:cnfStyle w:val="001000000000" w:firstRow="0" w:lastRow="0" w:firstColumn="1" w:lastColumn="0" w:oddVBand="0" w:evenVBand="0" w:oddHBand="0" w:evenHBand="0" w:firstRowFirstColumn="0" w:firstRowLastColumn="0" w:lastRowFirstColumn="0" w:lastRowLastColumn="0"/>
            <w:tcW w:w="193" w:type="pct"/>
            <w:tcBorders>
              <w:top w:val="single" w:sz="4" w:space="0" w:color="92D400"/>
              <w:bottom w:val="single" w:sz="4" w:space="0" w:color="92D400"/>
            </w:tcBorders>
            <w:vAlign w:val="center"/>
          </w:tcPr>
          <w:p w14:paraId="7D4528A0" w14:textId="77777777" w:rsidR="00363DA0" w:rsidRPr="00BC7275" w:rsidRDefault="00363DA0" w:rsidP="00255944">
            <w:pPr>
              <w:rPr>
                <w:rFonts w:eastAsia="Times New Roman" w:cs="Calibri"/>
                <w:color w:val="000000"/>
                <w:szCs w:val="18"/>
                <w:lang w:eastAsia="cs-CZ"/>
              </w:rPr>
            </w:pPr>
            <w:r w:rsidRPr="00BC7275">
              <w:rPr>
                <w:rFonts w:eastAsia="Times New Roman" w:cs="Calibri"/>
                <w:color w:val="000000"/>
                <w:szCs w:val="18"/>
                <w:lang w:eastAsia="cs-CZ"/>
              </w:rPr>
              <w:t>4</w:t>
            </w:r>
          </w:p>
        </w:tc>
        <w:tc>
          <w:tcPr>
            <w:tcW w:w="2414" w:type="pct"/>
            <w:tcBorders>
              <w:top w:val="single" w:sz="4" w:space="0" w:color="92D400"/>
              <w:bottom w:val="single" w:sz="4" w:space="0" w:color="92D400"/>
            </w:tcBorders>
            <w:vAlign w:val="center"/>
          </w:tcPr>
          <w:p w14:paraId="61348FF6" w14:textId="77777777" w:rsidR="00363DA0" w:rsidRPr="00BC7275" w:rsidRDefault="00363DA0" w:rsidP="000126A9">
            <w:pPr>
              <w:cnfStyle w:val="000000000000" w:firstRow="0" w:lastRow="0" w:firstColumn="0" w:lastColumn="0" w:oddVBand="0" w:evenVBand="0" w:oddHBand="0" w:evenHBand="0" w:firstRowFirstColumn="0" w:firstRowLastColumn="0" w:lastRowFirstColumn="0" w:lastRowLastColumn="0"/>
              <w:rPr>
                <w:color w:val="000000"/>
                <w:szCs w:val="18"/>
              </w:rPr>
            </w:pPr>
            <w:r w:rsidRPr="00BC7275">
              <w:rPr>
                <w:color w:val="000000"/>
                <w:szCs w:val="18"/>
              </w:rPr>
              <w:t xml:space="preserve">Příprava </w:t>
            </w:r>
            <w:r>
              <w:rPr>
                <w:color w:val="000000"/>
                <w:szCs w:val="18"/>
              </w:rPr>
              <w:t>fokusní skupin</w:t>
            </w:r>
            <w:r w:rsidR="006038B8">
              <w:rPr>
                <w:color w:val="000000"/>
                <w:szCs w:val="18"/>
              </w:rPr>
              <w:t>y</w:t>
            </w:r>
            <w:r>
              <w:rPr>
                <w:color w:val="000000"/>
                <w:szCs w:val="18"/>
              </w:rPr>
              <w:t xml:space="preserve"> a oslovení </w:t>
            </w:r>
            <w:r w:rsidR="000126A9">
              <w:rPr>
                <w:color w:val="000000"/>
                <w:szCs w:val="18"/>
              </w:rPr>
              <w:t>účastníků</w:t>
            </w:r>
          </w:p>
        </w:tc>
        <w:tc>
          <w:tcPr>
            <w:tcW w:w="849" w:type="pct"/>
            <w:tcBorders>
              <w:top w:val="single" w:sz="4" w:space="0" w:color="92D400"/>
              <w:bottom w:val="single" w:sz="4" w:space="0" w:color="92D400"/>
            </w:tcBorders>
            <w:vAlign w:val="center"/>
          </w:tcPr>
          <w:p w14:paraId="3883CABA" w14:textId="77777777" w:rsidR="00363DA0" w:rsidRPr="00BC7275" w:rsidRDefault="00363DA0" w:rsidP="00255944">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sidRPr="00BC7275">
              <w:rPr>
                <w:rFonts w:eastAsia="Times New Roman" w:cs="Calibri"/>
                <w:color w:val="000000"/>
                <w:szCs w:val="18"/>
                <w:lang w:eastAsia="cs-CZ"/>
              </w:rPr>
              <w:t>Deloitte</w:t>
            </w:r>
          </w:p>
        </w:tc>
        <w:tc>
          <w:tcPr>
            <w:tcW w:w="784" w:type="pct"/>
            <w:tcBorders>
              <w:top w:val="single" w:sz="4" w:space="0" w:color="92D400"/>
              <w:bottom w:val="single" w:sz="4" w:space="0" w:color="92D400"/>
            </w:tcBorders>
            <w:vAlign w:val="center"/>
          </w:tcPr>
          <w:p w14:paraId="33050CCD" w14:textId="77777777" w:rsidR="00363DA0" w:rsidRPr="00BC7275" w:rsidRDefault="00363DA0" w:rsidP="0025594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sidRPr="00BC7275">
              <w:rPr>
                <w:rFonts w:asciiTheme="majorHAnsi" w:hAnsiTheme="majorHAnsi" w:cs="Calibri"/>
                <w:color w:val="000000"/>
                <w:szCs w:val="18"/>
                <w:lang w:eastAsia="cs-CZ"/>
              </w:rPr>
              <w:t xml:space="preserve"> </w:t>
            </w:r>
            <w:r>
              <w:rPr>
                <w:rFonts w:asciiTheme="majorHAnsi" w:hAnsiTheme="majorHAnsi" w:cs="Calibri"/>
                <w:color w:val="000000"/>
                <w:szCs w:val="18"/>
                <w:lang w:eastAsia="cs-CZ"/>
              </w:rPr>
              <w:t xml:space="preserve">4. </w:t>
            </w:r>
            <w:r w:rsidR="008C286A">
              <w:rPr>
                <w:rFonts w:asciiTheme="majorHAnsi" w:hAnsiTheme="majorHAnsi" w:cs="Calibri"/>
                <w:color w:val="000000"/>
                <w:szCs w:val="18"/>
                <w:lang w:eastAsia="cs-CZ"/>
              </w:rPr>
              <w:t>5</w:t>
            </w:r>
            <w:r>
              <w:rPr>
                <w:rFonts w:asciiTheme="majorHAnsi" w:hAnsiTheme="majorHAnsi" w:cs="Calibri"/>
                <w:color w:val="000000"/>
                <w:szCs w:val="18"/>
                <w:lang w:eastAsia="cs-CZ"/>
              </w:rPr>
              <w:t>. 2020</w:t>
            </w:r>
          </w:p>
        </w:tc>
        <w:tc>
          <w:tcPr>
            <w:tcW w:w="760" w:type="pct"/>
            <w:tcBorders>
              <w:top w:val="single" w:sz="4" w:space="0" w:color="92D400"/>
              <w:bottom w:val="single" w:sz="4" w:space="0" w:color="92D400"/>
            </w:tcBorders>
            <w:shd w:val="clear" w:color="auto" w:fill="auto"/>
            <w:vAlign w:val="center"/>
          </w:tcPr>
          <w:p w14:paraId="63C8D608" w14:textId="77777777" w:rsidR="00363DA0" w:rsidRPr="00BC7275" w:rsidRDefault="00363DA0" w:rsidP="00255944">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p>
        </w:tc>
      </w:tr>
      <w:tr w:rsidR="00363DA0" w:rsidRPr="00BC7275" w14:paraId="03254EB4" w14:textId="77777777" w:rsidTr="00617123">
        <w:trPr>
          <w:trHeight w:val="340"/>
        </w:trPr>
        <w:tc>
          <w:tcPr>
            <w:cnfStyle w:val="001000000000" w:firstRow="0" w:lastRow="0" w:firstColumn="1" w:lastColumn="0" w:oddVBand="0" w:evenVBand="0" w:oddHBand="0" w:evenHBand="0" w:firstRowFirstColumn="0" w:firstRowLastColumn="0" w:lastRowFirstColumn="0" w:lastRowLastColumn="0"/>
            <w:tcW w:w="193" w:type="pct"/>
            <w:tcBorders>
              <w:top w:val="single" w:sz="4" w:space="0" w:color="92D400"/>
              <w:bottom w:val="single" w:sz="4" w:space="0" w:color="92D400"/>
            </w:tcBorders>
            <w:vAlign w:val="center"/>
          </w:tcPr>
          <w:p w14:paraId="531AB51C" w14:textId="77777777" w:rsidR="00363DA0" w:rsidRPr="00BC7275" w:rsidRDefault="00363DA0" w:rsidP="00255944">
            <w:pPr>
              <w:rPr>
                <w:rFonts w:eastAsia="Times New Roman" w:cs="Calibri"/>
                <w:color w:val="000000"/>
                <w:szCs w:val="18"/>
                <w:lang w:eastAsia="cs-CZ"/>
              </w:rPr>
            </w:pPr>
            <w:r w:rsidRPr="00BC7275">
              <w:rPr>
                <w:rFonts w:eastAsia="Times New Roman" w:cs="Calibri"/>
                <w:color w:val="000000"/>
                <w:szCs w:val="18"/>
                <w:lang w:eastAsia="cs-CZ"/>
              </w:rPr>
              <w:t>5</w:t>
            </w:r>
          </w:p>
        </w:tc>
        <w:tc>
          <w:tcPr>
            <w:tcW w:w="2414" w:type="pct"/>
            <w:tcBorders>
              <w:top w:val="single" w:sz="4" w:space="0" w:color="92D400"/>
              <w:bottom w:val="single" w:sz="4" w:space="0" w:color="92D400"/>
            </w:tcBorders>
            <w:vAlign w:val="center"/>
          </w:tcPr>
          <w:p w14:paraId="42A2E177" w14:textId="77777777" w:rsidR="00363DA0" w:rsidRPr="00BC7275" w:rsidRDefault="00363DA0" w:rsidP="000126A9">
            <w:pPr>
              <w:cnfStyle w:val="000000000000" w:firstRow="0" w:lastRow="0" w:firstColumn="0" w:lastColumn="0" w:oddVBand="0" w:evenVBand="0" w:oddHBand="0" w:evenHBand="0" w:firstRowFirstColumn="0" w:firstRowLastColumn="0" w:lastRowFirstColumn="0" w:lastRowLastColumn="0"/>
              <w:rPr>
                <w:color w:val="000000"/>
                <w:szCs w:val="18"/>
              </w:rPr>
            </w:pPr>
            <w:r w:rsidRPr="00BC7275">
              <w:rPr>
                <w:color w:val="000000"/>
                <w:szCs w:val="18"/>
              </w:rPr>
              <w:t xml:space="preserve">Realizace </w:t>
            </w:r>
            <w:r>
              <w:rPr>
                <w:color w:val="000000"/>
                <w:szCs w:val="18"/>
              </w:rPr>
              <w:t>fokusní skupin</w:t>
            </w:r>
            <w:r w:rsidR="006038B8">
              <w:rPr>
                <w:color w:val="000000"/>
                <w:szCs w:val="18"/>
              </w:rPr>
              <w:t>y</w:t>
            </w:r>
          </w:p>
        </w:tc>
        <w:tc>
          <w:tcPr>
            <w:tcW w:w="849" w:type="pct"/>
            <w:tcBorders>
              <w:top w:val="single" w:sz="4" w:space="0" w:color="92D400"/>
              <w:bottom w:val="single" w:sz="4" w:space="0" w:color="92D400"/>
            </w:tcBorders>
            <w:vAlign w:val="center"/>
          </w:tcPr>
          <w:p w14:paraId="7DB07A74" w14:textId="77777777" w:rsidR="00363DA0" w:rsidRPr="00BC7275" w:rsidRDefault="00363DA0" w:rsidP="00255944">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sidRPr="00BC7275">
              <w:rPr>
                <w:rFonts w:eastAsia="Times New Roman" w:cs="Calibri"/>
                <w:color w:val="000000"/>
                <w:szCs w:val="18"/>
                <w:lang w:eastAsia="cs-CZ"/>
              </w:rPr>
              <w:t>Deloitte</w:t>
            </w:r>
          </w:p>
        </w:tc>
        <w:tc>
          <w:tcPr>
            <w:tcW w:w="784" w:type="pct"/>
            <w:tcBorders>
              <w:top w:val="single" w:sz="4" w:space="0" w:color="92D400"/>
              <w:bottom w:val="single" w:sz="4" w:space="0" w:color="92D400"/>
            </w:tcBorders>
            <w:vAlign w:val="center"/>
          </w:tcPr>
          <w:p w14:paraId="7656A761" w14:textId="77777777" w:rsidR="00363DA0" w:rsidRPr="00BC7275" w:rsidRDefault="00363DA0" w:rsidP="006038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 xml:space="preserve"> 25. </w:t>
            </w:r>
            <w:r w:rsidR="006038B8">
              <w:rPr>
                <w:rFonts w:asciiTheme="majorHAnsi" w:hAnsiTheme="majorHAnsi" w:cs="Calibri"/>
                <w:color w:val="000000"/>
                <w:szCs w:val="18"/>
                <w:lang w:eastAsia="cs-CZ"/>
              </w:rPr>
              <w:t>5</w:t>
            </w:r>
            <w:r>
              <w:rPr>
                <w:rFonts w:asciiTheme="majorHAnsi" w:hAnsiTheme="majorHAnsi" w:cs="Calibri"/>
                <w:color w:val="000000"/>
                <w:szCs w:val="18"/>
                <w:lang w:eastAsia="cs-CZ"/>
              </w:rPr>
              <w:t>. 2020</w:t>
            </w:r>
          </w:p>
        </w:tc>
        <w:tc>
          <w:tcPr>
            <w:tcW w:w="760" w:type="pct"/>
            <w:tcBorders>
              <w:top w:val="single" w:sz="4" w:space="0" w:color="92D400"/>
              <w:bottom w:val="single" w:sz="4" w:space="0" w:color="92D400"/>
            </w:tcBorders>
            <w:shd w:val="clear" w:color="auto" w:fill="auto"/>
            <w:vAlign w:val="center"/>
          </w:tcPr>
          <w:p w14:paraId="75601C29" w14:textId="77777777" w:rsidR="00363DA0" w:rsidRPr="00BC7275" w:rsidRDefault="00363DA0" w:rsidP="00255944">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p>
        </w:tc>
      </w:tr>
      <w:tr w:rsidR="00363DA0" w:rsidRPr="00BC7275" w14:paraId="34ABB00D" w14:textId="77777777" w:rsidTr="00617123">
        <w:trPr>
          <w:trHeight w:val="340"/>
        </w:trPr>
        <w:tc>
          <w:tcPr>
            <w:cnfStyle w:val="001000000000" w:firstRow="0" w:lastRow="0" w:firstColumn="1" w:lastColumn="0" w:oddVBand="0" w:evenVBand="0" w:oddHBand="0" w:evenHBand="0" w:firstRowFirstColumn="0" w:firstRowLastColumn="0" w:lastRowFirstColumn="0" w:lastRowLastColumn="0"/>
            <w:tcW w:w="193" w:type="pct"/>
            <w:tcBorders>
              <w:top w:val="single" w:sz="4" w:space="0" w:color="92D400"/>
            </w:tcBorders>
            <w:vAlign w:val="center"/>
          </w:tcPr>
          <w:p w14:paraId="494901F8" w14:textId="77777777" w:rsidR="00363DA0" w:rsidRPr="00BC7275" w:rsidRDefault="00363DA0" w:rsidP="00255944">
            <w:pPr>
              <w:rPr>
                <w:rFonts w:eastAsia="Times New Roman" w:cs="Calibri"/>
                <w:color w:val="000000"/>
                <w:szCs w:val="18"/>
                <w:lang w:eastAsia="cs-CZ"/>
              </w:rPr>
            </w:pPr>
            <w:r w:rsidRPr="00BC7275">
              <w:rPr>
                <w:rFonts w:eastAsia="Times New Roman" w:cs="Calibri"/>
                <w:color w:val="000000"/>
                <w:szCs w:val="18"/>
                <w:lang w:eastAsia="cs-CZ"/>
              </w:rPr>
              <w:t>6</w:t>
            </w:r>
          </w:p>
        </w:tc>
        <w:tc>
          <w:tcPr>
            <w:tcW w:w="2414" w:type="pct"/>
            <w:tcBorders>
              <w:top w:val="single" w:sz="4" w:space="0" w:color="92D400"/>
            </w:tcBorders>
            <w:vAlign w:val="center"/>
          </w:tcPr>
          <w:p w14:paraId="10DD51E1" w14:textId="77777777" w:rsidR="00363DA0" w:rsidRPr="00BC7275" w:rsidRDefault="00363DA0" w:rsidP="00255944">
            <w:pPr>
              <w:cnfStyle w:val="000000000000" w:firstRow="0" w:lastRow="0" w:firstColumn="0" w:lastColumn="0" w:oddVBand="0" w:evenVBand="0" w:oddHBand="0" w:evenHBand="0" w:firstRowFirstColumn="0" w:firstRowLastColumn="0" w:lastRowFirstColumn="0" w:lastRowLastColumn="0"/>
              <w:rPr>
                <w:color w:val="000000"/>
                <w:szCs w:val="18"/>
              </w:rPr>
            </w:pPr>
            <w:r w:rsidRPr="00BC7275">
              <w:rPr>
                <w:color w:val="000000"/>
                <w:szCs w:val="18"/>
              </w:rPr>
              <w:t>Vyhodnocení výstupů</w:t>
            </w:r>
          </w:p>
        </w:tc>
        <w:tc>
          <w:tcPr>
            <w:tcW w:w="849" w:type="pct"/>
            <w:tcBorders>
              <w:top w:val="single" w:sz="4" w:space="0" w:color="92D400"/>
            </w:tcBorders>
            <w:vAlign w:val="center"/>
          </w:tcPr>
          <w:p w14:paraId="159AD37F" w14:textId="77777777" w:rsidR="00363DA0" w:rsidRPr="00BC7275" w:rsidRDefault="00363DA0" w:rsidP="00255944">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sidRPr="00BC7275">
              <w:rPr>
                <w:rFonts w:eastAsia="Times New Roman" w:cs="Calibri"/>
                <w:color w:val="000000"/>
                <w:szCs w:val="18"/>
                <w:lang w:eastAsia="cs-CZ"/>
              </w:rPr>
              <w:t>Deloitte</w:t>
            </w:r>
          </w:p>
        </w:tc>
        <w:tc>
          <w:tcPr>
            <w:tcW w:w="784" w:type="pct"/>
            <w:tcBorders>
              <w:top w:val="single" w:sz="4" w:space="0" w:color="92D400"/>
            </w:tcBorders>
            <w:vAlign w:val="center"/>
          </w:tcPr>
          <w:p w14:paraId="6FB06FCC" w14:textId="77777777" w:rsidR="00363DA0" w:rsidRPr="00BC7275" w:rsidRDefault="00363DA0" w:rsidP="006038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 xml:space="preserve">2. </w:t>
            </w:r>
            <w:r w:rsidR="006038B8">
              <w:rPr>
                <w:rFonts w:asciiTheme="majorHAnsi" w:hAnsiTheme="majorHAnsi" w:cs="Calibri"/>
                <w:color w:val="000000"/>
                <w:szCs w:val="18"/>
                <w:lang w:eastAsia="cs-CZ"/>
              </w:rPr>
              <w:t>6</w:t>
            </w:r>
            <w:r>
              <w:rPr>
                <w:rFonts w:asciiTheme="majorHAnsi" w:hAnsiTheme="majorHAnsi" w:cs="Calibri"/>
                <w:color w:val="000000"/>
                <w:szCs w:val="18"/>
                <w:lang w:eastAsia="cs-CZ"/>
              </w:rPr>
              <w:t>. 2020</w:t>
            </w:r>
          </w:p>
        </w:tc>
        <w:tc>
          <w:tcPr>
            <w:tcW w:w="760" w:type="pct"/>
            <w:tcBorders>
              <w:top w:val="single" w:sz="4" w:space="0" w:color="92D400"/>
            </w:tcBorders>
            <w:shd w:val="clear" w:color="auto" w:fill="auto"/>
            <w:vAlign w:val="center"/>
          </w:tcPr>
          <w:p w14:paraId="5EBDDBF2" w14:textId="77777777" w:rsidR="00363DA0" w:rsidRPr="00BC7275" w:rsidRDefault="00363DA0" w:rsidP="00255944">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p>
        </w:tc>
      </w:tr>
    </w:tbl>
    <w:p w14:paraId="398DB418" w14:textId="77777777" w:rsidR="005B62B3" w:rsidRDefault="005B62B3" w:rsidP="005B62B3">
      <w:pPr>
        <w:pStyle w:val="Bntext"/>
      </w:pPr>
    </w:p>
    <w:p w14:paraId="7CAF2C4A" w14:textId="77777777" w:rsidR="003C3817" w:rsidRDefault="003C3817" w:rsidP="006062A7">
      <w:pPr>
        <w:pStyle w:val="Nadpis2"/>
        <w:ind w:hanging="720"/>
      </w:pPr>
      <w:bookmarkStart w:id="30" w:name="_Toc25228653"/>
      <w:r>
        <w:lastRenderedPageBreak/>
        <w:t>Expertní panel</w:t>
      </w:r>
      <w:bookmarkEnd w:id="30"/>
    </w:p>
    <w:p w14:paraId="6743037F" w14:textId="77777777" w:rsidR="003C3817" w:rsidRPr="00CE7B5B" w:rsidRDefault="003C3817" w:rsidP="00CE7B5B">
      <w:pPr>
        <w:spacing w:before="240" w:after="120" w:line="240" w:lineRule="auto"/>
        <w:rPr>
          <w:b/>
          <w:color w:val="012169" w:themeColor="accent4"/>
        </w:rPr>
      </w:pPr>
      <w:r w:rsidRPr="00CE7B5B">
        <w:rPr>
          <w:b/>
          <w:color w:val="012169" w:themeColor="accent4"/>
        </w:rPr>
        <w:t>Způsob realizace</w:t>
      </w:r>
    </w:p>
    <w:p w14:paraId="10EA1FA4" w14:textId="77777777" w:rsidR="00CE6508" w:rsidRDefault="00CE6508" w:rsidP="00CE6508">
      <w:pPr>
        <w:spacing w:after="60" w:line="240" w:lineRule="auto"/>
        <w:jc w:val="both"/>
        <w:rPr>
          <w:szCs w:val="18"/>
        </w:rPr>
      </w:pPr>
      <w:r>
        <w:rPr>
          <w:szCs w:val="18"/>
        </w:rPr>
        <w:t xml:space="preserve">Cílem expertního panelu (dále také „EP“) </w:t>
      </w:r>
      <w:r w:rsidR="00426DDC">
        <w:rPr>
          <w:szCs w:val="18"/>
        </w:rPr>
        <w:t xml:space="preserve">a také důvodem, proč se Dodavatel rozhodl tuto metodu použít, </w:t>
      </w:r>
      <w:r>
        <w:rPr>
          <w:szCs w:val="18"/>
        </w:rPr>
        <w:t xml:space="preserve">je diskutovat návrh zamýšlených změn procesů a získat expertní zpětnou vazbu od </w:t>
      </w:r>
      <w:r w:rsidR="00783681">
        <w:rPr>
          <w:szCs w:val="18"/>
        </w:rPr>
        <w:t xml:space="preserve">vedoucích relevantních úseků jednotlivých částí implementační struktury </w:t>
      </w:r>
      <w:r w:rsidR="00D338E3">
        <w:rPr>
          <w:szCs w:val="18"/>
        </w:rPr>
        <w:t xml:space="preserve">nebo garantů </w:t>
      </w:r>
      <w:r w:rsidR="008C286A">
        <w:rPr>
          <w:szCs w:val="18"/>
        </w:rPr>
        <w:t>evalučních okruhů / procesních</w:t>
      </w:r>
      <w:r w:rsidR="00D338E3">
        <w:rPr>
          <w:szCs w:val="18"/>
        </w:rPr>
        <w:t xml:space="preserve"> oblastí </w:t>
      </w:r>
      <w:r w:rsidR="00783681">
        <w:rPr>
          <w:szCs w:val="18"/>
        </w:rPr>
        <w:t xml:space="preserve">na klíčová zjištění evaluace a možnosti implementace navrhovaných opatření. </w:t>
      </w:r>
      <w:r w:rsidR="00ED77C9">
        <w:rPr>
          <w:szCs w:val="18"/>
        </w:rPr>
        <w:t xml:space="preserve"> </w:t>
      </w:r>
    </w:p>
    <w:p w14:paraId="00CC9DC4" w14:textId="77777777" w:rsidR="0034481A" w:rsidRPr="00BC7275" w:rsidRDefault="003C3817" w:rsidP="003C3817">
      <w:pPr>
        <w:spacing w:before="113" w:after="113" w:line="240" w:lineRule="auto"/>
        <w:jc w:val="both"/>
        <w:rPr>
          <w:szCs w:val="18"/>
        </w:rPr>
      </w:pPr>
      <w:r w:rsidRPr="00BC7275">
        <w:rPr>
          <w:szCs w:val="18"/>
        </w:rPr>
        <w:t xml:space="preserve">Dodavatel osloví nominované účastníky s dostatečným předstihem a zajistí nejvhodnější termín a místo realizace </w:t>
      </w:r>
      <w:r w:rsidR="001B436F">
        <w:rPr>
          <w:szCs w:val="18"/>
        </w:rPr>
        <w:t>EP</w:t>
      </w:r>
      <w:r w:rsidRPr="00BC7275">
        <w:rPr>
          <w:szCs w:val="18"/>
        </w:rPr>
        <w:t xml:space="preserve">. Expertní panel bude realizován po dohodě s účastníky v sídle Deloitte v Praze nebo v jednom z vybraných sídel MPO. Potvrzeným účastníkům budou Dodavatelem týden dopředu zaslány okruhy otázek a účastníci budou vyzváni k vlastní přípravě odpovědí na tyto otázky diskutované na </w:t>
      </w:r>
      <w:r w:rsidR="001B436F">
        <w:rPr>
          <w:szCs w:val="18"/>
        </w:rPr>
        <w:t>EP</w:t>
      </w:r>
      <w:r w:rsidR="00CE6508">
        <w:rPr>
          <w:szCs w:val="18"/>
        </w:rPr>
        <w:t>.</w:t>
      </w:r>
      <w:r w:rsidR="001B436F">
        <w:rPr>
          <w:szCs w:val="18"/>
        </w:rPr>
        <w:t xml:space="preserve"> S</w:t>
      </w:r>
      <w:r w:rsidRPr="00BC7275">
        <w:rPr>
          <w:szCs w:val="18"/>
        </w:rPr>
        <w:t>amotný panel bude trvat cca 1,5 - 2,5 hodiny.</w:t>
      </w:r>
    </w:p>
    <w:p w14:paraId="44CD0ABF" w14:textId="77777777" w:rsidR="003C3817" w:rsidRPr="00CE7B5B" w:rsidRDefault="003C3817" w:rsidP="00CE7B5B">
      <w:pPr>
        <w:spacing w:before="240" w:after="120" w:line="240" w:lineRule="auto"/>
        <w:rPr>
          <w:b/>
          <w:color w:val="012169" w:themeColor="accent4"/>
        </w:rPr>
      </w:pPr>
      <w:r w:rsidRPr="00CE7B5B">
        <w:rPr>
          <w:b/>
          <w:color w:val="012169" w:themeColor="accent4"/>
        </w:rPr>
        <w:t>Účastníci</w:t>
      </w:r>
    </w:p>
    <w:p w14:paraId="0922111E" w14:textId="77777777" w:rsidR="00CE6508" w:rsidRDefault="003C3817" w:rsidP="00CE6508">
      <w:pPr>
        <w:spacing w:before="113" w:after="113" w:line="240" w:lineRule="auto"/>
        <w:jc w:val="both"/>
        <w:rPr>
          <w:szCs w:val="18"/>
        </w:rPr>
      </w:pPr>
      <w:r w:rsidRPr="00BC7275">
        <w:rPr>
          <w:szCs w:val="18"/>
        </w:rPr>
        <w:t xml:space="preserve">Výběr účastníků reflektuje cíle a nastavení expertního panelu, který klade požadavky na nezaujatost, expertízu a mnohostrannost názorového zastoupení. Za tímto účelem </w:t>
      </w:r>
      <w:r w:rsidR="00CE6508">
        <w:rPr>
          <w:szCs w:val="18"/>
        </w:rPr>
        <w:t xml:space="preserve">by dle Dodavatele měl být </w:t>
      </w:r>
      <w:r w:rsidR="001B436F">
        <w:rPr>
          <w:szCs w:val="18"/>
        </w:rPr>
        <w:t>EP</w:t>
      </w:r>
      <w:r w:rsidR="00CE6508">
        <w:rPr>
          <w:szCs w:val="18"/>
        </w:rPr>
        <w:t xml:space="preserve"> složen ze všech cílových skupin evaluace, tj.:</w:t>
      </w:r>
    </w:p>
    <w:p w14:paraId="7AF74EA9" w14:textId="77777777" w:rsidR="00783681" w:rsidRDefault="00CE6508" w:rsidP="00617123">
      <w:pPr>
        <w:pStyle w:val="Odstavecseseznamem"/>
        <w:numPr>
          <w:ilvl w:val="0"/>
          <w:numId w:val="26"/>
        </w:numPr>
        <w:spacing w:after="120" w:line="240" w:lineRule="auto"/>
        <w:ind w:left="714" w:hanging="357"/>
        <w:contextualSpacing w:val="0"/>
        <w:jc w:val="both"/>
        <w:rPr>
          <w:szCs w:val="18"/>
        </w:rPr>
      </w:pPr>
      <w:r>
        <w:rPr>
          <w:szCs w:val="18"/>
        </w:rPr>
        <w:t xml:space="preserve">Zástupců </w:t>
      </w:r>
      <w:r w:rsidR="00381D6C">
        <w:rPr>
          <w:szCs w:val="18"/>
        </w:rPr>
        <w:t xml:space="preserve">vedoucích </w:t>
      </w:r>
      <w:r w:rsidR="00783681">
        <w:rPr>
          <w:szCs w:val="18"/>
        </w:rPr>
        <w:t xml:space="preserve">pracovníků </w:t>
      </w:r>
      <w:r w:rsidR="00D20A7A">
        <w:rPr>
          <w:szCs w:val="18"/>
        </w:rPr>
        <w:t xml:space="preserve">klíčových Sekcí a oddělení </w:t>
      </w:r>
      <w:r w:rsidR="00783681">
        <w:rPr>
          <w:szCs w:val="18"/>
        </w:rPr>
        <w:t>MPO pro implementaci fondů EU</w:t>
      </w:r>
      <w:r w:rsidR="00FB7854">
        <w:rPr>
          <w:szCs w:val="18"/>
        </w:rPr>
        <w:t xml:space="preserve"> </w:t>
      </w:r>
      <w:r w:rsidR="00D20A7A">
        <w:rPr>
          <w:szCs w:val="18"/>
        </w:rPr>
        <w:t>(Sekce fondů EU MPO, Sekce státní tajemnice,</w:t>
      </w:r>
      <w:r w:rsidR="00783681">
        <w:rPr>
          <w:szCs w:val="18"/>
        </w:rPr>
        <w:t xml:space="preserve"> Odbor kontroly apod.)</w:t>
      </w:r>
    </w:p>
    <w:p w14:paraId="7C91B462" w14:textId="77777777" w:rsidR="00783681" w:rsidRDefault="00783681" w:rsidP="00617123">
      <w:pPr>
        <w:pStyle w:val="Odstavecseseznamem"/>
        <w:numPr>
          <w:ilvl w:val="0"/>
          <w:numId w:val="26"/>
        </w:numPr>
        <w:spacing w:after="120" w:line="240" w:lineRule="auto"/>
        <w:ind w:left="714" w:hanging="357"/>
        <w:contextualSpacing w:val="0"/>
        <w:jc w:val="both"/>
        <w:rPr>
          <w:szCs w:val="18"/>
        </w:rPr>
      </w:pPr>
      <w:r>
        <w:rPr>
          <w:szCs w:val="18"/>
        </w:rPr>
        <w:t>Zástupců vedoucích pracovníků API (</w:t>
      </w:r>
      <w:r w:rsidR="00D20A7A">
        <w:rPr>
          <w:szCs w:val="18"/>
        </w:rPr>
        <w:t>Sekce rozvoje podnikatelského prostředí, Sekce konkurenceschopnosti, Sekce řízení a podpory fondů EU</w:t>
      </w:r>
      <w:r>
        <w:rPr>
          <w:szCs w:val="18"/>
        </w:rPr>
        <w:t xml:space="preserve">) </w:t>
      </w:r>
    </w:p>
    <w:p w14:paraId="7CC211B4" w14:textId="77777777" w:rsidR="00CE6508" w:rsidRDefault="00783681" w:rsidP="00617123">
      <w:pPr>
        <w:pStyle w:val="Odstavecseseznamem"/>
        <w:numPr>
          <w:ilvl w:val="0"/>
          <w:numId w:val="26"/>
        </w:numPr>
        <w:spacing w:after="120" w:line="240" w:lineRule="auto"/>
        <w:ind w:left="714" w:hanging="357"/>
        <w:contextualSpacing w:val="0"/>
        <w:jc w:val="both"/>
        <w:rPr>
          <w:szCs w:val="18"/>
        </w:rPr>
      </w:pPr>
      <w:r>
        <w:rPr>
          <w:szCs w:val="18"/>
        </w:rPr>
        <w:t>Z</w:t>
      </w:r>
      <w:r w:rsidR="00D20A7A">
        <w:rPr>
          <w:szCs w:val="18"/>
        </w:rPr>
        <w:t>ástupc</w:t>
      </w:r>
      <w:r>
        <w:rPr>
          <w:szCs w:val="18"/>
        </w:rPr>
        <w:t>ů</w:t>
      </w:r>
      <w:r w:rsidR="00D20A7A">
        <w:rPr>
          <w:szCs w:val="18"/>
        </w:rPr>
        <w:t xml:space="preserve"> vedení ČMZRB </w:t>
      </w:r>
      <w:r>
        <w:rPr>
          <w:szCs w:val="18"/>
        </w:rPr>
        <w:t>(</w:t>
      </w:r>
      <w:r w:rsidR="00D20A7A">
        <w:rPr>
          <w:szCs w:val="18"/>
        </w:rPr>
        <w:t>Úsek řízení obchodu, Úsek generálního ředitele, Úsek finanční)</w:t>
      </w:r>
    </w:p>
    <w:p w14:paraId="3C2E1B34" w14:textId="77777777" w:rsidR="005179B5" w:rsidRDefault="005179B5" w:rsidP="00617123">
      <w:pPr>
        <w:pStyle w:val="Odstavecseseznamem"/>
        <w:numPr>
          <w:ilvl w:val="0"/>
          <w:numId w:val="26"/>
        </w:numPr>
        <w:spacing w:after="120" w:line="240" w:lineRule="auto"/>
        <w:ind w:left="714" w:hanging="357"/>
        <w:contextualSpacing w:val="0"/>
        <w:jc w:val="both"/>
        <w:rPr>
          <w:szCs w:val="18"/>
        </w:rPr>
      </w:pPr>
      <w:r>
        <w:rPr>
          <w:szCs w:val="18"/>
        </w:rPr>
        <w:t>Zástupců MMR-NOK, případně MFCR, coby auditního a certifikačního orgánu</w:t>
      </w:r>
    </w:p>
    <w:p w14:paraId="4FD67A9F" w14:textId="77777777" w:rsidR="005179B5" w:rsidRDefault="005179B5" w:rsidP="00617123">
      <w:pPr>
        <w:pStyle w:val="Odstavecseseznamem"/>
        <w:numPr>
          <w:ilvl w:val="0"/>
          <w:numId w:val="26"/>
        </w:numPr>
        <w:spacing w:after="120" w:line="240" w:lineRule="auto"/>
        <w:ind w:left="714" w:hanging="357"/>
        <w:contextualSpacing w:val="0"/>
        <w:jc w:val="both"/>
        <w:rPr>
          <w:szCs w:val="18"/>
        </w:rPr>
      </w:pPr>
      <w:r>
        <w:rPr>
          <w:szCs w:val="18"/>
        </w:rPr>
        <w:t>Zástupců zastřešujících partnerských subjektů, podnikatelských svazů a asociací</w:t>
      </w:r>
    </w:p>
    <w:p w14:paraId="722B12B4" w14:textId="77777777" w:rsidR="001B436F" w:rsidRPr="00CE6508" w:rsidRDefault="001B436F" w:rsidP="00CE7B5B">
      <w:pPr>
        <w:spacing w:before="113" w:after="113" w:line="240" w:lineRule="auto"/>
        <w:jc w:val="both"/>
        <w:rPr>
          <w:szCs w:val="18"/>
        </w:rPr>
      </w:pPr>
      <w:r w:rsidRPr="00BC7275">
        <w:rPr>
          <w:szCs w:val="18"/>
        </w:rPr>
        <w:t xml:space="preserve">Expertního panelu se zúčastní 8 </w:t>
      </w:r>
      <w:r>
        <w:rPr>
          <w:szCs w:val="18"/>
        </w:rPr>
        <w:t xml:space="preserve">– 10 </w:t>
      </w:r>
      <w:r w:rsidRPr="00BC7275">
        <w:rPr>
          <w:szCs w:val="18"/>
        </w:rPr>
        <w:t>účastníků</w:t>
      </w:r>
      <w:r>
        <w:rPr>
          <w:szCs w:val="18"/>
        </w:rPr>
        <w:t>.</w:t>
      </w:r>
    </w:p>
    <w:p w14:paraId="797987A3" w14:textId="77777777" w:rsidR="003C3817" w:rsidRPr="00CE7B5B" w:rsidRDefault="003C3817" w:rsidP="00CE7B5B">
      <w:pPr>
        <w:keepNext/>
        <w:spacing w:before="240" w:after="120" w:line="240" w:lineRule="auto"/>
        <w:rPr>
          <w:b/>
          <w:color w:val="012169" w:themeColor="accent4"/>
        </w:rPr>
      </w:pPr>
      <w:r w:rsidRPr="00CE7B5B">
        <w:rPr>
          <w:b/>
          <w:color w:val="012169" w:themeColor="accent4"/>
        </w:rPr>
        <w:t>Dílčí harmonogram</w:t>
      </w:r>
    </w:p>
    <w:p w14:paraId="465568FB" w14:textId="77777777" w:rsidR="003C3817" w:rsidRPr="00BC7275" w:rsidRDefault="003C3817" w:rsidP="003C3817">
      <w:pPr>
        <w:jc w:val="both"/>
      </w:pPr>
      <w:r w:rsidRPr="00BC7275">
        <w:t xml:space="preserve">V rámci realizace </w:t>
      </w:r>
      <w:r w:rsidR="001B436F">
        <w:t>EP</w:t>
      </w:r>
      <w:r w:rsidRPr="00BC7275">
        <w:t xml:space="preserve"> podnikne Dodavatel tyto klíčové kroky, přičemž u některých z nich bude od Zadavatele potřebovat součinnost.</w:t>
      </w:r>
    </w:p>
    <w:p w14:paraId="55A94D42" w14:textId="77777777" w:rsidR="00D338E3" w:rsidRDefault="00D338E3" w:rsidP="008C286A">
      <w:pPr>
        <w:pStyle w:val="Titulek"/>
        <w:jc w:val="center"/>
      </w:pPr>
      <w:bookmarkStart w:id="31" w:name="_Toc24384738"/>
      <w:r>
        <w:t xml:space="preserve">Tabulka </w:t>
      </w:r>
      <w:r>
        <w:fldChar w:fldCharType="begin"/>
      </w:r>
      <w:r>
        <w:instrText xml:space="preserve"> SEQ Tabulka \* ARABIC </w:instrText>
      </w:r>
      <w:r>
        <w:fldChar w:fldCharType="separate"/>
      </w:r>
      <w:r w:rsidR="00E93151">
        <w:rPr>
          <w:noProof/>
        </w:rPr>
        <w:t>12</w:t>
      </w:r>
      <w:r>
        <w:fldChar w:fldCharType="end"/>
      </w:r>
      <w:r w:rsidR="008C286A">
        <w:t>:</w:t>
      </w:r>
      <w:r>
        <w:t xml:space="preserve"> Harmonogram expertního panelu</w:t>
      </w:r>
      <w:bookmarkEnd w:id="31"/>
    </w:p>
    <w:tbl>
      <w:tblPr>
        <w:tblStyle w:val="Deloittetable11"/>
        <w:tblW w:w="5000" w:type="pct"/>
        <w:tblCellMar>
          <w:top w:w="0" w:type="dxa"/>
          <w:left w:w="108" w:type="dxa"/>
          <w:bottom w:w="0" w:type="dxa"/>
          <w:right w:w="108" w:type="dxa"/>
        </w:tblCellMar>
        <w:tblLook w:val="04A0" w:firstRow="1" w:lastRow="0" w:firstColumn="1" w:lastColumn="0" w:noHBand="0" w:noVBand="1"/>
      </w:tblPr>
      <w:tblGrid>
        <w:gridCol w:w="390"/>
        <w:gridCol w:w="4872"/>
        <w:gridCol w:w="1714"/>
        <w:gridCol w:w="1582"/>
        <w:gridCol w:w="1534"/>
      </w:tblGrid>
      <w:tr w:rsidR="003C3817" w:rsidRPr="00BC7275" w14:paraId="6C13AD2D" w14:textId="77777777" w:rsidTr="00972D90">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93" w:type="pct"/>
            <w:vAlign w:val="center"/>
          </w:tcPr>
          <w:p w14:paraId="5B05C247" w14:textId="77777777" w:rsidR="003C3817" w:rsidRPr="00BC7275" w:rsidRDefault="003C3817" w:rsidP="00972D90">
            <w:pPr>
              <w:jc w:val="center"/>
              <w:rPr>
                <w:rFonts w:asciiTheme="majorHAnsi" w:hAnsiTheme="majorHAnsi" w:cs="Arial"/>
                <w:bCs/>
                <w:color w:val="FFFFFF" w:themeColor="background1"/>
                <w:szCs w:val="18"/>
                <w:lang w:eastAsia="cs-CZ"/>
              </w:rPr>
            </w:pPr>
            <w:r w:rsidRPr="00BC7275">
              <w:rPr>
                <w:rFonts w:eastAsia="Times New Roman" w:cs="Arial"/>
                <w:bCs/>
                <w:color w:val="FFFFFF" w:themeColor="background1"/>
                <w:szCs w:val="18"/>
                <w:lang w:eastAsia="cs-CZ"/>
              </w:rPr>
              <w:t>Č</w:t>
            </w:r>
          </w:p>
        </w:tc>
        <w:tc>
          <w:tcPr>
            <w:tcW w:w="2414" w:type="pct"/>
            <w:vAlign w:val="center"/>
          </w:tcPr>
          <w:p w14:paraId="06FB0DD1" w14:textId="77777777" w:rsidR="003C3817" w:rsidRPr="00BC7275" w:rsidRDefault="003C3817" w:rsidP="00972D90">
            <w:pPr>
              <w:cnfStyle w:val="100000000000" w:firstRow="1" w:lastRow="0" w:firstColumn="0" w:lastColumn="0" w:oddVBand="0" w:evenVBand="0" w:oddHBand="0" w:evenHBand="0" w:firstRowFirstColumn="0" w:firstRowLastColumn="0" w:lastRowFirstColumn="0" w:lastRowLastColumn="0"/>
              <w:rPr>
                <w:rFonts w:asciiTheme="majorHAnsi" w:hAnsiTheme="majorHAnsi" w:cs="Arial"/>
                <w:bCs/>
                <w:color w:val="FFFFFF" w:themeColor="background1"/>
                <w:szCs w:val="18"/>
                <w:lang w:eastAsia="cs-CZ"/>
              </w:rPr>
            </w:pPr>
            <w:r w:rsidRPr="00BC7275">
              <w:rPr>
                <w:rFonts w:eastAsia="Times New Roman" w:cs="Arial"/>
                <w:bCs/>
                <w:color w:val="FFFFFF" w:themeColor="background1"/>
                <w:szCs w:val="18"/>
                <w:lang w:eastAsia="cs-CZ"/>
              </w:rPr>
              <w:t>Aktivita</w:t>
            </w:r>
          </w:p>
        </w:tc>
        <w:tc>
          <w:tcPr>
            <w:tcW w:w="849" w:type="pct"/>
            <w:vAlign w:val="center"/>
          </w:tcPr>
          <w:p w14:paraId="684DAD3E" w14:textId="77777777" w:rsidR="003C3817" w:rsidRPr="00BC7275" w:rsidRDefault="003C3817" w:rsidP="00972D9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color w:val="FFFFFF" w:themeColor="background1"/>
                <w:szCs w:val="18"/>
                <w:lang w:eastAsia="cs-CZ"/>
              </w:rPr>
            </w:pPr>
            <w:r w:rsidRPr="00BC7275">
              <w:rPr>
                <w:rFonts w:eastAsia="Times New Roman" w:cs="Arial"/>
                <w:bCs/>
                <w:color w:val="FFFFFF" w:themeColor="background1"/>
                <w:szCs w:val="18"/>
                <w:lang w:eastAsia="cs-CZ"/>
              </w:rPr>
              <w:t>Odpovědnost</w:t>
            </w:r>
          </w:p>
        </w:tc>
        <w:tc>
          <w:tcPr>
            <w:tcW w:w="784" w:type="pct"/>
            <w:vAlign w:val="center"/>
          </w:tcPr>
          <w:p w14:paraId="06FC04B6" w14:textId="77777777" w:rsidR="003C3817" w:rsidRPr="00BC7275" w:rsidRDefault="003C3817" w:rsidP="00972D9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color w:val="FFFFFF" w:themeColor="background1"/>
                <w:szCs w:val="18"/>
                <w:lang w:eastAsia="cs-CZ"/>
              </w:rPr>
            </w:pPr>
            <w:r w:rsidRPr="00BC7275">
              <w:rPr>
                <w:rFonts w:eastAsia="Times New Roman" w:cs="Arial"/>
                <w:bCs/>
                <w:color w:val="FFFFFF" w:themeColor="background1"/>
                <w:szCs w:val="18"/>
                <w:lang w:eastAsia="cs-CZ"/>
              </w:rPr>
              <w:t>Termín</w:t>
            </w:r>
          </w:p>
        </w:tc>
        <w:tc>
          <w:tcPr>
            <w:tcW w:w="760" w:type="pct"/>
            <w:tcBorders>
              <w:bottom w:val="single" w:sz="4" w:space="0" w:color="92D400"/>
            </w:tcBorders>
            <w:vAlign w:val="center"/>
          </w:tcPr>
          <w:p w14:paraId="0D4D5DC9" w14:textId="77777777" w:rsidR="003C3817" w:rsidRPr="00BC7275" w:rsidRDefault="003C3817" w:rsidP="00972D9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color w:val="FFFFFF" w:themeColor="background1"/>
                <w:szCs w:val="18"/>
                <w:lang w:eastAsia="cs-CZ"/>
              </w:rPr>
            </w:pPr>
            <w:r w:rsidRPr="00BC7275">
              <w:rPr>
                <w:rFonts w:eastAsia="Times New Roman" w:cs="Arial"/>
                <w:bCs/>
                <w:color w:val="FFFFFF" w:themeColor="background1"/>
                <w:szCs w:val="18"/>
                <w:lang w:eastAsia="cs-CZ"/>
              </w:rPr>
              <w:t>Náročnost</w:t>
            </w:r>
          </w:p>
        </w:tc>
      </w:tr>
      <w:tr w:rsidR="003C3817" w:rsidRPr="00BC7275" w14:paraId="29751AB6" w14:textId="77777777" w:rsidTr="00617123">
        <w:trPr>
          <w:trHeight w:val="340"/>
        </w:trPr>
        <w:tc>
          <w:tcPr>
            <w:cnfStyle w:val="001000000000" w:firstRow="0" w:lastRow="0" w:firstColumn="1" w:lastColumn="0" w:oddVBand="0" w:evenVBand="0" w:oddHBand="0" w:evenHBand="0" w:firstRowFirstColumn="0" w:firstRowLastColumn="0" w:lastRowFirstColumn="0" w:lastRowLastColumn="0"/>
            <w:tcW w:w="193" w:type="pct"/>
            <w:tcBorders>
              <w:top w:val="single" w:sz="4" w:space="0" w:color="92D400"/>
            </w:tcBorders>
            <w:vAlign w:val="center"/>
          </w:tcPr>
          <w:p w14:paraId="49E78A4A" w14:textId="77777777" w:rsidR="003C3817" w:rsidRPr="00BC7275" w:rsidRDefault="003C3817" w:rsidP="003C3817">
            <w:pPr>
              <w:rPr>
                <w:rFonts w:asciiTheme="majorHAnsi" w:hAnsiTheme="majorHAnsi" w:cs="Calibri"/>
                <w:color w:val="000000"/>
                <w:szCs w:val="18"/>
                <w:lang w:eastAsia="cs-CZ"/>
              </w:rPr>
            </w:pPr>
            <w:r w:rsidRPr="00BC7275">
              <w:rPr>
                <w:rFonts w:eastAsia="Times New Roman" w:cs="Calibri"/>
                <w:color w:val="000000"/>
                <w:szCs w:val="18"/>
                <w:lang w:eastAsia="cs-CZ"/>
              </w:rPr>
              <w:t>1</w:t>
            </w:r>
          </w:p>
        </w:tc>
        <w:tc>
          <w:tcPr>
            <w:tcW w:w="2414" w:type="pct"/>
            <w:tcBorders>
              <w:top w:val="single" w:sz="4" w:space="0" w:color="92D400"/>
            </w:tcBorders>
            <w:vAlign w:val="center"/>
          </w:tcPr>
          <w:p w14:paraId="52B104EF" w14:textId="77777777" w:rsidR="003C3817" w:rsidRPr="00BC7275" w:rsidRDefault="003C3817" w:rsidP="001B436F">
            <w:pPr>
              <w:cnfStyle w:val="000000000000" w:firstRow="0" w:lastRow="0" w:firstColumn="0" w:lastColumn="0" w:oddVBand="0" w:evenVBand="0" w:oddHBand="0" w:evenHBand="0" w:firstRowFirstColumn="0" w:firstRowLastColumn="0" w:lastRowFirstColumn="0" w:lastRowLastColumn="0"/>
              <w:rPr>
                <w:color w:val="000000"/>
                <w:szCs w:val="18"/>
              </w:rPr>
            </w:pPr>
            <w:r w:rsidRPr="00BC7275">
              <w:rPr>
                <w:color w:val="000000"/>
                <w:szCs w:val="18"/>
              </w:rPr>
              <w:t xml:space="preserve">Návrh scénáře expertního panelu a seznamu </w:t>
            </w:r>
            <w:r w:rsidR="001B436F">
              <w:rPr>
                <w:color w:val="000000"/>
                <w:szCs w:val="18"/>
              </w:rPr>
              <w:t>účastníků</w:t>
            </w:r>
          </w:p>
        </w:tc>
        <w:tc>
          <w:tcPr>
            <w:tcW w:w="849" w:type="pct"/>
            <w:tcBorders>
              <w:top w:val="single" w:sz="4" w:space="0" w:color="92D400"/>
            </w:tcBorders>
            <w:vAlign w:val="center"/>
          </w:tcPr>
          <w:p w14:paraId="6C172CAC" w14:textId="77777777" w:rsidR="003C3817" w:rsidRPr="00BC7275" w:rsidRDefault="003C3817" w:rsidP="003C381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sidRPr="00BC7275">
              <w:rPr>
                <w:rFonts w:eastAsia="Times New Roman" w:cs="Calibri"/>
                <w:color w:val="000000"/>
                <w:szCs w:val="18"/>
                <w:lang w:eastAsia="cs-CZ"/>
              </w:rPr>
              <w:t>Deloitte</w:t>
            </w:r>
          </w:p>
        </w:tc>
        <w:tc>
          <w:tcPr>
            <w:tcW w:w="784" w:type="pct"/>
            <w:tcBorders>
              <w:top w:val="single" w:sz="4" w:space="0" w:color="92D400"/>
            </w:tcBorders>
            <w:vAlign w:val="center"/>
          </w:tcPr>
          <w:p w14:paraId="5019B93F" w14:textId="77777777" w:rsidR="003C3817" w:rsidRPr="00BC7275" w:rsidRDefault="00521113" w:rsidP="007836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15</w:t>
            </w:r>
            <w:r w:rsidR="00BA390D">
              <w:rPr>
                <w:rFonts w:asciiTheme="majorHAnsi" w:hAnsiTheme="majorHAnsi" w:cs="Calibri"/>
                <w:color w:val="000000"/>
                <w:szCs w:val="18"/>
                <w:lang w:eastAsia="cs-CZ"/>
              </w:rPr>
              <w:t xml:space="preserve">. </w:t>
            </w:r>
            <w:r>
              <w:rPr>
                <w:rFonts w:asciiTheme="majorHAnsi" w:hAnsiTheme="majorHAnsi" w:cs="Calibri"/>
                <w:color w:val="000000"/>
                <w:szCs w:val="18"/>
                <w:lang w:eastAsia="cs-CZ"/>
              </w:rPr>
              <w:t>5</w:t>
            </w:r>
            <w:r w:rsidR="00BA390D">
              <w:rPr>
                <w:rFonts w:asciiTheme="majorHAnsi" w:hAnsiTheme="majorHAnsi" w:cs="Calibri"/>
                <w:color w:val="000000"/>
                <w:szCs w:val="18"/>
                <w:lang w:eastAsia="cs-CZ"/>
              </w:rPr>
              <w:t>. 2020</w:t>
            </w:r>
          </w:p>
        </w:tc>
        <w:tc>
          <w:tcPr>
            <w:tcW w:w="760" w:type="pct"/>
            <w:tcBorders>
              <w:top w:val="single" w:sz="4" w:space="0" w:color="92D400"/>
            </w:tcBorders>
            <w:shd w:val="clear" w:color="auto" w:fill="auto"/>
            <w:vAlign w:val="center"/>
          </w:tcPr>
          <w:p w14:paraId="05E47BFC" w14:textId="77777777" w:rsidR="003C3817" w:rsidRPr="00BC7275" w:rsidRDefault="003C3817" w:rsidP="003C3817">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p>
        </w:tc>
      </w:tr>
      <w:tr w:rsidR="003C3817" w:rsidRPr="00BC7275" w14:paraId="57094782" w14:textId="77777777" w:rsidTr="00617123">
        <w:trPr>
          <w:trHeight w:val="340"/>
        </w:trPr>
        <w:tc>
          <w:tcPr>
            <w:cnfStyle w:val="001000000000" w:firstRow="0" w:lastRow="0" w:firstColumn="1" w:lastColumn="0" w:oddVBand="0" w:evenVBand="0" w:oddHBand="0" w:evenHBand="0" w:firstRowFirstColumn="0" w:firstRowLastColumn="0" w:lastRowFirstColumn="0" w:lastRowLastColumn="0"/>
            <w:tcW w:w="193" w:type="pct"/>
            <w:tcBorders>
              <w:top w:val="single" w:sz="4" w:space="0" w:color="92D400"/>
            </w:tcBorders>
            <w:vAlign w:val="center"/>
          </w:tcPr>
          <w:p w14:paraId="0C8E7962" w14:textId="77777777" w:rsidR="003C3817" w:rsidRPr="00BC7275" w:rsidRDefault="003C3817" w:rsidP="003C3817">
            <w:pPr>
              <w:rPr>
                <w:rFonts w:asciiTheme="majorHAnsi" w:hAnsiTheme="majorHAnsi" w:cs="Calibri"/>
                <w:color w:val="000000"/>
                <w:szCs w:val="18"/>
                <w:lang w:eastAsia="cs-CZ"/>
              </w:rPr>
            </w:pPr>
            <w:r w:rsidRPr="00BC7275">
              <w:rPr>
                <w:rFonts w:eastAsia="Times New Roman" w:cs="Calibri"/>
                <w:color w:val="000000"/>
                <w:szCs w:val="18"/>
                <w:lang w:eastAsia="cs-CZ"/>
              </w:rPr>
              <w:t>2</w:t>
            </w:r>
          </w:p>
        </w:tc>
        <w:tc>
          <w:tcPr>
            <w:tcW w:w="2414" w:type="pct"/>
            <w:tcBorders>
              <w:top w:val="single" w:sz="4" w:space="0" w:color="92D400"/>
            </w:tcBorders>
            <w:vAlign w:val="center"/>
          </w:tcPr>
          <w:p w14:paraId="50D36018" w14:textId="77777777" w:rsidR="003C3817" w:rsidRPr="00BC7275" w:rsidRDefault="003C3817" w:rsidP="001B436F">
            <w:pPr>
              <w:cnfStyle w:val="000000000000" w:firstRow="0" w:lastRow="0" w:firstColumn="0" w:lastColumn="0" w:oddVBand="0" w:evenVBand="0" w:oddHBand="0" w:evenHBand="0" w:firstRowFirstColumn="0" w:firstRowLastColumn="0" w:lastRowFirstColumn="0" w:lastRowLastColumn="0"/>
              <w:rPr>
                <w:color w:val="000000"/>
                <w:szCs w:val="18"/>
              </w:rPr>
            </w:pPr>
            <w:r w:rsidRPr="00BC7275">
              <w:rPr>
                <w:color w:val="000000"/>
                <w:szCs w:val="18"/>
              </w:rPr>
              <w:t xml:space="preserve">Validace seznamu </w:t>
            </w:r>
            <w:r w:rsidR="001B436F">
              <w:rPr>
                <w:color w:val="000000"/>
                <w:szCs w:val="18"/>
              </w:rPr>
              <w:t>účastníků</w:t>
            </w:r>
            <w:r w:rsidR="001B436F" w:rsidRPr="00BC7275">
              <w:rPr>
                <w:color w:val="000000"/>
                <w:szCs w:val="18"/>
              </w:rPr>
              <w:t xml:space="preserve"> </w:t>
            </w:r>
            <w:r w:rsidRPr="00BC7275">
              <w:rPr>
                <w:color w:val="000000"/>
                <w:szCs w:val="18"/>
              </w:rPr>
              <w:t>a předání kontaktů</w:t>
            </w:r>
          </w:p>
        </w:tc>
        <w:tc>
          <w:tcPr>
            <w:tcW w:w="849" w:type="pct"/>
            <w:tcBorders>
              <w:top w:val="single" w:sz="4" w:space="0" w:color="92D400"/>
            </w:tcBorders>
            <w:vAlign w:val="center"/>
          </w:tcPr>
          <w:p w14:paraId="581A5B19" w14:textId="77777777" w:rsidR="003C3817" w:rsidRPr="00BC7275" w:rsidRDefault="003C3817" w:rsidP="003C381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sidRPr="00BC7275">
              <w:rPr>
                <w:rFonts w:eastAsia="Times New Roman" w:cs="Calibri"/>
                <w:color w:val="000000"/>
                <w:szCs w:val="18"/>
                <w:lang w:eastAsia="cs-CZ"/>
              </w:rPr>
              <w:t>MPO</w:t>
            </w:r>
          </w:p>
        </w:tc>
        <w:tc>
          <w:tcPr>
            <w:tcW w:w="784" w:type="pct"/>
            <w:tcBorders>
              <w:top w:val="single" w:sz="4" w:space="0" w:color="92D400"/>
            </w:tcBorders>
            <w:vAlign w:val="center"/>
          </w:tcPr>
          <w:p w14:paraId="0625BAE2" w14:textId="77777777" w:rsidR="003C3817" w:rsidRPr="00BC7275" w:rsidRDefault="0063714F" w:rsidP="00A3521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29</w:t>
            </w:r>
            <w:r w:rsidR="00BA390D">
              <w:rPr>
                <w:rFonts w:asciiTheme="majorHAnsi" w:hAnsiTheme="majorHAnsi" w:cs="Calibri"/>
                <w:color w:val="000000"/>
                <w:szCs w:val="18"/>
                <w:lang w:eastAsia="cs-CZ"/>
              </w:rPr>
              <w:t xml:space="preserve">. </w:t>
            </w:r>
            <w:r w:rsidR="00A3521F">
              <w:rPr>
                <w:rFonts w:asciiTheme="majorHAnsi" w:hAnsiTheme="majorHAnsi" w:cs="Calibri"/>
                <w:color w:val="000000"/>
                <w:szCs w:val="18"/>
                <w:lang w:eastAsia="cs-CZ"/>
              </w:rPr>
              <w:t>5</w:t>
            </w:r>
            <w:r w:rsidR="00BA390D">
              <w:rPr>
                <w:rFonts w:asciiTheme="majorHAnsi" w:hAnsiTheme="majorHAnsi" w:cs="Calibri"/>
                <w:color w:val="000000"/>
                <w:szCs w:val="18"/>
                <w:lang w:eastAsia="cs-CZ"/>
              </w:rPr>
              <w:t>. 2020</w:t>
            </w:r>
          </w:p>
        </w:tc>
        <w:tc>
          <w:tcPr>
            <w:tcW w:w="760" w:type="pct"/>
            <w:tcBorders>
              <w:top w:val="single" w:sz="4" w:space="0" w:color="92D400"/>
            </w:tcBorders>
            <w:shd w:val="clear" w:color="auto" w:fill="86BC25" w:themeFill="accent1"/>
            <w:vAlign w:val="center"/>
          </w:tcPr>
          <w:p w14:paraId="707F19AF" w14:textId="77777777" w:rsidR="003C3817" w:rsidRPr="00BC7275" w:rsidRDefault="003C3817" w:rsidP="003C3817">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p>
        </w:tc>
      </w:tr>
      <w:tr w:rsidR="003C3817" w:rsidRPr="00BC7275" w14:paraId="19568A67" w14:textId="77777777" w:rsidTr="00617123">
        <w:trPr>
          <w:trHeight w:val="340"/>
        </w:trPr>
        <w:tc>
          <w:tcPr>
            <w:cnfStyle w:val="001000000000" w:firstRow="0" w:lastRow="0" w:firstColumn="1" w:lastColumn="0" w:oddVBand="0" w:evenVBand="0" w:oddHBand="0" w:evenHBand="0" w:firstRowFirstColumn="0" w:firstRowLastColumn="0" w:lastRowFirstColumn="0" w:lastRowLastColumn="0"/>
            <w:tcW w:w="193" w:type="pct"/>
            <w:tcBorders>
              <w:top w:val="single" w:sz="4" w:space="0" w:color="92D400"/>
              <w:bottom w:val="single" w:sz="4" w:space="0" w:color="92D400"/>
            </w:tcBorders>
            <w:vAlign w:val="center"/>
          </w:tcPr>
          <w:p w14:paraId="1A0926A9" w14:textId="77777777" w:rsidR="003C3817" w:rsidRPr="00BC7275" w:rsidRDefault="003C3817" w:rsidP="003C3817">
            <w:pPr>
              <w:rPr>
                <w:rFonts w:eastAsia="Times New Roman" w:cs="Calibri"/>
                <w:color w:val="000000"/>
                <w:szCs w:val="18"/>
                <w:lang w:eastAsia="cs-CZ"/>
              </w:rPr>
            </w:pPr>
            <w:r w:rsidRPr="00BC7275">
              <w:rPr>
                <w:rFonts w:eastAsia="Times New Roman" w:cs="Calibri"/>
                <w:color w:val="000000"/>
                <w:szCs w:val="18"/>
                <w:lang w:eastAsia="cs-CZ"/>
              </w:rPr>
              <w:t>3</w:t>
            </w:r>
          </w:p>
        </w:tc>
        <w:tc>
          <w:tcPr>
            <w:tcW w:w="2414" w:type="pct"/>
            <w:tcBorders>
              <w:top w:val="single" w:sz="4" w:space="0" w:color="92D400"/>
              <w:bottom w:val="single" w:sz="4" w:space="0" w:color="92D400"/>
            </w:tcBorders>
            <w:vAlign w:val="center"/>
          </w:tcPr>
          <w:p w14:paraId="6C1CF277" w14:textId="77777777" w:rsidR="003C3817" w:rsidRPr="00BC7275" w:rsidRDefault="003C3817" w:rsidP="003C3817">
            <w:pPr>
              <w:cnfStyle w:val="000000000000" w:firstRow="0" w:lastRow="0" w:firstColumn="0" w:lastColumn="0" w:oddVBand="0" w:evenVBand="0" w:oddHBand="0" w:evenHBand="0" w:firstRowFirstColumn="0" w:firstRowLastColumn="0" w:lastRowFirstColumn="0" w:lastRowLastColumn="0"/>
              <w:rPr>
                <w:color w:val="000000"/>
                <w:szCs w:val="18"/>
              </w:rPr>
            </w:pPr>
            <w:r w:rsidRPr="00BC7275">
              <w:rPr>
                <w:color w:val="000000"/>
                <w:szCs w:val="18"/>
              </w:rPr>
              <w:t>Validace scénáře a otázek se Zadavatelem</w:t>
            </w:r>
          </w:p>
        </w:tc>
        <w:tc>
          <w:tcPr>
            <w:tcW w:w="849" w:type="pct"/>
            <w:tcBorders>
              <w:top w:val="single" w:sz="4" w:space="0" w:color="92D400"/>
              <w:bottom w:val="single" w:sz="4" w:space="0" w:color="92D400"/>
            </w:tcBorders>
            <w:vAlign w:val="center"/>
          </w:tcPr>
          <w:p w14:paraId="2D8EAD9A" w14:textId="77777777" w:rsidR="003C3817" w:rsidRPr="00BC7275" w:rsidRDefault="003C3817" w:rsidP="003C3817">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sidRPr="00BC7275">
              <w:rPr>
                <w:rFonts w:eastAsia="Times New Roman" w:cs="Calibri"/>
                <w:color w:val="000000"/>
                <w:szCs w:val="18"/>
                <w:lang w:eastAsia="cs-CZ"/>
              </w:rPr>
              <w:t>MPO</w:t>
            </w:r>
          </w:p>
        </w:tc>
        <w:tc>
          <w:tcPr>
            <w:tcW w:w="784" w:type="pct"/>
            <w:tcBorders>
              <w:top w:val="single" w:sz="4" w:space="0" w:color="92D400"/>
              <w:bottom w:val="single" w:sz="4" w:space="0" w:color="92D400"/>
            </w:tcBorders>
            <w:vAlign w:val="center"/>
          </w:tcPr>
          <w:p w14:paraId="55A6B5D9" w14:textId="77777777" w:rsidR="003C3817" w:rsidRPr="00BC7275" w:rsidRDefault="00521113" w:rsidP="00A3521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29</w:t>
            </w:r>
            <w:r w:rsidR="00BA390D">
              <w:rPr>
                <w:rFonts w:asciiTheme="majorHAnsi" w:hAnsiTheme="majorHAnsi" w:cs="Calibri"/>
                <w:color w:val="000000"/>
                <w:szCs w:val="18"/>
                <w:lang w:eastAsia="cs-CZ"/>
              </w:rPr>
              <w:t xml:space="preserve">. </w:t>
            </w:r>
            <w:r w:rsidR="00A3521F">
              <w:rPr>
                <w:rFonts w:asciiTheme="majorHAnsi" w:hAnsiTheme="majorHAnsi" w:cs="Calibri"/>
                <w:color w:val="000000"/>
                <w:szCs w:val="18"/>
                <w:lang w:eastAsia="cs-CZ"/>
              </w:rPr>
              <w:t>5</w:t>
            </w:r>
            <w:r w:rsidR="00BA390D">
              <w:rPr>
                <w:rFonts w:asciiTheme="majorHAnsi" w:hAnsiTheme="majorHAnsi" w:cs="Calibri"/>
                <w:color w:val="000000"/>
                <w:szCs w:val="18"/>
                <w:lang w:eastAsia="cs-CZ"/>
              </w:rPr>
              <w:t>. 2020</w:t>
            </w:r>
          </w:p>
        </w:tc>
        <w:tc>
          <w:tcPr>
            <w:tcW w:w="760" w:type="pct"/>
            <w:tcBorders>
              <w:top w:val="single" w:sz="4" w:space="0" w:color="92D400"/>
              <w:bottom w:val="single" w:sz="4" w:space="0" w:color="92D400"/>
            </w:tcBorders>
            <w:shd w:val="clear" w:color="auto" w:fill="FFC000"/>
            <w:vAlign w:val="center"/>
          </w:tcPr>
          <w:p w14:paraId="779B3BEA" w14:textId="77777777" w:rsidR="003C3817" w:rsidRPr="00BC7275" w:rsidRDefault="003C3817" w:rsidP="003C3817">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p>
        </w:tc>
      </w:tr>
      <w:tr w:rsidR="003C3817" w:rsidRPr="00BC7275" w14:paraId="3CEBC56F" w14:textId="77777777" w:rsidTr="00617123">
        <w:trPr>
          <w:trHeight w:val="340"/>
        </w:trPr>
        <w:tc>
          <w:tcPr>
            <w:cnfStyle w:val="001000000000" w:firstRow="0" w:lastRow="0" w:firstColumn="1" w:lastColumn="0" w:oddVBand="0" w:evenVBand="0" w:oddHBand="0" w:evenHBand="0" w:firstRowFirstColumn="0" w:firstRowLastColumn="0" w:lastRowFirstColumn="0" w:lastRowLastColumn="0"/>
            <w:tcW w:w="193" w:type="pct"/>
            <w:tcBorders>
              <w:top w:val="single" w:sz="4" w:space="0" w:color="92D400"/>
              <w:bottom w:val="single" w:sz="4" w:space="0" w:color="92D400"/>
            </w:tcBorders>
            <w:vAlign w:val="center"/>
          </w:tcPr>
          <w:p w14:paraId="280857C7" w14:textId="77777777" w:rsidR="003C3817" w:rsidRPr="00BC7275" w:rsidRDefault="003C3817" w:rsidP="003C3817">
            <w:pPr>
              <w:rPr>
                <w:rFonts w:eastAsia="Times New Roman" w:cs="Calibri"/>
                <w:color w:val="000000"/>
                <w:szCs w:val="18"/>
                <w:lang w:eastAsia="cs-CZ"/>
              </w:rPr>
            </w:pPr>
            <w:r w:rsidRPr="00BC7275">
              <w:rPr>
                <w:rFonts w:eastAsia="Times New Roman" w:cs="Calibri"/>
                <w:color w:val="000000"/>
                <w:szCs w:val="18"/>
                <w:lang w:eastAsia="cs-CZ"/>
              </w:rPr>
              <w:t>4</w:t>
            </w:r>
          </w:p>
        </w:tc>
        <w:tc>
          <w:tcPr>
            <w:tcW w:w="2414" w:type="pct"/>
            <w:tcBorders>
              <w:top w:val="single" w:sz="4" w:space="0" w:color="92D400"/>
              <w:bottom w:val="single" w:sz="4" w:space="0" w:color="92D400"/>
            </w:tcBorders>
            <w:vAlign w:val="center"/>
          </w:tcPr>
          <w:p w14:paraId="631C3645" w14:textId="77777777" w:rsidR="003C3817" w:rsidRPr="00BC7275" w:rsidRDefault="003C3817" w:rsidP="001B436F">
            <w:pPr>
              <w:cnfStyle w:val="000000000000" w:firstRow="0" w:lastRow="0" w:firstColumn="0" w:lastColumn="0" w:oddVBand="0" w:evenVBand="0" w:oddHBand="0" w:evenHBand="0" w:firstRowFirstColumn="0" w:firstRowLastColumn="0" w:lastRowFirstColumn="0" w:lastRowLastColumn="0"/>
              <w:rPr>
                <w:color w:val="000000"/>
                <w:szCs w:val="18"/>
              </w:rPr>
            </w:pPr>
            <w:r w:rsidRPr="00BC7275">
              <w:rPr>
                <w:color w:val="000000"/>
                <w:szCs w:val="18"/>
              </w:rPr>
              <w:t xml:space="preserve">Příprava expertního panelu a oslovení </w:t>
            </w:r>
            <w:r w:rsidR="001B436F">
              <w:rPr>
                <w:color w:val="000000"/>
                <w:szCs w:val="18"/>
              </w:rPr>
              <w:t>účastníků</w:t>
            </w:r>
          </w:p>
        </w:tc>
        <w:tc>
          <w:tcPr>
            <w:tcW w:w="849" w:type="pct"/>
            <w:tcBorders>
              <w:top w:val="single" w:sz="4" w:space="0" w:color="92D400"/>
              <w:bottom w:val="single" w:sz="4" w:space="0" w:color="92D400"/>
            </w:tcBorders>
            <w:vAlign w:val="center"/>
          </w:tcPr>
          <w:p w14:paraId="4C5AF21F" w14:textId="77777777" w:rsidR="003C3817" w:rsidRPr="00BC7275" w:rsidRDefault="003C3817" w:rsidP="003C3817">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sidRPr="00BC7275">
              <w:rPr>
                <w:rFonts w:eastAsia="Times New Roman" w:cs="Calibri"/>
                <w:color w:val="000000"/>
                <w:szCs w:val="18"/>
                <w:lang w:eastAsia="cs-CZ"/>
              </w:rPr>
              <w:t>Deloitte</w:t>
            </w:r>
          </w:p>
        </w:tc>
        <w:tc>
          <w:tcPr>
            <w:tcW w:w="784" w:type="pct"/>
            <w:tcBorders>
              <w:top w:val="single" w:sz="4" w:space="0" w:color="92D400"/>
              <w:bottom w:val="single" w:sz="4" w:space="0" w:color="92D400"/>
            </w:tcBorders>
            <w:vAlign w:val="center"/>
          </w:tcPr>
          <w:p w14:paraId="58076F2B" w14:textId="77777777" w:rsidR="003C3817" w:rsidRPr="00BC7275" w:rsidRDefault="003C3817" w:rsidP="005211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sidRPr="00BC7275">
              <w:rPr>
                <w:rFonts w:asciiTheme="majorHAnsi" w:hAnsiTheme="majorHAnsi" w:cs="Calibri"/>
                <w:color w:val="000000"/>
                <w:szCs w:val="18"/>
                <w:lang w:eastAsia="cs-CZ"/>
              </w:rPr>
              <w:t xml:space="preserve"> </w:t>
            </w:r>
            <w:r w:rsidR="00521113">
              <w:rPr>
                <w:rFonts w:asciiTheme="majorHAnsi" w:hAnsiTheme="majorHAnsi" w:cs="Calibri"/>
                <w:color w:val="000000"/>
                <w:szCs w:val="18"/>
                <w:lang w:eastAsia="cs-CZ"/>
              </w:rPr>
              <w:t>1</w:t>
            </w:r>
            <w:r w:rsidR="00BA390D">
              <w:rPr>
                <w:rFonts w:asciiTheme="majorHAnsi" w:hAnsiTheme="majorHAnsi" w:cs="Calibri"/>
                <w:color w:val="000000"/>
                <w:szCs w:val="18"/>
                <w:lang w:eastAsia="cs-CZ"/>
              </w:rPr>
              <w:t xml:space="preserve">. </w:t>
            </w:r>
            <w:r w:rsidR="00521113">
              <w:rPr>
                <w:rFonts w:asciiTheme="majorHAnsi" w:hAnsiTheme="majorHAnsi" w:cs="Calibri"/>
                <w:color w:val="000000"/>
                <w:szCs w:val="18"/>
                <w:lang w:eastAsia="cs-CZ"/>
              </w:rPr>
              <w:t>6</w:t>
            </w:r>
            <w:r w:rsidR="00BA390D">
              <w:rPr>
                <w:rFonts w:asciiTheme="majorHAnsi" w:hAnsiTheme="majorHAnsi" w:cs="Calibri"/>
                <w:color w:val="000000"/>
                <w:szCs w:val="18"/>
                <w:lang w:eastAsia="cs-CZ"/>
              </w:rPr>
              <w:t>. 2020</w:t>
            </w:r>
          </w:p>
        </w:tc>
        <w:tc>
          <w:tcPr>
            <w:tcW w:w="760" w:type="pct"/>
            <w:tcBorders>
              <w:top w:val="single" w:sz="4" w:space="0" w:color="92D400"/>
              <w:bottom w:val="single" w:sz="4" w:space="0" w:color="92D400"/>
            </w:tcBorders>
            <w:shd w:val="clear" w:color="auto" w:fill="auto"/>
            <w:vAlign w:val="center"/>
          </w:tcPr>
          <w:p w14:paraId="3040B1A5" w14:textId="77777777" w:rsidR="003C3817" w:rsidRPr="00BC7275" w:rsidRDefault="003C3817" w:rsidP="003C3817">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p>
        </w:tc>
      </w:tr>
      <w:tr w:rsidR="003C3817" w:rsidRPr="00BC7275" w14:paraId="70D08366" w14:textId="77777777" w:rsidTr="00617123">
        <w:trPr>
          <w:trHeight w:val="340"/>
        </w:trPr>
        <w:tc>
          <w:tcPr>
            <w:cnfStyle w:val="001000000000" w:firstRow="0" w:lastRow="0" w:firstColumn="1" w:lastColumn="0" w:oddVBand="0" w:evenVBand="0" w:oddHBand="0" w:evenHBand="0" w:firstRowFirstColumn="0" w:firstRowLastColumn="0" w:lastRowFirstColumn="0" w:lastRowLastColumn="0"/>
            <w:tcW w:w="193" w:type="pct"/>
            <w:tcBorders>
              <w:top w:val="single" w:sz="4" w:space="0" w:color="92D400"/>
              <w:bottom w:val="single" w:sz="4" w:space="0" w:color="92D400"/>
            </w:tcBorders>
            <w:vAlign w:val="center"/>
          </w:tcPr>
          <w:p w14:paraId="3C01F988" w14:textId="77777777" w:rsidR="003C3817" w:rsidRPr="00BC7275" w:rsidRDefault="003C3817" w:rsidP="003C3817">
            <w:pPr>
              <w:rPr>
                <w:rFonts w:eastAsia="Times New Roman" w:cs="Calibri"/>
                <w:color w:val="000000"/>
                <w:szCs w:val="18"/>
                <w:lang w:eastAsia="cs-CZ"/>
              </w:rPr>
            </w:pPr>
            <w:r w:rsidRPr="00BC7275">
              <w:rPr>
                <w:rFonts w:eastAsia="Times New Roman" w:cs="Calibri"/>
                <w:color w:val="000000"/>
                <w:szCs w:val="18"/>
                <w:lang w:eastAsia="cs-CZ"/>
              </w:rPr>
              <w:t>5</w:t>
            </w:r>
          </w:p>
        </w:tc>
        <w:tc>
          <w:tcPr>
            <w:tcW w:w="2414" w:type="pct"/>
            <w:tcBorders>
              <w:top w:val="single" w:sz="4" w:space="0" w:color="92D400"/>
              <w:bottom w:val="single" w:sz="4" w:space="0" w:color="92D400"/>
            </w:tcBorders>
            <w:vAlign w:val="center"/>
          </w:tcPr>
          <w:p w14:paraId="32CEB7D0" w14:textId="77777777" w:rsidR="003C3817" w:rsidRPr="00BC7275" w:rsidRDefault="003C3817" w:rsidP="003C3817">
            <w:pPr>
              <w:cnfStyle w:val="000000000000" w:firstRow="0" w:lastRow="0" w:firstColumn="0" w:lastColumn="0" w:oddVBand="0" w:evenVBand="0" w:oddHBand="0" w:evenHBand="0" w:firstRowFirstColumn="0" w:firstRowLastColumn="0" w:lastRowFirstColumn="0" w:lastRowLastColumn="0"/>
              <w:rPr>
                <w:color w:val="000000"/>
                <w:szCs w:val="18"/>
              </w:rPr>
            </w:pPr>
            <w:r w:rsidRPr="00BC7275">
              <w:rPr>
                <w:color w:val="000000"/>
                <w:szCs w:val="18"/>
              </w:rPr>
              <w:t>Realizace expertního panelu</w:t>
            </w:r>
          </w:p>
        </w:tc>
        <w:tc>
          <w:tcPr>
            <w:tcW w:w="849" w:type="pct"/>
            <w:tcBorders>
              <w:top w:val="single" w:sz="4" w:space="0" w:color="92D400"/>
              <w:bottom w:val="single" w:sz="4" w:space="0" w:color="92D400"/>
            </w:tcBorders>
            <w:vAlign w:val="center"/>
          </w:tcPr>
          <w:p w14:paraId="3F6E857F" w14:textId="77777777" w:rsidR="003C3817" w:rsidRPr="00BC7275" w:rsidRDefault="003C3817" w:rsidP="003C3817">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sidRPr="00BC7275">
              <w:rPr>
                <w:rFonts w:eastAsia="Times New Roman" w:cs="Calibri"/>
                <w:color w:val="000000"/>
                <w:szCs w:val="18"/>
                <w:lang w:eastAsia="cs-CZ"/>
              </w:rPr>
              <w:t>Deloitte</w:t>
            </w:r>
          </w:p>
        </w:tc>
        <w:tc>
          <w:tcPr>
            <w:tcW w:w="784" w:type="pct"/>
            <w:tcBorders>
              <w:top w:val="single" w:sz="4" w:space="0" w:color="92D400"/>
              <w:bottom w:val="single" w:sz="4" w:space="0" w:color="92D400"/>
            </w:tcBorders>
            <w:vAlign w:val="center"/>
          </w:tcPr>
          <w:p w14:paraId="0E04384D" w14:textId="77777777" w:rsidR="003C3817" w:rsidRPr="00BC7275" w:rsidRDefault="00BA390D" w:rsidP="006371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 xml:space="preserve"> 23. </w:t>
            </w:r>
            <w:r w:rsidR="0063714F">
              <w:rPr>
                <w:rFonts w:asciiTheme="majorHAnsi" w:hAnsiTheme="majorHAnsi" w:cs="Calibri"/>
                <w:color w:val="000000"/>
                <w:szCs w:val="18"/>
                <w:lang w:eastAsia="cs-CZ"/>
              </w:rPr>
              <w:t>6</w:t>
            </w:r>
            <w:r>
              <w:rPr>
                <w:rFonts w:asciiTheme="majorHAnsi" w:hAnsiTheme="majorHAnsi" w:cs="Calibri"/>
                <w:color w:val="000000"/>
                <w:szCs w:val="18"/>
                <w:lang w:eastAsia="cs-CZ"/>
              </w:rPr>
              <w:t>. 2020</w:t>
            </w:r>
          </w:p>
        </w:tc>
        <w:tc>
          <w:tcPr>
            <w:tcW w:w="760" w:type="pct"/>
            <w:tcBorders>
              <w:top w:val="single" w:sz="4" w:space="0" w:color="92D400"/>
              <w:bottom w:val="single" w:sz="4" w:space="0" w:color="92D400"/>
            </w:tcBorders>
            <w:shd w:val="clear" w:color="auto" w:fill="auto"/>
            <w:vAlign w:val="center"/>
          </w:tcPr>
          <w:p w14:paraId="52F0894F" w14:textId="77777777" w:rsidR="003C3817" w:rsidRPr="00BC7275" w:rsidRDefault="003C3817" w:rsidP="003C3817">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p>
        </w:tc>
      </w:tr>
      <w:tr w:rsidR="003C3817" w:rsidRPr="00BC7275" w14:paraId="110056AB" w14:textId="77777777" w:rsidTr="00617123">
        <w:trPr>
          <w:trHeight w:val="340"/>
        </w:trPr>
        <w:tc>
          <w:tcPr>
            <w:cnfStyle w:val="001000000000" w:firstRow="0" w:lastRow="0" w:firstColumn="1" w:lastColumn="0" w:oddVBand="0" w:evenVBand="0" w:oddHBand="0" w:evenHBand="0" w:firstRowFirstColumn="0" w:firstRowLastColumn="0" w:lastRowFirstColumn="0" w:lastRowLastColumn="0"/>
            <w:tcW w:w="193" w:type="pct"/>
            <w:tcBorders>
              <w:top w:val="single" w:sz="4" w:space="0" w:color="92D400"/>
            </w:tcBorders>
            <w:vAlign w:val="center"/>
          </w:tcPr>
          <w:p w14:paraId="0A4DC8E2" w14:textId="77777777" w:rsidR="003C3817" w:rsidRPr="00BC7275" w:rsidRDefault="003C3817" w:rsidP="003C3817">
            <w:pPr>
              <w:rPr>
                <w:rFonts w:eastAsia="Times New Roman" w:cs="Calibri"/>
                <w:color w:val="000000"/>
                <w:szCs w:val="18"/>
                <w:lang w:eastAsia="cs-CZ"/>
              </w:rPr>
            </w:pPr>
            <w:r w:rsidRPr="00BC7275">
              <w:rPr>
                <w:rFonts w:eastAsia="Times New Roman" w:cs="Calibri"/>
                <w:color w:val="000000"/>
                <w:szCs w:val="18"/>
                <w:lang w:eastAsia="cs-CZ"/>
              </w:rPr>
              <w:t>6</w:t>
            </w:r>
          </w:p>
        </w:tc>
        <w:tc>
          <w:tcPr>
            <w:tcW w:w="2414" w:type="pct"/>
            <w:tcBorders>
              <w:top w:val="single" w:sz="4" w:space="0" w:color="92D400"/>
            </w:tcBorders>
            <w:vAlign w:val="center"/>
          </w:tcPr>
          <w:p w14:paraId="65203E12" w14:textId="77777777" w:rsidR="003C3817" w:rsidRPr="00BC7275" w:rsidRDefault="003C3817" w:rsidP="003C3817">
            <w:pPr>
              <w:cnfStyle w:val="000000000000" w:firstRow="0" w:lastRow="0" w:firstColumn="0" w:lastColumn="0" w:oddVBand="0" w:evenVBand="0" w:oddHBand="0" w:evenHBand="0" w:firstRowFirstColumn="0" w:firstRowLastColumn="0" w:lastRowFirstColumn="0" w:lastRowLastColumn="0"/>
              <w:rPr>
                <w:color w:val="000000"/>
                <w:szCs w:val="18"/>
              </w:rPr>
            </w:pPr>
            <w:r w:rsidRPr="00BC7275">
              <w:rPr>
                <w:color w:val="000000"/>
                <w:szCs w:val="18"/>
              </w:rPr>
              <w:t>Vyhodnocení výstupů</w:t>
            </w:r>
          </w:p>
        </w:tc>
        <w:tc>
          <w:tcPr>
            <w:tcW w:w="849" w:type="pct"/>
            <w:tcBorders>
              <w:top w:val="single" w:sz="4" w:space="0" w:color="92D400"/>
            </w:tcBorders>
            <w:vAlign w:val="center"/>
          </w:tcPr>
          <w:p w14:paraId="20FA2CAE" w14:textId="77777777" w:rsidR="003C3817" w:rsidRPr="00BC7275" w:rsidRDefault="003C3817" w:rsidP="003C3817">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sidRPr="00BC7275">
              <w:rPr>
                <w:rFonts w:eastAsia="Times New Roman" w:cs="Calibri"/>
                <w:color w:val="000000"/>
                <w:szCs w:val="18"/>
                <w:lang w:eastAsia="cs-CZ"/>
              </w:rPr>
              <w:t>Deloitte</w:t>
            </w:r>
          </w:p>
        </w:tc>
        <w:tc>
          <w:tcPr>
            <w:tcW w:w="784" w:type="pct"/>
            <w:tcBorders>
              <w:top w:val="single" w:sz="4" w:space="0" w:color="92D400"/>
            </w:tcBorders>
            <w:vAlign w:val="center"/>
          </w:tcPr>
          <w:p w14:paraId="3890D784" w14:textId="77777777" w:rsidR="003C3817" w:rsidRPr="00BC7275" w:rsidRDefault="00BA390D" w:rsidP="003C381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 xml:space="preserve">30. </w:t>
            </w:r>
            <w:r w:rsidR="0063714F">
              <w:rPr>
                <w:rFonts w:asciiTheme="majorHAnsi" w:hAnsiTheme="majorHAnsi" w:cs="Calibri"/>
                <w:color w:val="000000"/>
                <w:szCs w:val="18"/>
                <w:lang w:eastAsia="cs-CZ"/>
              </w:rPr>
              <w:t>6</w:t>
            </w:r>
            <w:r>
              <w:rPr>
                <w:rFonts w:asciiTheme="majorHAnsi" w:hAnsiTheme="majorHAnsi" w:cs="Calibri"/>
                <w:color w:val="000000"/>
                <w:szCs w:val="18"/>
                <w:lang w:eastAsia="cs-CZ"/>
              </w:rPr>
              <w:t>. 2020</w:t>
            </w:r>
          </w:p>
        </w:tc>
        <w:tc>
          <w:tcPr>
            <w:tcW w:w="760" w:type="pct"/>
            <w:tcBorders>
              <w:top w:val="single" w:sz="4" w:space="0" w:color="92D400"/>
            </w:tcBorders>
            <w:shd w:val="clear" w:color="auto" w:fill="auto"/>
            <w:vAlign w:val="center"/>
          </w:tcPr>
          <w:p w14:paraId="27A8C7A9" w14:textId="77777777" w:rsidR="003C3817" w:rsidRPr="00BC7275" w:rsidRDefault="003C3817" w:rsidP="003C3817">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p>
        </w:tc>
      </w:tr>
    </w:tbl>
    <w:p w14:paraId="5509A168" w14:textId="77777777" w:rsidR="00125136" w:rsidRPr="00281C0C" w:rsidRDefault="009C2BC6" w:rsidP="000E1076">
      <w:pPr>
        <w:pStyle w:val="Nadpis1"/>
      </w:pPr>
      <w:bookmarkStart w:id="32" w:name="_Toc23859667"/>
      <w:bookmarkStart w:id="33" w:name="_Toc25228654"/>
      <w:r>
        <w:lastRenderedPageBreak/>
        <w:t>Harmonogram plnění</w:t>
      </w:r>
      <w:bookmarkEnd w:id="32"/>
      <w:bookmarkEnd w:id="33"/>
    </w:p>
    <w:p w14:paraId="6D81F0F7" w14:textId="77777777" w:rsidR="00CC62E4" w:rsidRDefault="009C2BC6" w:rsidP="009C2BC6">
      <w:pPr>
        <w:jc w:val="both"/>
      </w:pPr>
      <w:r>
        <w:t>V souladu se smlouvou o dílo byl sestaven harmonogram Projektu (viz níže), který současně reflektuje jak požad</w:t>
      </w:r>
      <w:r w:rsidR="00483311">
        <w:t>avky Zadavatele ohledně</w:t>
      </w:r>
      <w:r>
        <w:t xml:space="preserve"> postupu prací, tak je zasazen do reality, co se týče potřeby dostatečného prostoru pro kval</w:t>
      </w:r>
      <w:r w:rsidR="00CC62E4">
        <w:t>itní odvedení požadované práce.</w:t>
      </w:r>
    </w:p>
    <w:p w14:paraId="2D0619EF" w14:textId="77777777" w:rsidR="00382726" w:rsidRDefault="00382726" w:rsidP="00CE7B5B">
      <w:pPr>
        <w:pStyle w:val="Titulek"/>
        <w:spacing w:after="120"/>
        <w:jc w:val="center"/>
      </w:pPr>
      <w:bookmarkStart w:id="34" w:name="_Toc24384748"/>
      <w:r>
        <w:t xml:space="preserve">Obrázek </w:t>
      </w:r>
      <w:r w:rsidR="004016AA">
        <w:fldChar w:fldCharType="begin"/>
      </w:r>
      <w:r w:rsidR="004016AA">
        <w:instrText xml:space="preserve"> SEQ Obrázek \* ARABIC </w:instrText>
      </w:r>
      <w:r w:rsidR="004016AA">
        <w:fldChar w:fldCharType="separate"/>
      </w:r>
      <w:r w:rsidR="00BE6947">
        <w:rPr>
          <w:noProof/>
        </w:rPr>
        <w:t>3</w:t>
      </w:r>
      <w:r w:rsidR="004016AA">
        <w:fldChar w:fldCharType="end"/>
      </w:r>
      <w:r>
        <w:t>: Harmonogram postupu prací Projektu</w:t>
      </w:r>
      <w:bookmarkEnd w:id="34"/>
    </w:p>
    <w:p w14:paraId="5E1DB65F" w14:textId="77777777" w:rsidR="00EC5A82" w:rsidRPr="00F77DF5" w:rsidRDefault="000E5FC1" w:rsidP="009C2BC6">
      <w:pPr>
        <w:jc w:val="both"/>
        <w:rPr>
          <w:lang w:val="en-US"/>
        </w:rPr>
      </w:pPr>
      <w:r w:rsidRPr="000E5FC1">
        <w:rPr>
          <w:noProof/>
          <w:lang w:eastAsia="cs-CZ"/>
        </w:rPr>
        <w:drawing>
          <wp:inline distT="0" distB="0" distL="0" distR="0" wp14:anchorId="484B8997" wp14:editId="14EA3B5A">
            <wp:extent cx="6408420" cy="569378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8420" cy="5693789"/>
                    </a:xfrm>
                    <a:prstGeom prst="rect">
                      <a:avLst/>
                    </a:prstGeom>
                    <a:noFill/>
                    <a:ln>
                      <a:noFill/>
                    </a:ln>
                  </pic:spPr>
                </pic:pic>
              </a:graphicData>
            </a:graphic>
          </wp:inline>
        </w:drawing>
      </w:r>
    </w:p>
    <w:p w14:paraId="34EA3E78" w14:textId="77777777" w:rsidR="009C2BC6" w:rsidRDefault="009C2BC6" w:rsidP="00CE7B5B">
      <w:pPr>
        <w:spacing w:after="120" w:line="240" w:lineRule="auto"/>
        <w:jc w:val="both"/>
      </w:pPr>
      <w:r>
        <w:t xml:space="preserve">Vzhledem k charakteru Projektu, kde jednotlivé fáze projektu na sebe logicky navazují, je odpovědnou osobou za všechny fáze projektu Vedoucí týmu Deloitte.  </w:t>
      </w:r>
    </w:p>
    <w:p w14:paraId="196B40E9" w14:textId="77777777" w:rsidR="00972D90" w:rsidRDefault="00972D90" w:rsidP="00CE7B5B">
      <w:pPr>
        <w:spacing w:after="120" w:line="240" w:lineRule="auto"/>
        <w:jc w:val="both"/>
      </w:pPr>
    </w:p>
    <w:p w14:paraId="42A5F0C7" w14:textId="77777777" w:rsidR="00972D90" w:rsidRDefault="00972D90" w:rsidP="00CE7B5B">
      <w:pPr>
        <w:spacing w:after="120" w:line="240" w:lineRule="auto"/>
        <w:jc w:val="both"/>
      </w:pPr>
    </w:p>
    <w:p w14:paraId="7312DCBB" w14:textId="77777777" w:rsidR="00972D90" w:rsidRDefault="00972D90" w:rsidP="00CE7B5B">
      <w:pPr>
        <w:spacing w:after="120" w:line="240" w:lineRule="auto"/>
        <w:jc w:val="both"/>
      </w:pPr>
    </w:p>
    <w:p w14:paraId="35AAD4FD" w14:textId="77777777" w:rsidR="007660C8" w:rsidRDefault="007660C8" w:rsidP="00CE7B5B">
      <w:pPr>
        <w:spacing w:after="120" w:line="240" w:lineRule="auto"/>
        <w:jc w:val="both"/>
      </w:pPr>
      <w:r>
        <w:lastRenderedPageBreak/>
        <w:t>Následující tabulka obsahuje přehled klíčových termínů v rámci Projektu.</w:t>
      </w:r>
    </w:p>
    <w:p w14:paraId="75B9CCD7" w14:textId="77777777" w:rsidR="007660C8" w:rsidRDefault="007660C8" w:rsidP="00CE7B5B">
      <w:pPr>
        <w:pStyle w:val="Titulek"/>
        <w:spacing w:before="240" w:after="120"/>
        <w:jc w:val="center"/>
      </w:pPr>
      <w:bookmarkStart w:id="35" w:name="_Toc24384739"/>
      <w:r>
        <w:t xml:space="preserve">Tabulka </w:t>
      </w:r>
      <w:r>
        <w:fldChar w:fldCharType="begin"/>
      </w:r>
      <w:r>
        <w:instrText xml:space="preserve"> SEQ Tabulka \* ARABIC </w:instrText>
      </w:r>
      <w:r>
        <w:fldChar w:fldCharType="separate"/>
      </w:r>
      <w:r w:rsidR="00E93151">
        <w:rPr>
          <w:noProof/>
        </w:rPr>
        <w:t>13</w:t>
      </w:r>
      <w:r>
        <w:fldChar w:fldCharType="end"/>
      </w:r>
      <w:r>
        <w:t>: Termíny odevzdání dílčích výstupů</w:t>
      </w:r>
      <w:bookmarkEnd w:id="35"/>
    </w:p>
    <w:tbl>
      <w:tblPr>
        <w:tblStyle w:val="Deloittetable11"/>
        <w:tblW w:w="5000" w:type="pct"/>
        <w:tblCellMar>
          <w:top w:w="0" w:type="dxa"/>
          <w:left w:w="108" w:type="dxa"/>
          <w:bottom w:w="0" w:type="dxa"/>
          <w:right w:w="108" w:type="dxa"/>
        </w:tblCellMar>
        <w:tblLook w:val="04A0" w:firstRow="1" w:lastRow="0" w:firstColumn="1" w:lastColumn="0" w:noHBand="0" w:noVBand="1"/>
      </w:tblPr>
      <w:tblGrid>
        <w:gridCol w:w="561"/>
        <w:gridCol w:w="472"/>
        <w:gridCol w:w="5200"/>
        <w:gridCol w:w="1581"/>
        <w:gridCol w:w="2278"/>
      </w:tblGrid>
      <w:tr w:rsidR="00CE7B5B" w:rsidRPr="00BC7275" w14:paraId="283C7AB0" w14:textId="77777777" w:rsidTr="00CE7B5B">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275" w:type="pct"/>
          </w:tcPr>
          <w:p w14:paraId="73F459A0" w14:textId="77777777" w:rsidR="00CE7B5B" w:rsidRPr="00BC7275" w:rsidRDefault="00CE7B5B" w:rsidP="00CE7B5B">
            <w:pPr>
              <w:keepNext/>
              <w:spacing w:before="60" w:after="60"/>
              <w:rPr>
                <w:rFonts w:eastAsia="Times New Roman" w:cs="Arial"/>
                <w:bCs/>
                <w:color w:val="FFFFFF" w:themeColor="background1"/>
                <w:szCs w:val="18"/>
                <w:lang w:eastAsia="cs-CZ"/>
              </w:rPr>
            </w:pPr>
          </w:p>
        </w:tc>
        <w:tc>
          <w:tcPr>
            <w:tcW w:w="217" w:type="pct"/>
          </w:tcPr>
          <w:p w14:paraId="001F4358" w14:textId="77777777" w:rsidR="00CE7B5B" w:rsidRPr="00BC7275" w:rsidRDefault="00CE7B5B" w:rsidP="00CE7B5B">
            <w:pPr>
              <w:keepNext/>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Cs/>
                <w:color w:val="FFFFFF" w:themeColor="background1"/>
                <w:szCs w:val="18"/>
                <w:lang w:eastAsia="cs-CZ"/>
              </w:rPr>
            </w:pPr>
            <w:r w:rsidRPr="00BC7275">
              <w:rPr>
                <w:rFonts w:eastAsia="Times New Roman" w:cs="Arial"/>
                <w:bCs/>
                <w:color w:val="FFFFFF" w:themeColor="background1"/>
                <w:szCs w:val="18"/>
                <w:lang w:eastAsia="cs-CZ"/>
              </w:rPr>
              <w:t>Č</w:t>
            </w:r>
            <w:r>
              <w:rPr>
                <w:rFonts w:eastAsia="Times New Roman" w:cs="Arial"/>
                <w:bCs/>
                <w:color w:val="FFFFFF" w:themeColor="background1"/>
                <w:szCs w:val="18"/>
                <w:lang w:eastAsia="cs-CZ"/>
              </w:rPr>
              <w:t>.</w:t>
            </w:r>
          </w:p>
        </w:tc>
        <w:tc>
          <w:tcPr>
            <w:tcW w:w="2583" w:type="pct"/>
          </w:tcPr>
          <w:p w14:paraId="4A672FF4" w14:textId="77777777" w:rsidR="00CE7B5B" w:rsidRPr="00BC7275" w:rsidRDefault="00CE7B5B" w:rsidP="00CE7B5B">
            <w:pPr>
              <w:keepNext/>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Cs/>
                <w:color w:val="FFFFFF" w:themeColor="background1"/>
                <w:szCs w:val="18"/>
                <w:lang w:eastAsia="cs-CZ"/>
              </w:rPr>
            </w:pPr>
            <w:r w:rsidRPr="00BC7275">
              <w:rPr>
                <w:rFonts w:eastAsia="Times New Roman" w:cs="Arial"/>
                <w:bCs/>
                <w:color w:val="FFFFFF" w:themeColor="background1"/>
                <w:szCs w:val="18"/>
                <w:lang w:eastAsia="cs-CZ"/>
              </w:rPr>
              <w:t>Aktivita</w:t>
            </w:r>
          </w:p>
        </w:tc>
        <w:tc>
          <w:tcPr>
            <w:tcW w:w="790" w:type="pct"/>
          </w:tcPr>
          <w:p w14:paraId="73A78B31" w14:textId="77777777" w:rsidR="00CE7B5B" w:rsidRPr="00BC7275" w:rsidRDefault="00CE7B5B" w:rsidP="00CE7B5B">
            <w:pPr>
              <w:keepNext/>
              <w:spacing w:before="60" w:after="6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color w:val="FFFFFF" w:themeColor="background1"/>
                <w:szCs w:val="18"/>
                <w:lang w:eastAsia="cs-CZ"/>
              </w:rPr>
            </w:pPr>
            <w:r w:rsidRPr="00BC7275">
              <w:rPr>
                <w:rFonts w:eastAsia="Times New Roman" w:cs="Arial"/>
                <w:bCs/>
                <w:color w:val="FFFFFF" w:themeColor="background1"/>
                <w:szCs w:val="18"/>
                <w:lang w:eastAsia="cs-CZ"/>
              </w:rPr>
              <w:t>Odpovědnost</w:t>
            </w:r>
          </w:p>
        </w:tc>
        <w:tc>
          <w:tcPr>
            <w:tcW w:w="1135" w:type="pct"/>
          </w:tcPr>
          <w:p w14:paraId="7D93C012" w14:textId="77777777" w:rsidR="00CE7B5B" w:rsidRPr="00BC7275" w:rsidRDefault="00CE7B5B" w:rsidP="00CE7B5B">
            <w:pPr>
              <w:keepNext/>
              <w:spacing w:before="60" w:after="6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color w:val="FFFFFF" w:themeColor="background1"/>
                <w:szCs w:val="18"/>
                <w:lang w:eastAsia="cs-CZ"/>
              </w:rPr>
            </w:pPr>
            <w:r w:rsidRPr="00BC7275">
              <w:rPr>
                <w:rFonts w:eastAsia="Times New Roman" w:cs="Arial"/>
                <w:bCs/>
                <w:color w:val="FFFFFF" w:themeColor="background1"/>
                <w:szCs w:val="18"/>
                <w:lang w:eastAsia="cs-CZ"/>
              </w:rPr>
              <w:t>Termín</w:t>
            </w:r>
          </w:p>
        </w:tc>
      </w:tr>
      <w:tr w:rsidR="00CE7B5B" w:rsidRPr="007660C8" w14:paraId="7AA87013" w14:textId="77777777" w:rsidTr="00CE7B5B">
        <w:trPr>
          <w:trHeight w:val="340"/>
        </w:trPr>
        <w:tc>
          <w:tcPr>
            <w:cnfStyle w:val="001000000000" w:firstRow="0" w:lastRow="0" w:firstColumn="1" w:lastColumn="0" w:oddVBand="0" w:evenVBand="0" w:oddHBand="0" w:evenHBand="0" w:firstRowFirstColumn="0" w:firstRowLastColumn="0" w:lastRowFirstColumn="0" w:lastRowLastColumn="0"/>
            <w:tcW w:w="275" w:type="pct"/>
            <w:vMerge w:val="restart"/>
            <w:tcBorders>
              <w:top w:val="single" w:sz="4" w:space="0" w:color="92D400"/>
            </w:tcBorders>
            <w:shd w:val="clear" w:color="auto" w:fill="E7F5CF" w:themeFill="accent1" w:themeFillTint="33"/>
            <w:textDirection w:val="btLr"/>
          </w:tcPr>
          <w:p w14:paraId="333B6710" w14:textId="77777777" w:rsidR="00CE7B5B" w:rsidRPr="00CE7B5B" w:rsidRDefault="00CE7B5B" w:rsidP="00CE7B5B">
            <w:pPr>
              <w:spacing w:before="60" w:after="60"/>
              <w:ind w:left="113" w:right="113"/>
              <w:jc w:val="center"/>
              <w:rPr>
                <w:rFonts w:eastAsia="Times New Roman" w:cs="Calibri"/>
                <w:color w:val="000000"/>
                <w:szCs w:val="18"/>
                <w:lang w:eastAsia="cs-CZ"/>
              </w:rPr>
            </w:pPr>
            <w:r w:rsidRPr="00CE7B5B">
              <w:rPr>
                <w:rFonts w:eastAsia="Times New Roman" w:cs="Calibri"/>
                <w:color w:val="000000"/>
                <w:szCs w:val="18"/>
                <w:lang w:eastAsia="cs-CZ"/>
              </w:rPr>
              <w:t>I. etapa</w:t>
            </w:r>
          </w:p>
        </w:tc>
        <w:tc>
          <w:tcPr>
            <w:tcW w:w="217" w:type="pct"/>
            <w:tcBorders>
              <w:top w:val="single" w:sz="4" w:space="0" w:color="92D400"/>
            </w:tcBorders>
            <w:shd w:val="clear" w:color="auto" w:fill="E7F5CF" w:themeFill="accent1" w:themeFillTint="33"/>
            <w:vAlign w:val="center"/>
          </w:tcPr>
          <w:p w14:paraId="08EDA257" w14:textId="77777777" w:rsidR="00CE7B5B" w:rsidRPr="0074330B" w:rsidRDefault="00CE7B5B" w:rsidP="00CE7B5B">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Calibri"/>
                <w:b/>
                <w:color w:val="000000"/>
                <w:szCs w:val="18"/>
                <w:lang w:eastAsia="cs-CZ"/>
              </w:rPr>
            </w:pPr>
            <w:r w:rsidRPr="0074330B">
              <w:rPr>
                <w:rFonts w:eastAsia="Times New Roman" w:cs="Calibri"/>
                <w:b/>
                <w:color w:val="000000"/>
                <w:szCs w:val="18"/>
                <w:lang w:eastAsia="cs-CZ"/>
              </w:rPr>
              <w:t>1</w:t>
            </w:r>
          </w:p>
        </w:tc>
        <w:tc>
          <w:tcPr>
            <w:tcW w:w="2583" w:type="pct"/>
            <w:tcBorders>
              <w:top w:val="single" w:sz="4" w:space="0" w:color="92D400"/>
            </w:tcBorders>
            <w:shd w:val="clear" w:color="auto" w:fill="E7F5CF" w:themeFill="accent1" w:themeFillTint="33"/>
            <w:vAlign w:val="center"/>
          </w:tcPr>
          <w:p w14:paraId="1F7988B3" w14:textId="77777777" w:rsidR="00CE7B5B" w:rsidRPr="0074330B" w:rsidRDefault="00CE7B5B" w:rsidP="00CE7B5B">
            <w:pPr>
              <w:spacing w:before="60" w:after="60"/>
              <w:cnfStyle w:val="000000000000" w:firstRow="0" w:lastRow="0" w:firstColumn="0" w:lastColumn="0" w:oddVBand="0" w:evenVBand="0" w:oddHBand="0" w:evenHBand="0" w:firstRowFirstColumn="0" w:firstRowLastColumn="0" w:lastRowFirstColumn="0" w:lastRowLastColumn="0"/>
              <w:rPr>
                <w:b/>
                <w:color w:val="000000"/>
                <w:szCs w:val="18"/>
              </w:rPr>
            </w:pPr>
            <w:r w:rsidRPr="0074330B">
              <w:rPr>
                <w:b/>
                <w:color w:val="000000"/>
                <w:szCs w:val="18"/>
              </w:rPr>
              <w:t>Předání Vstupní zprávy</w:t>
            </w:r>
            <w:r>
              <w:rPr>
                <w:b/>
                <w:color w:val="000000"/>
                <w:szCs w:val="18"/>
              </w:rPr>
              <w:t xml:space="preserve"> a dalších výstupů</w:t>
            </w:r>
          </w:p>
        </w:tc>
        <w:tc>
          <w:tcPr>
            <w:tcW w:w="790" w:type="pct"/>
            <w:tcBorders>
              <w:top w:val="single" w:sz="4" w:space="0" w:color="92D400"/>
            </w:tcBorders>
            <w:shd w:val="clear" w:color="auto" w:fill="E7F5CF" w:themeFill="accent1" w:themeFillTint="33"/>
            <w:vAlign w:val="center"/>
          </w:tcPr>
          <w:p w14:paraId="147DEB22" w14:textId="77777777" w:rsidR="00CE7B5B" w:rsidRPr="0074330B" w:rsidRDefault="00CE7B5B" w:rsidP="00CE7B5B">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color w:val="000000"/>
                <w:szCs w:val="18"/>
                <w:lang w:eastAsia="cs-CZ"/>
              </w:rPr>
            </w:pPr>
            <w:r w:rsidRPr="0074330B">
              <w:rPr>
                <w:rFonts w:eastAsia="Times New Roman" w:cs="Calibri"/>
                <w:b/>
                <w:color w:val="000000"/>
                <w:szCs w:val="18"/>
                <w:lang w:eastAsia="cs-CZ"/>
              </w:rPr>
              <w:t>Deloitte</w:t>
            </w:r>
          </w:p>
        </w:tc>
        <w:tc>
          <w:tcPr>
            <w:tcW w:w="1135" w:type="pct"/>
            <w:tcBorders>
              <w:top w:val="single" w:sz="4" w:space="0" w:color="92D400"/>
            </w:tcBorders>
            <w:shd w:val="clear" w:color="auto" w:fill="E7F5CF" w:themeFill="accent1" w:themeFillTint="33"/>
            <w:vAlign w:val="center"/>
          </w:tcPr>
          <w:p w14:paraId="3DB2425B" w14:textId="77777777" w:rsidR="00CE7B5B" w:rsidRPr="0074330B" w:rsidRDefault="00CE7B5B" w:rsidP="00CE7B5B">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color w:val="000000"/>
                <w:szCs w:val="18"/>
                <w:lang w:eastAsia="cs-CZ"/>
              </w:rPr>
            </w:pPr>
            <w:r w:rsidRPr="0074330B">
              <w:rPr>
                <w:rFonts w:asciiTheme="majorHAnsi" w:hAnsiTheme="majorHAnsi" w:cs="Calibri"/>
                <w:b/>
                <w:color w:val="000000"/>
                <w:szCs w:val="18"/>
                <w:lang w:eastAsia="cs-CZ"/>
              </w:rPr>
              <w:t>11. 11. 2019</w:t>
            </w:r>
          </w:p>
        </w:tc>
      </w:tr>
      <w:tr w:rsidR="00CE7B5B" w:rsidRPr="00BC7275" w14:paraId="5AA2EDF7" w14:textId="77777777" w:rsidTr="00CE7B5B">
        <w:trPr>
          <w:trHeight w:val="340"/>
        </w:trPr>
        <w:tc>
          <w:tcPr>
            <w:cnfStyle w:val="001000000000" w:firstRow="0" w:lastRow="0" w:firstColumn="1" w:lastColumn="0" w:oddVBand="0" w:evenVBand="0" w:oddHBand="0" w:evenHBand="0" w:firstRowFirstColumn="0" w:firstRowLastColumn="0" w:lastRowFirstColumn="0" w:lastRowLastColumn="0"/>
            <w:tcW w:w="275" w:type="pct"/>
            <w:vMerge/>
            <w:shd w:val="clear" w:color="auto" w:fill="E7F5CF" w:themeFill="accent1" w:themeFillTint="33"/>
          </w:tcPr>
          <w:p w14:paraId="2AE092FF" w14:textId="77777777" w:rsidR="00CE7B5B" w:rsidRPr="00BC7275" w:rsidRDefault="00CE7B5B" w:rsidP="00CE7B5B">
            <w:pPr>
              <w:spacing w:before="60" w:after="60"/>
              <w:rPr>
                <w:rFonts w:eastAsia="Times New Roman" w:cs="Calibri"/>
                <w:color w:val="000000"/>
                <w:szCs w:val="18"/>
                <w:lang w:eastAsia="cs-CZ"/>
              </w:rPr>
            </w:pPr>
          </w:p>
        </w:tc>
        <w:tc>
          <w:tcPr>
            <w:tcW w:w="217" w:type="pct"/>
            <w:tcBorders>
              <w:top w:val="single" w:sz="4" w:space="0" w:color="92D400"/>
            </w:tcBorders>
            <w:shd w:val="clear" w:color="auto" w:fill="E7F5CF" w:themeFill="accent1" w:themeFillTint="33"/>
            <w:vAlign w:val="center"/>
          </w:tcPr>
          <w:p w14:paraId="0474117D" w14:textId="77777777" w:rsidR="00CE7B5B" w:rsidRPr="00BC7275" w:rsidRDefault="00CE7B5B" w:rsidP="00CE7B5B">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sidRPr="00BC7275">
              <w:rPr>
                <w:rFonts w:eastAsia="Times New Roman" w:cs="Calibri"/>
                <w:color w:val="000000"/>
                <w:szCs w:val="18"/>
                <w:lang w:eastAsia="cs-CZ"/>
              </w:rPr>
              <w:t>2</w:t>
            </w:r>
          </w:p>
        </w:tc>
        <w:tc>
          <w:tcPr>
            <w:tcW w:w="2583" w:type="pct"/>
            <w:tcBorders>
              <w:top w:val="single" w:sz="4" w:space="0" w:color="92D400"/>
            </w:tcBorders>
            <w:shd w:val="clear" w:color="auto" w:fill="E7F5CF" w:themeFill="accent1" w:themeFillTint="33"/>
            <w:vAlign w:val="center"/>
          </w:tcPr>
          <w:p w14:paraId="73CF9B82" w14:textId="77777777" w:rsidR="00CE7B5B" w:rsidRPr="00BC7275" w:rsidRDefault="00CE7B5B" w:rsidP="00CE7B5B">
            <w:pPr>
              <w:spacing w:before="60" w:after="60"/>
              <w:cnfStyle w:val="000000000000" w:firstRow="0" w:lastRow="0" w:firstColumn="0" w:lastColumn="0" w:oddVBand="0" w:evenVBand="0" w:oddHBand="0" w:evenHBand="0" w:firstRowFirstColumn="0" w:firstRowLastColumn="0" w:lastRowFirstColumn="0" w:lastRowLastColumn="0"/>
              <w:rPr>
                <w:color w:val="000000"/>
                <w:szCs w:val="18"/>
              </w:rPr>
            </w:pPr>
            <w:r>
              <w:rPr>
                <w:color w:val="000000"/>
                <w:szCs w:val="18"/>
              </w:rPr>
              <w:t>Předání připomínek ke Vstupní zprávě</w:t>
            </w:r>
          </w:p>
        </w:tc>
        <w:tc>
          <w:tcPr>
            <w:tcW w:w="790" w:type="pct"/>
            <w:tcBorders>
              <w:top w:val="single" w:sz="4" w:space="0" w:color="92D400"/>
            </w:tcBorders>
            <w:shd w:val="clear" w:color="auto" w:fill="E7F5CF" w:themeFill="accent1" w:themeFillTint="33"/>
            <w:vAlign w:val="center"/>
          </w:tcPr>
          <w:p w14:paraId="7E8DC5C8" w14:textId="77777777" w:rsidR="00CE7B5B" w:rsidRPr="00BC7275" w:rsidRDefault="00CE7B5B" w:rsidP="00CE7B5B">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MPO</w:t>
            </w:r>
          </w:p>
        </w:tc>
        <w:tc>
          <w:tcPr>
            <w:tcW w:w="1135" w:type="pct"/>
            <w:tcBorders>
              <w:top w:val="single" w:sz="4" w:space="0" w:color="92D400"/>
            </w:tcBorders>
            <w:shd w:val="clear" w:color="auto" w:fill="E7F5CF" w:themeFill="accent1" w:themeFillTint="33"/>
            <w:vAlign w:val="center"/>
          </w:tcPr>
          <w:p w14:paraId="1FE977BA" w14:textId="77777777" w:rsidR="00CE7B5B" w:rsidRPr="00BC7275" w:rsidRDefault="00CE7B5B" w:rsidP="00CE7B5B">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18. 11. 2019</w:t>
            </w:r>
          </w:p>
        </w:tc>
      </w:tr>
      <w:tr w:rsidR="00CE7B5B" w:rsidRPr="00BC7275" w14:paraId="39E6A938" w14:textId="77777777" w:rsidTr="00CE7B5B">
        <w:trPr>
          <w:trHeight w:val="340"/>
        </w:trPr>
        <w:tc>
          <w:tcPr>
            <w:cnfStyle w:val="001000000000" w:firstRow="0" w:lastRow="0" w:firstColumn="1" w:lastColumn="0" w:oddVBand="0" w:evenVBand="0" w:oddHBand="0" w:evenHBand="0" w:firstRowFirstColumn="0" w:firstRowLastColumn="0" w:lastRowFirstColumn="0" w:lastRowLastColumn="0"/>
            <w:tcW w:w="275" w:type="pct"/>
            <w:vMerge/>
            <w:shd w:val="clear" w:color="auto" w:fill="E7F5CF" w:themeFill="accent1" w:themeFillTint="33"/>
          </w:tcPr>
          <w:p w14:paraId="378FFCF0" w14:textId="77777777" w:rsidR="00CE7B5B" w:rsidRPr="00BC7275" w:rsidRDefault="00CE7B5B" w:rsidP="00CE7B5B">
            <w:pPr>
              <w:spacing w:before="60" w:after="60"/>
              <w:rPr>
                <w:rFonts w:eastAsia="Times New Roman" w:cs="Calibri"/>
                <w:color w:val="000000"/>
                <w:szCs w:val="18"/>
                <w:lang w:eastAsia="cs-CZ"/>
              </w:rPr>
            </w:pPr>
          </w:p>
        </w:tc>
        <w:tc>
          <w:tcPr>
            <w:tcW w:w="217" w:type="pct"/>
            <w:tcBorders>
              <w:top w:val="single" w:sz="4" w:space="0" w:color="92D400"/>
              <w:bottom w:val="single" w:sz="4" w:space="0" w:color="92D400"/>
            </w:tcBorders>
            <w:shd w:val="clear" w:color="auto" w:fill="E7F5CF" w:themeFill="accent1" w:themeFillTint="33"/>
            <w:vAlign w:val="center"/>
          </w:tcPr>
          <w:p w14:paraId="29E765B8" w14:textId="77777777" w:rsidR="00CE7B5B" w:rsidRPr="00BC7275" w:rsidRDefault="00CE7B5B" w:rsidP="00CE7B5B">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sidRPr="00BC7275">
              <w:rPr>
                <w:rFonts w:eastAsia="Times New Roman" w:cs="Calibri"/>
                <w:color w:val="000000"/>
                <w:szCs w:val="18"/>
                <w:lang w:eastAsia="cs-CZ"/>
              </w:rPr>
              <w:t>3</w:t>
            </w:r>
          </w:p>
        </w:tc>
        <w:tc>
          <w:tcPr>
            <w:tcW w:w="2583" w:type="pct"/>
            <w:tcBorders>
              <w:top w:val="single" w:sz="4" w:space="0" w:color="92D400"/>
              <w:bottom w:val="single" w:sz="4" w:space="0" w:color="92D400"/>
            </w:tcBorders>
            <w:shd w:val="clear" w:color="auto" w:fill="E7F5CF" w:themeFill="accent1" w:themeFillTint="33"/>
            <w:vAlign w:val="center"/>
          </w:tcPr>
          <w:p w14:paraId="2D361837" w14:textId="77777777" w:rsidR="00CE7B5B" w:rsidRPr="00BC7275" w:rsidRDefault="00CE7B5B" w:rsidP="00CE7B5B">
            <w:pPr>
              <w:spacing w:before="60" w:after="60"/>
              <w:cnfStyle w:val="000000000000" w:firstRow="0" w:lastRow="0" w:firstColumn="0" w:lastColumn="0" w:oddVBand="0" w:evenVBand="0" w:oddHBand="0" w:evenHBand="0" w:firstRowFirstColumn="0" w:firstRowLastColumn="0" w:lastRowFirstColumn="0" w:lastRowLastColumn="0"/>
              <w:rPr>
                <w:color w:val="000000"/>
                <w:szCs w:val="18"/>
              </w:rPr>
            </w:pPr>
            <w:r>
              <w:rPr>
                <w:color w:val="000000"/>
                <w:szCs w:val="18"/>
              </w:rPr>
              <w:t>Vypořádání připomínek ke Vstupní zprávě</w:t>
            </w:r>
          </w:p>
        </w:tc>
        <w:tc>
          <w:tcPr>
            <w:tcW w:w="790" w:type="pct"/>
            <w:tcBorders>
              <w:top w:val="single" w:sz="4" w:space="0" w:color="92D400"/>
              <w:bottom w:val="single" w:sz="4" w:space="0" w:color="92D400"/>
            </w:tcBorders>
            <w:shd w:val="clear" w:color="auto" w:fill="E7F5CF" w:themeFill="accent1" w:themeFillTint="33"/>
            <w:vAlign w:val="center"/>
          </w:tcPr>
          <w:p w14:paraId="0F4BBDB1" w14:textId="77777777" w:rsidR="00CE7B5B" w:rsidRPr="00BC7275" w:rsidRDefault="00CE7B5B" w:rsidP="00CE7B5B">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Pr>
                <w:rFonts w:eastAsia="Times New Roman" w:cs="Calibri"/>
                <w:color w:val="000000"/>
                <w:szCs w:val="18"/>
                <w:lang w:eastAsia="cs-CZ"/>
              </w:rPr>
              <w:t>Deloitte</w:t>
            </w:r>
          </w:p>
        </w:tc>
        <w:tc>
          <w:tcPr>
            <w:tcW w:w="1135" w:type="pct"/>
            <w:tcBorders>
              <w:top w:val="single" w:sz="4" w:space="0" w:color="92D400"/>
              <w:bottom w:val="single" w:sz="4" w:space="0" w:color="92D400"/>
            </w:tcBorders>
            <w:shd w:val="clear" w:color="auto" w:fill="E7F5CF" w:themeFill="accent1" w:themeFillTint="33"/>
            <w:vAlign w:val="center"/>
          </w:tcPr>
          <w:p w14:paraId="67B8DC41" w14:textId="77777777" w:rsidR="00CE7B5B" w:rsidRPr="00BC7275" w:rsidRDefault="00CE7B5B" w:rsidP="00CE7B5B">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 xml:space="preserve">21. 11. 2019 </w:t>
            </w:r>
          </w:p>
        </w:tc>
      </w:tr>
      <w:tr w:rsidR="00CE7B5B" w:rsidRPr="007660C8" w14:paraId="2A426C6C" w14:textId="77777777" w:rsidTr="00CE7B5B">
        <w:trPr>
          <w:trHeight w:val="340"/>
        </w:trPr>
        <w:tc>
          <w:tcPr>
            <w:cnfStyle w:val="001000000000" w:firstRow="0" w:lastRow="0" w:firstColumn="1" w:lastColumn="0" w:oddVBand="0" w:evenVBand="0" w:oddHBand="0" w:evenHBand="0" w:firstRowFirstColumn="0" w:firstRowLastColumn="0" w:lastRowFirstColumn="0" w:lastRowLastColumn="0"/>
            <w:tcW w:w="275" w:type="pct"/>
            <w:vMerge/>
            <w:tcBorders>
              <w:bottom w:val="single" w:sz="4" w:space="0" w:color="92D400"/>
            </w:tcBorders>
            <w:shd w:val="clear" w:color="auto" w:fill="E7F5CF" w:themeFill="accent1" w:themeFillTint="33"/>
          </w:tcPr>
          <w:p w14:paraId="60F689A1" w14:textId="77777777" w:rsidR="00CE7B5B" w:rsidRPr="0074330B" w:rsidRDefault="00CE7B5B" w:rsidP="00CE7B5B">
            <w:pPr>
              <w:spacing w:before="60" w:after="60"/>
              <w:rPr>
                <w:rFonts w:eastAsia="Times New Roman" w:cs="Calibri"/>
                <w:b/>
                <w:color w:val="000000"/>
                <w:szCs w:val="18"/>
                <w:lang w:eastAsia="cs-CZ"/>
              </w:rPr>
            </w:pPr>
          </w:p>
        </w:tc>
        <w:tc>
          <w:tcPr>
            <w:tcW w:w="217" w:type="pct"/>
            <w:tcBorders>
              <w:top w:val="single" w:sz="4" w:space="0" w:color="92D400"/>
              <w:bottom w:val="single" w:sz="4" w:space="0" w:color="92D400"/>
            </w:tcBorders>
            <w:shd w:val="clear" w:color="auto" w:fill="E7F5CF" w:themeFill="accent1" w:themeFillTint="33"/>
            <w:vAlign w:val="center"/>
          </w:tcPr>
          <w:p w14:paraId="6D0ADFD8" w14:textId="77777777" w:rsidR="00CE7B5B" w:rsidRPr="0074330B" w:rsidRDefault="00CE7B5B" w:rsidP="00CE7B5B">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Calibri"/>
                <w:b/>
                <w:color w:val="000000"/>
                <w:szCs w:val="18"/>
                <w:lang w:eastAsia="cs-CZ"/>
              </w:rPr>
            </w:pPr>
            <w:r w:rsidRPr="0074330B">
              <w:rPr>
                <w:rFonts w:eastAsia="Times New Roman" w:cs="Calibri"/>
                <w:b/>
                <w:color w:val="000000"/>
                <w:szCs w:val="18"/>
                <w:lang w:eastAsia="cs-CZ"/>
              </w:rPr>
              <w:t>4</w:t>
            </w:r>
          </w:p>
        </w:tc>
        <w:tc>
          <w:tcPr>
            <w:tcW w:w="2583" w:type="pct"/>
            <w:tcBorders>
              <w:top w:val="single" w:sz="4" w:space="0" w:color="92D400"/>
              <w:bottom w:val="single" w:sz="4" w:space="0" w:color="92D400"/>
            </w:tcBorders>
            <w:shd w:val="clear" w:color="auto" w:fill="E7F5CF" w:themeFill="accent1" w:themeFillTint="33"/>
            <w:vAlign w:val="center"/>
          </w:tcPr>
          <w:p w14:paraId="553A530F" w14:textId="77777777" w:rsidR="00CE7B5B" w:rsidRPr="0074330B" w:rsidRDefault="00CE7B5B" w:rsidP="00CE7B5B">
            <w:pPr>
              <w:spacing w:before="60" w:after="60"/>
              <w:cnfStyle w:val="000000000000" w:firstRow="0" w:lastRow="0" w:firstColumn="0" w:lastColumn="0" w:oddVBand="0" w:evenVBand="0" w:oddHBand="0" w:evenHBand="0" w:firstRowFirstColumn="0" w:firstRowLastColumn="0" w:lastRowFirstColumn="0" w:lastRowLastColumn="0"/>
              <w:rPr>
                <w:b/>
                <w:color w:val="000000"/>
                <w:szCs w:val="18"/>
              </w:rPr>
            </w:pPr>
            <w:r w:rsidRPr="0074330B">
              <w:rPr>
                <w:b/>
                <w:color w:val="000000"/>
                <w:szCs w:val="18"/>
              </w:rPr>
              <w:t>Akceptace Vstupní zprávy</w:t>
            </w:r>
          </w:p>
        </w:tc>
        <w:tc>
          <w:tcPr>
            <w:tcW w:w="790" w:type="pct"/>
            <w:tcBorders>
              <w:top w:val="single" w:sz="4" w:space="0" w:color="92D400"/>
              <w:bottom w:val="single" w:sz="4" w:space="0" w:color="92D400"/>
            </w:tcBorders>
            <w:shd w:val="clear" w:color="auto" w:fill="E7F5CF" w:themeFill="accent1" w:themeFillTint="33"/>
            <w:vAlign w:val="center"/>
          </w:tcPr>
          <w:p w14:paraId="39914E60" w14:textId="77777777" w:rsidR="00CE7B5B" w:rsidRPr="0074330B" w:rsidRDefault="00CE7B5B" w:rsidP="00CE7B5B">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Calibri"/>
                <w:b/>
                <w:color w:val="000000"/>
                <w:szCs w:val="18"/>
                <w:lang w:eastAsia="cs-CZ"/>
              </w:rPr>
            </w:pPr>
            <w:r w:rsidRPr="0074330B">
              <w:rPr>
                <w:rFonts w:eastAsia="Times New Roman" w:cs="Calibri"/>
                <w:b/>
                <w:color w:val="000000"/>
                <w:szCs w:val="18"/>
                <w:lang w:eastAsia="cs-CZ"/>
              </w:rPr>
              <w:t>MPO</w:t>
            </w:r>
          </w:p>
        </w:tc>
        <w:tc>
          <w:tcPr>
            <w:tcW w:w="1135" w:type="pct"/>
            <w:tcBorders>
              <w:top w:val="single" w:sz="4" w:space="0" w:color="92D400"/>
              <w:bottom w:val="single" w:sz="4" w:space="0" w:color="92D400"/>
            </w:tcBorders>
            <w:shd w:val="clear" w:color="auto" w:fill="E7F5CF" w:themeFill="accent1" w:themeFillTint="33"/>
            <w:vAlign w:val="center"/>
          </w:tcPr>
          <w:p w14:paraId="1678903F" w14:textId="77777777" w:rsidR="00CE7B5B" w:rsidRPr="0074330B" w:rsidRDefault="00CE7B5B" w:rsidP="00CE7B5B">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color w:val="000000"/>
                <w:szCs w:val="18"/>
                <w:lang w:eastAsia="cs-CZ"/>
              </w:rPr>
            </w:pPr>
            <w:r>
              <w:rPr>
                <w:rFonts w:asciiTheme="majorHAnsi" w:hAnsiTheme="majorHAnsi" w:cs="Calibri"/>
                <w:b/>
                <w:color w:val="000000"/>
                <w:szCs w:val="18"/>
                <w:lang w:eastAsia="cs-CZ"/>
              </w:rPr>
              <w:t>22.</w:t>
            </w:r>
            <w:r w:rsidR="003D73CA">
              <w:rPr>
                <w:rFonts w:asciiTheme="majorHAnsi" w:hAnsiTheme="majorHAnsi" w:cs="Calibri"/>
                <w:b/>
                <w:color w:val="000000"/>
                <w:szCs w:val="18"/>
                <w:lang w:eastAsia="cs-CZ"/>
              </w:rPr>
              <w:t xml:space="preserve"> – 26.</w:t>
            </w:r>
            <w:r>
              <w:rPr>
                <w:rFonts w:asciiTheme="majorHAnsi" w:hAnsiTheme="majorHAnsi" w:cs="Calibri"/>
                <w:b/>
                <w:color w:val="000000"/>
                <w:szCs w:val="18"/>
                <w:lang w:eastAsia="cs-CZ"/>
              </w:rPr>
              <w:t xml:space="preserve"> 11. 2019</w:t>
            </w:r>
          </w:p>
        </w:tc>
      </w:tr>
      <w:tr w:rsidR="00CE7B5B" w:rsidRPr="007660C8" w14:paraId="649844D3" w14:textId="77777777" w:rsidTr="00CE7B5B">
        <w:trPr>
          <w:trHeight w:val="340"/>
        </w:trPr>
        <w:tc>
          <w:tcPr>
            <w:cnfStyle w:val="001000000000" w:firstRow="0" w:lastRow="0" w:firstColumn="1" w:lastColumn="0" w:oddVBand="0" w:evenVBand="0" w:oddHBand="0" w:evenHBand="0" w:firstRowFirstColumn="0" w:firstRowLastColumn="0" w:lastRowFirstColumn="0" w:lastRowLastColumn="0"/>
            <w:tcW w:w="275" w:type="pct"/>
            <w:vMerge w:val="restart"/>
            <w:tcBorders>
              <w:top w:val="single" w:sz="4" w:space="0" w:color="92D400"/>
            </w:tcBorders>
            <w:textDirection w:val="btLr"/>
          </w:tcPr>
          <w:p w14:paraId="5146332A" w14:textId="77777777" w:rsidR="00CE7B5B" w:rsidRPr="0074330B" w:rsidRDefault="00CE7B5B" w:rsidP="00CE7B5B">
            <w:pPr>
              <w:spacing w:before="60" w:after="60"/>
              <w:ind w:left="113" w:right="113"/>
              <w:jc w:val="center"/>
              <w:rPr>
                <w:rFonts w:eastAsia="Times New Roman" w:cs="Calibri"/>
                <w:b/>
                <w:color w:val="000000"/>
                <w:szCs w:val="18"/>
                <w:lang w:eastAsia="cs-CZ"/>
              </w:rPr>
            </w:pPr>
            <w:r w:rsidRPr="00CE7B5B">
              <w:rPr>
                <w:rFonts w:eastAsia="Times New Roman" w:cs="Calibri"/>
                <w:color w:val="000000"/>
                <w:szCs w:val="18"/>
                <w:lang w:eastAsia="cs-CZ"/>
              </w:rPr>
              <w:t>I</w:t>
            </w:r>
            <w:r>
              <w:rPr>
                <w:rFonts w:eastAsia="Times New Roman" w:cs="Calibri"/>
                <w:color w:val="000000"/>
                <w:szCs w:val="18"/>
                <w:lang w:eastAsia="cs-CZ"/>
              </w:rPr>
              <w:t>I</w:t>
            </w:r>
            <w:r w:rsidRPr="00CE7B5B">
              <w:rPr>
                <w:rFonts w:eastAsia="Times New Roman" w:cs="Calibri"/>
                <w:color w:val="000000"/>
                <w:szCs w:val="18"/>
                <w:lang w:eastAsia="cs-CZ"/>
              </w:rPr>
              <w:t>. etapa</w:t>
            </w:r>
          </w:p>
        </w:tc>
        <w:tc>
          <w:tcPr>
            <w:tcW w:w="217" w:type="pct"/>
            <w:tcBorders>
              <w:top w:val="single" w:sz="4" w:space="0" w:color="92D400"/>
              <w:bottom w:val="single" w:sz="4" w:space="0" w:color="92D400"/>
            </w:tcBorders>
            <w:vAlign w:val="center"/>
          </w:tcPr>
          <w:p w14:paraId="0D25BA7D" w14:textId="77777777" w:rsidR="00CE7B5B" w:rsidRPr="0074330B" w:rsidRDefault="00CE7B5B" w:rsidP="00CE7B5B">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Calibri"/>
                <w:b/>
                <w:color w:val="000000"/>
                <w:szCs w:val="18"/>
                <w:lang w:eastAsia="cs-CZ"/>
              </w:rPr>
            </w:pPr>
            <w:r w:rsidRPr="0074330B">
              <w:rPr>
                <w:rFonts w:eastAsia="Times New Roman" w:cs="Calibri"/>
                <w:b/>
                <w:color w:val="000000"/>
                <w:szCs w:val="18"/>
                <w:lang w:eastAsia="cs-CZ"/>
              </w:rPr>
              <w:t>5</w:t>
            </w:r>
          </w:p>
        </w:tc>
        <w:tc>
          <w:tcPr>
            <w:tcW w:w="2583" w:type="pct"/>
            <w:tcBorders>
              <w:top w:val="single" w:sz="4" w:space="0" w:color="92D400"/>
              <w:bottom w:val="single" w:sz="4" w:space="0" w:color="92D400"/>
            </w:tcBorders>
            <w:vAlign w:val="center"/>
          </w:tcPr>
          <w:p w14:paraId="7B6FF3EC" w14:textId="77777777" w:rsidR="00CE7B5B" w:rsidRPr="0074330B" w:rsidRDefault="00CE7B5B" w:rsidP="00CE7B5B">
            <w:pPr>
              <w:spacing w:before="60" w:after="60"/>
              <w:cnfStyle w:val="000000000000" w:firstRow="0" w:lastRow="0" w:firstColumn="0" w:lastColumn="0" w:oddVBand="0" w:evenVBand="0" w:oddHBand="0" w:evenHBand="0" w:firstRowFirstColumn="0" w:firstRowLastColumn="0" w:lastRowFirstColumn="0" w:lastRowLastColumn="0"/>
              <w:rPr>
                <w:b/>
                <w:color w:val="000000"/>
                <w:szCs w:val="18"/>
              </w:rPr>
            </w:pPr>
            <w:r w:rsidRPr="0074330B">
              <w:rPr>
                <w:b/>
                <w:color w:val="000000"/>
                <w:szCs w:val="18"/>
              </w:rPr>
              <w:t>Předání Průběžné zprávy</w:t>
            </w:r>
            <w:r>
              <w:rPr>
                <w:b/>
                <w:color w:val="000000"/>
                <w:szCs w:val="18"/>
              </w:rPr>
              <w:t xml:space="preserve"> a dalších výstupů</w:t>
            </w:r>
          </w:p>
        </w:tc>
        <w:tc>
          <w:tcPr>
            <w:tcW w:w="790" w:type="pct"/>
            <w:tcBorders>
              <w:top w:val="single" w:sz="4" w:space="0" w:color="92D400"/>
              <w:bottom w:val="single" w:sz="4" w:space="0" w:color="92D400"/>
            </w:tcBorders>
            <w:vAlign w:val="center"/>
          </w:tcPr>
          <w:p w14:paraId="10ED8C83" w14:textId="77777777" w:rsidR="00CE7B5B" w:rsidRPr="0074330B" w:rsidRDefault="00CE7B5B" w:rsidP="00CE7B5B">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Calibri"/>
                <w:b/>
                <w:color w:val="000000"/>
                <w:szCs w:val="18"/>
                <w:lang w:eastAsia="cs-CZ"/>
              </w:rPr>
            </w:pPr>
            <w:r w:rsidRPr="0074330B">
              <w:rPr>
                <w:rFonts w:eastAsia="Times New Roman" w:cs="Calibri"/>
                <w:b/>
                <w:color w:val="000000"/>
                <w:szCs w:val="18"/>
                <w:lang w:eastAsia="cs-CZ"/>
              </w:rPr>
              <w:t>Deloitte</w:t>
            </w:r>
          </w:p>
        </w:tc>
        <w:tc>
          <w:tcPr>
            <w:tcW w:w="1135" w:type="pct"/>
            <w:tcBorders>
              <w:top w:val="single" w:sz="4" w:space="0" w:color="92D400"/>
              <w:bottom w:val="single" w:sz="4" w:space="0" w:color="92D400"/>
            </w:tcBorders>
            <w:vAlign w:val="center"/>
          </w:tcPr>
          <w:p w14:paraId="04344719" w14:textId="77777777" w:rsidR="00CE7B5B" w:rsidRPr="0074330B" w:rsidRDefault="003608FB" w:rsidP="003608FB">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color w:val="000000"/>
                <w:szCs w:val="18"/>
                <w:lang w:eastAsia="cs-CZ"/>
              </w:rPr>
            </w:pPr>
            <w:r>
              <w:rPr>
                <w:rFonts w:asciiTheme="majorHAnsi" w:hAnsiTheme="majorHAnsi" w:cs="Calibri"/>
                <w:b/>
                <w:color w:val="000000"/>
                <w:szCs w:val="18"/>
                <w:lang w:eastAsia="cs-CZ"/>
              </w:rPr>
              <w:t>17</w:t>
            </w:r>
            <w:r w:rsidR="00CE7B5B">
              <w:rPr>
                <w:rFonts w:asciiTheme="majorHAnsi" w:hAnsiTheme="majorHAnsi" w:cs="Calibri"/>
                <w:b/>
                <w:color w:val="000000"/>
                <w:szCs w:val="18"/>
                <w:lang w:eastAsia="cs-CZ"/>
              </w:rPr>
              <w:t xml:space="preserve">. </w:t>
            </w:r>
            <w:r>
              <w:rPr>
                <w:rFonts w:asciiTheme="majorHAnsi" w:hAnsiTheme="majorHAnsi" w:cs="Calibri"/>
                <w:b/>
                <w:color w:val="000000"/>
                <w:szCs w:val="18"/>
                <w:lang w:eastAsia="cs-CZ"/>
              </w:rPr>
              <w:t>2</w:t>
            </w:r>
            <w:r w:rsidR="00CE7B5B">
              <w:rPr>
                <w:rFonts w:asciiTheme="majorHAnsi" w:hAnsiTheme="majorHAnsi" w:cs="Calibri"/>
                <w:b/>
                <w:color w:val="000000"/>
                <w:szCs w:val="18"/>
                <w:lang w:eastAsia="cs-CZ"/>
              </w:rPr>
              <w:t>. 2020</w:t>
            </w:r>
            <w:r w:rsidR="003D73CA">
              <w:rPr>
                <w:rStyle w:val="Znakapoznpodarou"/>
                <w:rFonts w:asciiTheme="majorHAnsi" w:hAnsiTheme="majorHAnsi" w:cs="Calibri"/>
                <w:b/>
                <w:color w:val="000000"/>
                <w:szCs w:val="18"/>
                <w:lang w:eastAsia="cs-CZ"/>
              </w:rPr>
              <w:footnoteReference w:id="10"/>
            </w:r>
          </w:p>
        </w:tc>
      </w:tr>
      <w:tr w:rsidR="00CE7B5B" w:rsidRPr="00BC7275" w14:paraId="42DD0A31" w14:textId="77777777" w:rsidTr="00CE7B5B">
        <w:trPr>
          <w:trHeight w:val="340"/>
        </w:trPr>
        <w:tc>
          <w:tcPr>
            <w:cnfStyle w:val="001000000000" w:firstRow="0" w:lastRow="0" w:firstColumn="1" w:lastColumn="0" w:oddVBand="0" w:evenVBand="0" w:oddHBand="0" w:evenHBand="0" w:firstRowFirstColumn="0" w:firstRowLastColumn="0" w:lastRowFirstColumn="0" w:lastRowLastColumn="0"/>
            <w:tcW w:w="275" w:type="pct"/>
            <w:vMerge/>
            <w:textDirection w:val="btLr"/>
          </w:tcPr>
          <w:p w14:paraId="40953C14" w14:textId="77777777" w:rsidR="00CE7B5B" w:rsidRPr="00BC7275" w:rsidRDefault="00CE7B5B" w:rsidP="00CE7B5B">
            <w:pPr>
              <w:spacing w:before="60" w:after="60"/>
              <w:ind w:left="113" w:right="113"/>
              <w:jc w:val="center"/>
              <w:rPr>
                <w:rFonts w:eastAsia="Times New Roman" w:cs="Calibri"/>
                <w:color w:val="000000"/>
                <w:szCs w:val="18"/>
                <w:lang w:eastAsia="cs-CZ"/>
              </w:rPr>
            </w:pPr>
          </w:p>
        </w:tc>
        <w:tc>
          <w:tcPr>
            <w:tcW w:w="217" w:type="pct"/>
            <w:tcBorders>
              <w:top w:val="single" w:sz="4" w:space="0" w:color="92D400"/>
              <w:bottom w:val="single" w:sz="4" w:space="0" w:color="92D400"/>
            </w:tcBorders>
            <w:vAlign w:val="center"/>
          </w:tcPr>
          <w:p w14:paraId="382E948C" w14:textId="77777777" w:rsidR="00CE7B5B" w:rsidRPr="00BC7275" w:rsidRDefault="00CE7B5B" w:rsidP="00CE7B5B">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sidRPr="00BC7275">
              <w:rPr>
                <w:rFonts w:eastAsia="Times New Roman" w:cs="Calibri"/>
                <w:color w:val="000000"/>
                <w:szCs w:val="18"/>
                <w:lang w:eastAsia="cs-CZ"/>
              </w:rPr>
              <w:t>6</w:t>
            </w:r>
          </w:p>
        </w:tc>
        <w:tc>
          <w:tcPr>
            <w:tcW w:w="2583" w:type="pct"/>
            <w:tcBorders>
              <w:top w:val="single" w:sz="4" w:space="0" w:color="92D400"/>
              <w:bottom w:val="single" w:sz="4" w:space="0" w:color="92D400"/>
            </w:tcBorders>
            <w:vAlign w:val="center"/>
          </w:tcPr>
          <w:p w14:paraId="6E058B0F" w14:textId="77777777" w:rsidR="00CE7B5B" w:rsidRPr="00BC7275" w:rsidRDefault="00CE7B5B" w:rsidP="00CE7B5B">
            <w:pPr>
              <w:spacing w:before="60" w:after="60"/>
              <w:cnfStyle w:val="000000000000" w:firstRow="0" w:lastRow="0" w:firstColumn="0" w:lastColumn="0" w:oddVBand="0" w:evenVBand="0" w:oddHBand="0" w:evenHBand="0" w:firstRowFirstColumn="0" w:firstRowLastColumn="0" w:lastRowFirstColumn="0" w:lastRowLastColumn="0"/>
              <w:rPr>
                <w:color w:val="000000"/>
                <w:szCs w:val="18"/>
              </w:rPr>
            </w:pPr>
            <w:r>
              <w:rPr>
                <w:color w:val="000000"/>
                <w:szCs w:val="18"/>
              </w:rPr>
              <w:t>Předání připomínek k Průběžné zprávě</w:t>
            </w:r>
          </w:p>
        </w:tc>
        <w:tc>
          <w:tcPr>
            <w:tcW w:w="790" w:type="pct"/>
            <w:tcBorders>
              <w:top w:val="single" w:sz="4" w:space="0" w:color="92D400"/>
              <w:bottom w:val="single" w:sz="4" w:space="0" w:color="92D400"/>
            </w:tcBorders>
            <w:vAlign w:val="center"/>
          </w:tcPr>
          <w:p w14:paraId="65B4B43C" w14:textId="77777777" w:rsidR="00CE7B5B" w:rsidRPr="00BC7275" w:rsidRDefault="00CE7B5B" w:rsidP="00CE7B5B">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Pr>
                <w:rFonts w:asciiTheme="majorHAnsi" w:hAnsiTheme="majorHAnsi" w:cs="Calibri"/>
                <w:color w:val="000000"/>
                <w:szCs w:val="18"/>
                <w:lang w:eastAsia="cs-CZ"/>
              </w:rPr>
              <w:t>MPO</w:t>
            </w:r>
          </w:p>
        </w:tc>
        <w:tc>
          <w:tcPr>
            <w:tcW w:w="1135" w:type="pct"/>
            <w:tcBorders>
              <w:top w:val="single" w:sz="4" w:space="0" w:color="92D400"/>
              <w:bottom w:val="single" w:sz="4" w:space="0" w:color="92D400"/>
            </w:tcBorders>
            <w:vAlign w:val="center"/>
          </w:tcPr>
          <w:p w14:paraId="60735050" w14:textId="77777777" w:rsidR="00CE7B5B" w:rsidRPr="00BC7275" w:rsidRDefault="003608FB" w:rsidP="00CE7B5B">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28</w:t>
            </w:r>
            <w:r w:rsidR="00CE7B5B">
              <w:rPr>
                <w:rFonts w:asciiTheme="majorHAnsi" w:hAnsiTheme="majorHAnsi" w:cs="Calibri"/>
                <w:color w:val="000000"/>
                <w:szCs w:val="18"/>
                <w:lang w:eastAsia="cs-CZ"/>
              </w:rPr>
              <w:t>. 2. 2020</w:t>
            </w:r>
          </w:p>
        </w:tc>
      </w:tr>
      <w:tr w:rsidR="00CE7B5B" w:rsidRPr="00BC7275" w14:paraId="2C378D4C" w14:textId="77777777" w:rsidTr="00CE7B5B">
        <w:trPr>
          <w:trHeight w:val="340"/>
        </w:trPr>
        <w:tc>
          <w:tcPr>
            <w:cnfStyle w:val="001000000000" w:firstRow="0" w:lastRow="0" w:firstColumn="1" w:lastColumn="0" w:oddVBand="0" w:evenVBand="0" w:oddHBand="0" w:evenHBand="0" w:firstRowFirstColumn="0" w:firstRowLastColumn="0" w:lastRowFirstColumn="0" w:lastRowLastColumn="0"/>
            <w:tcW w:w="275" w:type="pct"/>
            <w:vMerge/>
            <w:textDirection w:val="btLr"/>
          </w:tcPr>
          <w:p w14:paraId="34DCE0AE" w14:textId="77777777" w:rsidR="00CE7B5B" w:rsidRDefault="00CE7B5B" w:rsidP="00CE7B5B">
            <w:pPr>
              <w:spacing w:before="60" w:after="60"/>
              <w:ind w:left="113" w:right="113"/>
              <w:jc w:val="center"/>
              <w:rPr>
                <w:rFonts w:eastAsia="Times New Roman" w:cs="Calibri"/>
                <w:color w:val="000000"/>
                <w:szCs w:val="18"/>
                <w:lang w:eastAsia="cs-CZ"/>
              </w:rPr>
            </w:pPr>
          </w:p>
        </w:tc>
        <w:tc>
          <w:tcPr>
            <w:tcW w:w="217" w:type="pct"/>
            <w:tcBorders>
              <w:top w:val="single" w:sz="4" w:space="0" w:color="92D400"/>
              <w:bottom w:val="single" w:sz="4" w:space="0" w:color="92D400"/>
            </w:tcBorders>
            <w:vAlign w:val="center"/>
          </w:tcPr>
          <w:p w14:paraId="18A435C0" w14:textId="77777777" w:rsidR="00CE7B5B" w:rsidRPr="00BC7275" w:rsidRDefault="00CE7B5B" w:rsidP="00CE7B5B">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Pr>
                <w:rFonts w:eastAsia="Times New Roman" w:cs="Calibri"/>
                <w:color w:val="000000"/>
                <w:szCs w:val="18"/>
                <w:lang w:eastAsia="cs-CZ"/>
              </w:rPr>
              <w:t>7</w:t>
            </w:r>
          </w:p>
        </w:tc>
        <w:tc>
          <w:tcPr>
            <w:tcW w:w="2583" w:type="pct"/>
            <w:tcBorders>
              <w:top w:val="single" w:sz="4" w:space="0" w:color="92D400"/>
              <w:bottom w:val="single" w:sz="4" w:space="0" w:color="92D400"/>
            </w:tcBorders>
            <w:vAlign w:val="center"/>
          </w:tcPr>
          <w:p w14:paraId="6EAEC59D" w14:textId="77777777" w:rsidR="00CE7B5B" w:rsidRPr="00BC7275" w:rsidRDefault="00CE7B5B" w:rsidP="00CE7B5B">
            <w:pPr>
              <w:spacing w:before="60" w:after="60"/>
              <w:cnfStyle w:val="000000000000" w:firstRow="0" w:lastRow="0" w:firstColumn="0" w:lastColumn="0" w:oddVBand="0" w:evenVBand="0" w:oddHBand="0" w:evenHBand="0" w:firstRowFirstColumn="0" w:firstRowLastColumn="0" w:lastRowFirstColumn="0" w:lastRowLastColumn="0"/>
              <w:rPr>
                <w:color w:val="000000"/>
                <w:szCs w:val="18"/>
              </w:rPr>
            </w:pPr>
            <w:r>
              <w:rPr>
                <w:color w:val="000000"/>
                <w:szCs w:val="18"/>
              </w:rPr>
              <w:t>Vypořádání připomínek k Průběžné zprávě</w:t>
            </w:r>
          </w:p>
        </w:tc>
        <w:tc>
          <w:tcPr>
            <w:tcW w:w="790" w:type="pct"/>
            <w:tcBorders>
              <w:top w:val="single" w:sz="4" w:space="0" w:color="92D400"/>
              <w:bottom w:val="single" w:sz="4" w:space="0" w:color="92D400"/>
            </w:tcBorders>
            <w:vAlign w:val="center"/>
          </w:tcPr>
          <w:p w14:paraId="41E00116" w14:textId="77777777" w:rsidR="00CE7B5B" w:rsidRPr="00BC7275" w:rsidRDefault="00CE7B5B" w:rsidP="00CE7B5B">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Pr>
                <w:rFonts w:eastAsia="Times New Roman" w:cs="Calibri"/>
                <w:color w:val="000000"/>
                <w:szCs w:val="18"/>
                <w:lang w:eastAsia="cs-CZ"/>
              </w:rPr>
              <w:t>Deloitte</w:t>
            </w:r>
          </w:p>
        </w:tc>
        <w:tc>
          <w:tcPr>
            <w:tcW w:w="1135" w:type="pct"/>
            <w:tcBorders>
              <w:top w:val="single" w:sz="4" w:space="0" w:color="92D400"/>
              <w:bottom w:val="single" w:sz="4" w:space="0" w:color="92D400"/>
            </w:tcBorders>
            <w:vAlign w:val="center"/>
          </w:tcPr>
          <w:p w14:paraId="499675F1" w14:textId="77777777" w:rsidR="00CE7B5B" w:rsidRPr="00BC7275" w:rsidRDefault="003608FB" w:rsidP="003608FB">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6</w:t>
            </w:r>
            <w:r w:rsidR="00CE7B5B">
              <w:rPr>
                <w:rFonts w:asciiTheme="majorHAnsi" w:hAnsiTheme="majorHAnsi" w:cs="Calibri"/>
                <w:color w:val="000000"/>
                <w:szCs w:val="18"/>
                <w:lang w:eastAsia="cs-CZ"/>
              </w:rPr>
              <w:t xml:space="preserve">. </w:t>
            </w:r>
            <w:r>
              <w:rPr>
                <w:rFonts w:asciiTheme="majorHAnsi" w:hAnsiTheme="majorHAnsi" w:cs="Calibri"/>
                <w:color w:val="000000"/>
                <w:szCs w:val="18"/>
                <w:lang w:eastAsia="cs-CZ"/>
              </w:rPr>
              <w:t>3</w:t>
            </w:r>
            <w:r w:rsidR="00CE7B5B">
              <w:rPr>
                <w:rFonts w:asciiTheme="majorHAnsi" w:hAnsiTheme="majorHAnsi" w:cs="Calibri"/>
                <w:color w:val="000000"/>
                <w:szCs w:val="18"/>
                <w:lang w:eastAsia="cs-CZ"/>
              </w:rPr>
              <w:t>. 2020</w:t>
            </w:r>
          </w:p>
        </w:tc>
      </w:tr>
      <w:tr w:rsidR="00CE7B5B" w:rsidRPr="0074330B" w14:paraId="5CE6DEFE" w14:textId="77777777" w:rsidTr="00CE7B5B">
        <w:trPr>
          <w:trHeight w:val="340"/>
        </w:trPr>
        <w:tc>
          <w:tcPr>
            <w:cnfStyle w:val="001000000000" w:firstRow="0" w:lastRow="0" w:firstColumn="1" w:lastColumn="0" w:oddVBand="0" w:evenVBand="0" w:oddHBand="0" w:evenHBand="0" w:firstRowFirstColumn="0" w:firstRowLastColumn="0" w:lastRowFirstColumn="0" w:lastRowLastColumn="0"/>
            <w:tcW w:w="275" w:type="pct"/>
            <w:vMerge/>
            <w:tcBorders>
              <w:bottom w:val="single" w:sz="4" w:space="0" w:color="92D400"/>
            </w:tcBorders>
            <w:textDirection w:val="btLr"/>
          </w:tcPr>
          <w:p w14:paraId="6A3461EA" w14:textId="77777777" w:rsidR="00CE7B5B" w:rsidRPr="0074330B" w:rsidRDefault="00CE7B5B" w:rsidP="00CE7B5B">
            <w:pPr>
              <w:spacing w:before="60" w:after="60"/>
              <w:ind w:left="113" w:right="113"/>
              <w:jc w:val="center"/>
              <w:rPr>
                <w:rFonts w:eastAsia="Times New Roman" w:cs="Calibri"/>
                <w:b/>
                <w:color w:val="000000"/>
                <w:szCs w:val="18"/>
                <w:lang w:eastAsia="cs-CZ"/>
              </w:rPr>
            </w:pPr>
          </w:p>
        </w:tc>
        <w:tc>
          <w:tcPr>
            <w:tcW w:w="217" w:type="pct"/>
            <w:tcBorders>
              <w:top w:val="single" w:sz="4" w:space="0" w:color="92D400"/>
              <w:bottom w:val="single" w:sz="4" w:space="0" w:color="92D400"/>
            </w:tcBorders>
            <w:vAlign w:val="center"/>
          </w:tcPr>
          <w:p w14:paraId="769D4EE2" w14:textId="77777777" w:rsidR="00CE7B5B" w:rsidRPr="0074330B" w:rsidRDefault="00CE7B5B" w:rsidP="00CE7B5B">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Calibri"/>
                <w:b/>
                <w:color w:val="000000"/>
                <w:szCs w:val="18"/>
                <w:lang w:eastAsia="cs-CZ"/>
              </w:rPr>
            </w:pPr>
            <w:r w:rsidRPr="0074330B">
              <w:rPr>
                <w:rFonts w:eastAsia="Times New Roman" w:cs="Calibri"/>
                <w:b/>
                <w:color w:val="000000"/>
                <w:szCs w:val="18"/>
                <w:lang w:eastAsia="cs-CZ"/>
              </w:rPr>
              <w:t>8</w:t>
            </w:r>
          </w:p>
        </w:tc>
        <w:tc>
          <w:tcPr>
            <w:tcW w:w="2583" w:type="pct"/>
            <w:tcBorders>
              <w:top w:val="single" w:sz="4" w:space="0" w:color="92D400"/>
              <w:bottom w:val="single" w:sz="4" w:space="0" w:color="92D400"/>
            </w:tcBorders>
            <w:vAlign w:val="center"/>
          </w:tcPr>
          <w:p w14:paraId="0BE81E21" w14:textId="77777777" w:rsidR="00CE7B5B" w:rsidRPr="0074330B" w:rsidRDefault="00CE7B5B" w:rsidP="00CE7B5B">
            <w:pPr>
              <w:spacing w:before="60" w:after="60"/>
              <w:cnfStyle w:val="000000000000" w:firstRow="0" w:lastRow="0" w:firstColumn="0" w:lastColumn="0" w:oddVBand="0" w:evenVBand="0" w:oddHBand="0" w:evenHBand="0" w:firstRowFirstColumn="0" w:firstRowLastColumn="0" w:lastRowFirstColumn="0" w:lastRowLastColumn="0"/>
              <w:rPr>
                <w:b/>
                <w:color w:val="000000"/>
                <w:szCs w:val="18"/>
              </w:rPr>
            </w:pPr>
            <w:r w:rsidRPr="0074330B">
              <w:rPr>
                <w:b/>
                <w:color w:val="000000"/>
                <w:szCs w:val="18"/>
              </w:rPr>
              <w:t>Akceptace Průběžné zprávy</w:t>
            </w:r>
          </w:p>
        </w:tc>
        <w:tc>
          <w:tcPr>
            <w:tcW w:w="790" w:type="pct"/>
            <w:tcBorders>
              <w:top w:val="single" w:sz="4" w:space="0" w:color="92D400"/>
              <w:bottom w:val="single" w:sz="4" w:space="0" w:color="92D400"/>
            </w:tcBorders>
            <w:vAlign w:val="center"/>
          </w:tcPr>
          <w:p w14:paraId="62D88C5D" w14:textId="77777777" w:rsidR="00CE7B5B" w:rsidRPr="0074330B" w:rsidRDefault="00CE7B5B" w:rsidP="00CE7B5B">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Calibri"/>
                <w:b/>
                <w:color w:val="000000"/>
                <w:szCs w:val="18"/>
                <w:lang w:eastAsia="cs-CZ"/>
              </w:rPr>
            </w:pPr>
            <w:r w:rsidRPr="0074330B">
              <w:rPr>
                <w:rFonts w:eastAsia="Times New Roman" w:cs="Calibri"/>
                <w:b/>
                <w:color w:val="000000"/>
                <w:szCs w:val="18"/>
                <w:lang w:eastAsia="cs-CZ"/>
              </w:rPr>
              <w:t>MPO</w:t>
            </w:r>
          </w:p>
        </w:tc>
        <w:tc>
          <w:tcPr>
            <w:tcW w:w="1135" w:type="pct"/>
            <w:tcBorders>
              <w:top w:val="single" w:sz="4" w:space="0" w:color="92D400"/>
              <w:bottom w:val="single" w:sz="4" w:space="0" w:color="92D400"/>
            </w:tcBorders>
            <w:vAlign w:val="center"/>
          </w:tcPr>
          <w:p w14:paraId="288DA45A" w14:textId="77777777" w:rsidR="00CE7B5B" w:rsidRPr="0074330B" w:rsidRDefault="003D73CA" w:rsidP="003608FB">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color w:val="000000"/>
                <w:szCs w:val="18"/>
                <w:lang w:eastAsia="cs-CZ"/>
              </w:rPr>
            </w:pPr>
            <w:r>
              <w:rPr>
                <w:rFonts w:asciiTheme="majorHAnsi" w:hAnsiTheme="majorHAnsi" w:cs="Calibri"/>
                <w:b/>
                <w:color w:val="000000"/>
                <w:szCs w:val="18"/>
                <w:lang w:eastAsia="cs-CZ"/>
              </w:rPr>
              <w:t xml:space="preserve">9. – </w:t>
            </w:r>
            <w:r w:rsidR="00CE7B5B">
              <w:rPr>
                <w:rFonts w:asciiTheme="majorHAnsi" w:hAnsiTheme="majorHAnsi" w:cs="Calibri"/>
                <w:b/>
                <w:color w:val="000000"/>
                <w:szCs w:val="18"/>
                <w:lang w:eastAsia="cs-CZ"/>
              </w:rPr>
              <w:t xml:space="preserve">13. </w:t>
            </w:r>
            <w:r w:rsidR="003608FB">
              <w:rPr>
                <w:rFonts w:asciiTheme="majorHAnsi" w:hAnsiTheme="majorHAnsi" w:cs="Calibri"/>
                <w:b/>
                <w:color w:val="000000"/>
                <w:szCs w:val="18"/>
                <w:lang w:eastAsia="cs-CZ"/>
              </w:rPr>
              <w:t>3</w:t>
            </w:r>
            <w:r w:rsidR="00CE7B5B">
              <w:rPr>
                <w:rFonts w:asciiTheme="majorHAnsi" w:hAnsiTheme="majorHAnsi" w:cs="Calibri"/>
                <w:b/>
                <w:color w:val="000000"/>
                <w:szCs w:val="18"/>
                <w:lang w:eastAsia="cs-CZ"/>
              </w:rPr>
              <w:t>. 2020</w:t>
            </w:r>
          </w:p>
        </w:tc>
      </w:tr>
      <w:tr w:rsidR="00CE7B5B" w:rsidRPr="00BC7275" w14:paraId="57A0A7D6" w14:textId="77777777" w:rsidTr="00CE7B5B">
        <w:trPr>
          <w:trHeight w:val="340"/>
        </w:trPr>
        <w:tc>
          <w:tcPr>
            <w:cnfStyle w:val="001000000000" w:firstRow="0" w:lastRow="0" w:firstColumn="1" w:lastColumn="0" w:oddVBand="0" w:evenVBand="0" w:oddHBand="0" w:evenHBand="0" w:firstRowFirstColumn="0" w:firstRowLastColumn="0" w:lastRowFirstColumn="0" w:lastRowLastColumn="0"/>
            <w:tcW w:w="275" w:type="pct"/>
            <w:vMerge w:val="restart"/>
            <w:tcBorders>
              <w:top w:val="single" w:sz="4" w:space="0" w:color="92D400"/>
            </w:tcBorders>
            <w:shd w:val="clear" w:color="auto" w:fill="E7F5CF" w:themeFill="accent1" w:themeFillTint="33"/>
            <w:textDirection w:val="btLr"/>
          </w:tcPr>
          <w:p w14:paraId="2005AF5C" w14:textId="77777777" w:rsidR="00CE7B5B" w:rsidRDefault="00CE7B5B" w:rsidP="00CE7B5B">
            <w:pPr>
              <w:spacing w:before="60" w:after="60"/>
              <w:ind w:left="113" w:right="113"/>
              <w:jc w:val="center"/>
              <w:rPr>
                <w:rFonts w:eastAsia="Times New Roman" w:cs="Calibri"/>
                <w:color w:val="000000"/>
                <w:szCs w:val="18"/>
                <w:lang w:eastAsia="cs-CZ"/>
              </w:rPr>
            </w:pPr>
            <w:r w:rsidRPr="00CE7B5B">
              <w:rPr>
                <w:rFonts w:eastAsia="Times New Roman" w:cs="Calibri"/>
                <w:color w:val="000000"/>
                <w:szCs w:val="18"/>
                <w:lang w:eastAsia="cs-CZ"/>
              </w:rPr>
              <w:t>I</w:t>
            </w:r>
            <w:r>
              <w:rPr>
                <w:rFonts w:eastAsia="Times New Roman" w:cs="Calibri"/>
                <w:color w:val="000000"/>
                <w:szCs w:val="18"/>
                <w:lang w:eastAsia="cs-CZ"/>
              </w:rPr>
              <w:t>II</w:t>
            </w:r>
            <w:r w:rsidRPr="00CE7B5B">
              <w:rPr>
                <w:rFonts w:eastAsia="Times New Roman" w:cs="Calibri"/>
                <w:color w:val="000000"/>
                <w:szCs w:val="18"/>
                <w:lang w:eastAsia="cs-CZ"/>
              </w:rPr>
              <w:t>. etapa</w:t>
            </w:r>
          </w:p>
        </w:tc>
        <w:tc>
          <w:tcPr>
            <w:tcW w:w="217" w:type="pct"/>
            <w:tcBorders>
              <w:top w:val="single" w:sz="4" w:space="0" w:color="92D400"/>
              <w:bottom w:val="single" w:sz="4" w:space="0" w:color="92D400"/>
            </w:tcBorders>
            <w:shd w:val="clear" w:color="auto" w:fill="E7F5CF" w:themeFill="accent1" w:themeFillTint="33"/>
            <w:vAlign w:val="center"/>
          </w:tcPr>
          <w:p w14:paraId="15252448" w14:textId="77777777" w:rsidR="00CE7B5B" w:rsidRPr="003D73CA" w:rsidRDefault="00CE7B5B" w:rsidP="00CE7B5B">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Calibri"/>
                <w:b/>
                <w:color w:val="000000"/>
                <w:szCs w:val="18"/>
                <w:lang w:eastAsia="cs-CZ"/>
              </w:rPr>
            </w:pPr>
            <w:r w:rsidRPr="003D73CA">
              <w:rPr>
                <w:rFonts w:eastAsia="Times New Roman" w:cs="Calibri"/>
                <w:b/>
                <w:color w:val="000000"/>
                <w:szCs w:val="18"/>
                <w:lang w:eastAsia="cs-CZ"/>
              </w:rPr>
              <w:t>9</w:t>
            </w:r>
          </w:p>
        </w:tc>
        <w:tc>
          <w:tcPr>
            <w:tcW w:w="2583" w:type="pct"/>
            <w:tcBorders>
              <w:top w:val="single" w:sz="4" w:space="0" w:color="92D400"/>
              <w:bottom w:val="single" w:sz="4" w:space="0" w:color="92D400"/>
            </w:tcBorders>
            <w:shd w:val="clear" w:color="auto" w:fill="E7F5CF" w:themeFill="accent1" w:themeFillTint="33"/>
            <w:vAlign w:val="center"/>
          </w:tcPr>
          <w:p w14:paraId="4CED990D" w14:textId="77777777" w:rsidR="00CE7B5B" w:rsidRPr="00BC7275" w:rsidRDefault="00CE7B5B" w:rsidP="00CE7B5B">
            <w:pPr>
              <w:spacing w:before="60" w:after="60"/>
              <w:cnfStyle w:val="000000000000" w:firstRow="0" w:lastRow="0" w:firstColumn="0" w:lastColumn="0" w:oddVBand="0" w:evenVBand="0" w:oddHBand="0" w:evenHBand="0" w:firstRowFirstColumn="0" w:firstRowLastColumn="0" w:lastRowFirstColumn="0" w:lastRowLastColumn="0"/>
              <w:rPr>
                <w:color w:val="000000"/>
                <w:szCs w:val="18"/>
              </w:rPr>
            </w:pPr>
            <w:r w:rsidRPr="0074330B">
              <w:rPr>
                <w:b/>
                <w:color w:val="000000"/>
                <w:szCs w:val="18"/>
              </w:rPr>
              <w:t xml:space="preserve">Předání </w:t>
            </w:r>
            <w:r>
              <w:rPr>
                <w:b/>
                <w:color w:val="000000"/>
                <w:szCs w:val="18"/>
              </w:rPr>
              <w:t>Závěrečné</w:t>
            </w:r>
            <w:r w:rsidRPr="0074330B">
              <w:rPr>
                <w:b/>
                <w:color w:val="000000"/>
                <w:szCs w:val="18"/>
              </w:rPr>
              <w:t xml:space="preserve"> zprávy</w:t>
            </w:r>
            <w:r>
              <w:rPr>
                <w:b/>
                <w:color w:val="000000"/>
                <w:szCs w:val="18"/>
              </w:rPr>
              <w:t xml:space="preserve"> a dalších výstupů</w:t>
            </w:r>
          </w:p>
        </w:tc>
        <w:tc>
          <w:tcPr>
            <w:tcW w:w="790" w:type="pct"/>
            <w:tcBorders>
              <w:top w:val="single" w:sz="4" w:space="0" w:color="92D400"/>
              <w:bottom w:val="single" w:sz="4" w:space="0" w:color="92D400"/>
            </w:tcBorders>
            <w:shd w:val="clear" w:color="auto" w:fill="E7F5CF" w:themeFill="accent1" w:themeFillTint="33"/>
            <w:vAlign w:val="center"/>
          </w:tcPr>
          <w:p w14:paraId="521558B8" w14:textId="77777777" w:rsidR="00CE7B5B" w:rsidRPr="00BC7275" w:rsidRDefault="00CE7B5B" w:rsidP="00CE7B5B">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sidRPr="0074330B">
              <w:rPr>
                <w:rFonts w:eastAsia="Times New Roman" w:cs="Calibri"/>
                <w:b/>
                <w:color w:val="000000"/>
                <w:szCs w:val="18"/>
                <w:lang w:eastAsia="cs-CZ"/>
              </w:rPr>
              <w:t>Deloitte</w:t>
            </w:r>
          </w:p>
        </w:tc>
        <w:tc>
          <w:tcPr>
            <w:tcW w:w="1135" w:type="pct"/>
            <w:tcBorders>
              <w:top w:val="single" w:sz="4" w:space="0" w:color="92D400"/>
              <w:bottom w:val="single" w:sz="4" w:space="0" w:color="92D400"/>
            </w:tcBorders>
            <w:shd w:val="clear" w:color="auto" w:fill="E7F5CF" w:themeFill="accent1" w:themeFillTint="33"/>
            <w:vAlign w:val="center"/>
          </w:tcPr>
          <w:p w14:paraId="17F9723F" w14:textId="77777777" w:rsidR="00CE7B5B" w:rsidRPr="0074330B" w:rsidRDefault="003608FB" w:rsidP="00CE7B5B">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color w:val="000000"/>
                <w:szCs w:val="18"/>
                <w:lang w:eastAsia="cs-CZ"/>
              </w:rPr>
            </w:pPr>
            <w:r>
              <w:rPr>
                <w:rFonts w:asciiTheme="majorHAnsi" w:hAnsiTheme="majorHAnsi" w:cs="Calibri"/>
                <w:b/>
                <w:color w:val="000000"/>
                <w:szCs w:val="18"/>
                <w:lang w:eastAsia="cs-CZ"/>
              </w:rPr>
              <w:t>28</w:t>
            </w:r>
            <w:r w:rsidR="00CE7B5B" w:rsidRPr="0074330B">
              <w:rPr>
                <w:rFonts w:asciiTheme="majorHAnsi" w:hAnsiTheme="majorHAnsi" w:cs="Calibri"/>
                <w:b/>
                <w:color w:val="000000"/>
                <w:szCs w:val="18"/>
                <w:lang w:eastAsia="cs-CZ"/>
              </w:rPr>
              <w:t>. 8. 2020</w:t>
            </w:r>
            <w:r w:rsidR="000E5FC1">
              <w:rPr>
                <w:rStyle w:val="Znakapoznpodarou"/>
                <w:rFonts w:asciiTheme="majorHAnsi" w:hAnsiTheme="majorHAnsi" w:cs="Calibri"/>
                <w:b/>
                <w:color w:val="000000"/>
                <w:szCs w:val="18"/>
                <w:lang w:eastAsia="cs-CZ"/>
              </w:rPr>
              <w:footnoteReference w:id="11"/>
            </w:r>
          </w:p>
        </w:tc>
      </w:tr>
      <w:tr w:rsidR="00CE7B5B" w:rsidRPr="00BC7275" w14:paraId="380CB3D8" w14:textId="77777777" w:rsidTr="00CE7B5B">
        <w:trPr>
          <w:trHeight w:val="340"/>
        </w:trPr>
        <w:tc>
          <w:tcPr>
            <w:cnfStyle w:val="001000000000" w:firstRow="0" w:lastRow="0" w:firstColumn="1" w:lastColumn="0" w:oddVBand="0" w:evenVBand="0" w:oddHBand="0" w:evenHBand="0" w:firstRowFirstColumn="0" w:firstRowLastColumn="0" w:lastRowFirstColumn="0" w:lastRowLastColumn="0"/>
            <w:tcW w:w="275" w:type="pct"/>
            <w:vMerge/>
            <w:shd w:val="clear" w:color="auto" w:fill="E7F5CF" w:themeFill="accent1" w:themeFillTint="33"/>
          </w:tcPr>
          <w:p w14:paraId="4953AB7C" w14:textId="77777777" w:rsidR="00CE7B5B" w:rsidRDefault="00CE7B5B" w:rsidP="00CE7B5B">
            <w:pPr>
              <w:spacing w:before="60" w:after="60"/>
              <w:rPr>
                <w:rFonts w:eastAsia="Times New Roman" w:cs="Calibri"/>
                <w:color w:val="000000"/>
                <w:szCs w:val="18"/>
                <w:lang w:eastAsia="cs-CZ"/>
              </w:rPr>
            </w:pPr>
          </w:p>
        </w:tc>
        <w:tc>
          <w:tcPr>
            <w:tcW w:w="217" w:type="pct"/>
            <w:tcBorders>
              <w:top w:val="single" w:sz="4" w:space="0" w:color="92D400"/>
              <w:bottom w:val="single" w:sz="4" w:space="0" w:color="92D400"/>
            </w:tcBorders>
            <w:shd w:val="clear" w:color="auto" w:fill="E7F5CF" w:themeFill="accent1" w:themeFillTint="33"/>
            <w:vAlign w:val="center"/>
          </w:tcPr>
          <w:p w14:paraId="29E69FB8" w14:textId="77777777" w:rsidR="00CE7B5B" w:rsidRPr="00BC7275" w:rsidRDefault="00CE7B5B" w:rsidP="00CE7B5B">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Pr>
                <w:rFonts w:eastAsia="Times New Roman" w:cs="Calibri"/>
                <w:color w:val="000000"/>
                <w:szCs w:val="18"/>
                <w:lang w:eastAsia="cs-CZ"/>
              </w:rPr>
              <w:t>10</w:t>
            </w:r>
          </w:p>
        </w:tc>
        <w:tc>
          <w:tcPr>
            <w:tcW w:w="2583" w:type="pct"/>
            <w:tcBorders>
              <w:top w:val="single" w:sz="4" w:space="0" w:color="92D400"/>
              <w:bottom w:val="single" w:sz="4" w:space="0" w:color="92D400"/>
            </w:tcBorders>
            <w:shd w:val="clear" w:color="auto" w:fill="E7F5CF" w:themeFill="accent1" w:themeFillTint="33"/>
            <w:vAlign w:val="center"/>
          </w:tcPr>
          <w:p w14:paraId="0F8A305C" w14:textId="77777777" w:rsidR="00CE7B5B" w:rsidRPr="00BC7275" w:rsidRDefault="00CE7B5B" w:rsidP="00CE7B5B">
            <w:pPr>
              <w:spacing w:before="60" w:after="60"/>
              <w:cnfStyle w:val="000000000000" w:firstRow="0" w:lastRow="0" w:firstColumn="0" w:lastColumn="0" w:oddVBand="0" w:evenVBand="0" w:oddHBand="0" w:evenHBand="0" w:firstRowFirstColumn="0" w:firstRowLastColumn="0" w:lastRowFirstColumn="0" w:lastRowLastColumn="0"/>
              <w:rPr>
                <w:color w:val="000000"/>
                <w:szCs w:val="18"/>
              </w:rPr>
            </w:pPr>
            <w:r>
              <w:rPr>
                <w:color w:val="000000"/>
                <w:szCs w:val="18"/>
              </w:rPr>
              <w:t>Předání připomínek k Závěrečné zprávě</w:t>
            </w:r>
          </w:p>
        </w:tc>
        <w:tc>
          <w:tcPr>
            <w:tcW w:w="790" w:type="pct"/>
            <w:tcBorders>
              <w:top w:val="single" w:sz="4" w:space="0" w:color="92D400"/>
              <w:bottom w:val="single" w:sz="4" w:space="0" w:color="92D400"/>
            </w:tcBorders>
            <w:shd w:val="clear" w:color="auto" w:fill="E7F5CF" w:themeFill="accent1" w:themeFillTint="33"/>
            <w:vAlign w:val="center"/>
          </w:tcPr>
          <w:p w14:paraId="436DFD15" w14:textId="77777777" w:rsidR="00CE7B5B" w:rsidRPr="00BC7275" w:rsidRDefault="00CE7B5B" w:rsidP="00CE7B5B">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Pr>
                <w:rFonts w:asciiTheme="majorHAnsi" w:hAnsiTheme="majorHAnsi" w:cs="Calibri"/>
                <w:color w:val="000000"/>
                <w:szCs w:val="18"/>
                <w:lang w:eastAsia="cs-CZ"/>
              </w:rPr>
              <w:t>MPO</w:t>
            </w:r>
          </w:p>
        </w:tc>
        <w:tc>
          <w:tcPr>
            <w:tcW w:w="1135" w:type="pct"/>
            <w:tcBorders>
              <w:top w:val="single" w:sz="4" w:space="0" w:color="92D400"/>
              <w:bottom w:val="single" w:sz="4" w:space="0" w:color="92D400"/>
            </w:tcBorders>
            <w:shd w:val="clear" w:color="auto" w:fill="E7F5CF" w:themeFill="accent1" w:themeFillTint="33"/>
            <w:vAlign w:val="center"/>
          </w:tcPr>
          <w:p w14:paraId="6D92E94A" w14:textId="77777777" w:rsidR="00CE7B5B" w:rsidRPr="00BC7275" w:rsidRDefault="003608FB" w:rsidP="003608FB">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11</w:t>
            </w:r>
            <w:r w:rsidR="00CE7B5B">
              <w:rPr>
                <w:rFonts w:asciiTheme="majorHAnsi" w:hAnsiTheme="majorHAnsi" w:cs="Calibri"/>
                <w:color w:val="000000"/>
                <w:szCs w:val="18"/>
                <w:lang w:eastAsia="cs-CZ"/>
              </w:rPr>
              <w:t xml:space="preserve">. </w:t>
            </w:r>
            <w:r>
              <w:rPr>
                <w:rFonts w:asciiTheme="majorHAnsi" w:hAnsiTheme="majorHAnsi" w:cs="Calibri"/>
                <w:color w:val="000000"/>
                <w:szCs w:val="18"/>
                <w:lang w:eastAsia="cs-CZ"/>
              </w:rPr>
              <w:t>9</w:t>
            </w:r>
            <w:r w:rsidR="00CE7B5B">
              <w:rPr>
                <w:rFonts w:asciiTheme="majorHAnsi" w:hAnsiTheme="majorHAnsi" w:cs="Calibri"/>
                <w:color w:val="000000"/>
                <w:szCs w:val="18"/>
                <w:lang w:eastAsia="cs-CZ"/>
              </w:rPr>
              <w:t>. 2020</w:t>
            </w:r>
          </w:p>
        </w:tc>
      </w:tr>
      <w:tr w:rsidR="00CE7B5B" w:rsidRPr="00BC7275" w14:paraId="22D2B80E" w14:textId="77777777" w:rsidTr="00CE7B5B">
        <w:trPr>
          <w:trHeight w:val="340"/>
        </w:trPr>
        <w:tc>
          <w:tcPr>
            <w:cnfStyle w:val="001000000000" w:firstRow="0" w:lastRow="0" w:firstColumn="1" w:lastColumn="0" w:oddVBand="0" w:evenVBand="0" w:oddHBand="0" w:evenHBand="0" w:firstRowFirstColumn="0" w:firstRowLastColumn="0" w:lastRowFirstColumn="0" w:lastRowLastColumn="0"/>
            <w:tcW w:w="275" w:type="pct"/>
            <w:vMerge/>
            <w:shd w:val="clear" w:color="auto" w:fill="E7F5CF" w:themeFill="accent1" w:themeFillTint="33"/>
          </w:tcPr>
          <w:p w14:paraId="5A5C37F7" w14:textId="77777777" w:rsidR="00CE7B5B" w:rsidRDefault="00CE7B5B" w:rsidP="00CE7B5B">
            <w:pPr>
              <w:spacing w:before="60" w:after="60"/>
              <w:rPr>
                <w:rFonts w:eastAsia="Times New Roman" w:cs="Calibri"/>
                <w:color w:val="000000"/>
                <w:szCs w:val="18"/>
                <w:lang w:eastAsia="cs-CZ"/>
              </w:rPr>
            </w:pPr>
          </w:p>
        </w:tc>
        <w:tc>
          <w:tcPr>
            <w:tcW w:w="217" w:type="pct"/>
            <w:tcBorders>
              <w:top w:val="single" w:sz="4" w:space="0" w:color="92D400"/>
              <w:bottom w:val="single" w:sz="4" w:space="0" w:color="92D400"/>
            </w:tcBorders>
            <w:shd w:val="clear" w:color="auto" w:fill="E7F5CF" w:themeFill="accent1" w:themeFillTint="33"/>
            <w:vAlign w:val="center"/>
          </w:tcPr>
          <w:p w14:paraId="1EDBD80C" w14:textId="77777777" w:rsidR="00CE7B5B" w:rsidRPr="00BC7275" w:rsidRDefault="00CE7B5B" w:rsidP="00CE7B5B">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Pr>
                <w:rFonts w:eastAsia="Times New Roman" w:cs="Calibri"/>
                <w:color w:val="000000"/>
                <w:szCs w:val="18"/>
                <w:lang w:eastAsia="cs-CZ"/>
              </w:rPr>
              <w:t>11</w:t>
            </w:r>
          </w:p>
        </w:tc>
        <w:tc>
          <w:tcPr>
            <w:tcW w:w="2583" w:type="pct"/>
            <w:tcBorders>
              <w:top w:val="single" w:sz="4" w:space="0" w:color="92D400"/>
              <w:bottom w:val="single" w:sz="4" w:space="0" w:color="92D400"/>
            </w:tcBorders>
            <w:shd w:val="clear" w:color="auto" w:fill="E7F5CF" w:themeFill="accent1" w:themeFillTint="33"/>
            <w:vAlign w:val="center"/>
          </w:tcPr>
          <w:p w14:paraId="72FC0B9D" w14:textId="77777777" w:rsidR="00CE7B5B" w:rsidRPr="00BC7275" w:rsidRDefault="00CE7B5B" w:rsidP="00CE7B5B">
            <w:pPr>
              <w:spacing w:before="60" w:after="60"/>
              <w:cnfStyle w:val="000000000000" w:firstRow="0" w:lastRow="0" w:firstColumn="0" w:lastColumn="0" w:oddVBand="0" w:evenVBand="0" w:oddHBand="0" w:evenHBand="0" w:firstRowFirstColumn="0" w:firstRowLastColumn="0" w:lastRowFirstColumn="0" w:lastRowLastColumn="0"/>
              <w:rPr>
                <w:color w:val="000000"/>
                <w:szCs w:val="18"/>
              </w:rPr>
            </w:pPr>
            <w:r>
              <w:rPr>
                <w:color w:val="000000"/>
                <w:szCs w:val="18"/>
              </w:rPr>
              <w:t>Vypořádání připomínek k Závěrečné zprávě</w:t>
            </w:r>
          </w:p>
        </w:tc>
        <w:tc>
          <w:tcPr>
            <w:tcW w:w="790" w:type="pct"/>
            <w:tcBorders>
              <w:top w:val="single" w:sz="4" w:space="0" w:color="92D400"/>
              <w:bottom w:val="single" w:sz="4" w:space="0" w:color="92D400"/>
            </w:tcBorders>
            <w:shd w:val="clear" w:color="auto" w:fill="E7F5CF" w:themeFill="accent1" w:themeFillTint="33"/>
            <w:vAlign w:val="center"/>
          </w:tcPr>
          <w:p w14:paraId="4A567C46" w14:textId="77777777" w:rsidR="00CE7B5B" w:rsidRPr="00BC7275" w:rsidRDefault="00CE7B5B" w:rsidP="00CE7B5B">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Pr>
                <w:rFonts w:eastAsia="Times New Roman" w:cs="Calibri"/>
                <w:color w:val="000000"/>
                <w:szCs w:val="18"/>
                <w:lang w:eastAsia="cs-CZ"/>
              </w:rPr>
              <w:t>Deloitte</w:t>
            </w:r>
          </w:p>
        </w:tc>
        <w:tc>
          <w:tcPr>
            <w:tcW w:w="1135" w:type="pct"/>
            <w:tcBorders>
              <w:top w:val="single" w:sz="4" w:space="0" w:color="92D400"/>
              <w:bottom w:val="single" w:sz="4" w:space="0" w:color="92D400"/>
            </w:tcBorders>
            <w:shd w:val="clear" w:color="auto" w:fill="E7F5CF" w:themeFill="accent1" w:themeFillTint="33"/>
            <w:vAlign w:val="center"/>
          </w:tcPr>
          <w:p w14:paraId="72EA552E" w14:textId="77777777" w:rsidR="00CE7B5B" w:rsidRPr="0074330B" w:rsidRDefault="003608FB" w:rsidP="00CE7B5B">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18</w:t>
            </w:r>
            <w:r w:rsidR="00CE7B5B" w:rsidRPr="007660C8">
              <w:rPr>
                <w:rFonts w:asciiTheme="majorHAnsi" w:hAnsiTheme="majorHAnsi" w:cs="Calibri"/>
                <w:color w:val="000000"/>
                <w:szCs w:val="18"/>
                <w:lang w:eastAsia="cs-CZ"/>
              </w:rPr>
              <w:t>.</w:t>
            </w:r>
            <w:r w:rsidR="00CE7B5B">
              <w:rPr>
                <w:rFonts w:asciiTheme="majorHAnsi" w:hAnsiTheme="majorHAnsi" w:cs="Calibri"/>
                <w:color w:val="000000"/>
                <w:szCs w:val="18"/>
                <w:lang w:eastAsia="cs-CZ"/>
              </w:rPr>
              <w:t xml:space="preserve"> </w:t>
            </w:r>
            <w:r w:rsidR="00CE7B5B" w:rsidRPr="0074330B">
              <w:rPr>
                <w:rFonts w:asciiTheme="majorHAnsi" w:hAnsiTheme="majorHAnsi" w:cs="Calibri"/>
                <w:color w:val="000000"/>
                <w:szCs w:val="18"/>
                <w:lang w:eastAsia="cs-CZ"/>
              </w:rPr>
              <w:t>9. 2020</w:t>
            </w:r>
          </w:p>
        </w:tc>
      </w:tr>
      <w:tr w:rsidR="00CE7B5B" w:rsidRPr="00BC7275" w14:paraId="3C962556" w14:textId="77777777" w:rsidTr="00CE7B5B">
        <w:trPr>
          <w:trHeight w:val="340"/>
        </w:trPr>
        <w:tc>
          <w:tcPr>
            <w:cnfStyle w:val="001000000000" w:firstRow="0" w:lastRow="0" w:firstColumn="1" w:lastColumn="0" w:oddVBand="0" w:evenVBand="0" w:oddHBand="0" w:evenHBand="0" w:firstRowFirstColumn="0" w:firstRowLastColumn="0" w:lastRowFirstColumn="0" w:lastRowLastColumn="0"/>
            <w:tcW w:w="275" w:type="pct"/>
            <w:vMerge/>
            <w:shd w:val="clear" w:color="auto" w:fill="E7F5CF" w:themeFill="accent1" w:themeFillTint="33"/>
          </w:tcPr>
          <w:p w14:paraId="08EBABC2" w14:textId="77777777" w:rsidR="00CE7B5B" w:rsidRDefault="00CE7B5B" w:rsidP="00CE7B5B">
            <w:pPr>
              <w:spacing w:before="60" w:after="60"/>
              <w:rPr>
                <w:rFonts w:eastAsia="Times New Roman" w:cs="Calibri"/>
                <w:color w:val="000000"/>
                <w:szCs w:val="18"/>
                <w:lang w:eastAsia="cs-CZ"/>
              </w:rPr>
            </w:pPr>
          </w:p>
        </w:tc>
        <w:tc>
          <w:tcPr>
            <w:tcW w:w="217" w:type="pct"/>
            <w:tcBorders>
              <w:top w:val="single" w:sz="4" w:space="0" w:color="92D400"/>
            </w:tcBorders>
            <w:shd w:val="clear" w:color="auto" w:fill="E7F5CF" w:themeFill="accent1" w:themeFillTint="33"/>
            <w:vAlign w:val="center"/>
          </w:tcPr>
          <w:p w14:paraId="5428ED91" w14:textId="77777777" w:rsidR="00CE7B5B" w:rsidRPr="003D73CA" w:rsidRDefault="00CE7B5B" w:rsidP="00CE7B5B">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Calibri"/>
                <w:b/>
                <w:color w:val="000000"/>
                <w:szCs w:val="18"/>
                <w:lang w:eastAsia="cs-CZ"/>
              </w:rPr>
            </w:pPr>
            <w:r w:rsidRPr="003D73CA">
              <w:rPr>
                <w:rFonts w:eastAsia="Times New Roman" w:cs="Calibri"/>
                <w:b/>
                <w:color w:val="000000"/>
                <w:szCs w:val="18"/>
                <w:lang w:eastAsia="cs-CZ"/>
              </w:rPr>
              <w:t>12</w:t>
            </w:r>
          </w:p>
        </w:tc>
        <w:tc>
          <w:tcPr>
            <w:tcW w:w="2583" w:type="pct"/>
            <w:tcBorders>
              <w:top w:val="single" w:sz="4" w:space="0" w:color="92D400"/>
            </w:tcBorders>
            <w:shd w:val="clear" w:color="auto" w:fill="E7F5CF" w:themeFill="accent1" w:themeFillTint="33"/>
            <w:vAlign w:val="center"/>
          </w:tcPr>
          <w:p w14:paraId="412EC771" w14:textId="77777777" w:rsidR="00CE7B5B" w:rsidRPr="00BC7275" w:rsidRDefault="00CE7B5B" w:rsidP="00CE7B5B">
            <w:pPr>
              <w:spacing w:before="60" w:after="60"/>
              <w:cnfStyle w:val="000000000000" w:firstRow="0" w:lastRow="0" w:firstColumn="0" w:lastColumn="0" w:oddVBand="0" w:evenVBand="0" w:oddHBand="0" w:evenHBand="0" w:firstRowFirstColumn="0" w:firstRowLastColumn="0" w:lastRowFirstColumn="0" w:lastRowLastColumn="0"/>
              <w:rPr>
                <w:color w:val="000000"/>
                <w:szCs w:val="18"/>
              </w:rPr>
            </w:pPr>
            <w:r w:rsidRPr="0074330B">
              <w:rPr>
                <w:b/>
                <w:color w:val="000000"/>
                <w:szCs w:val="18"/>
              </w:rPr>
              <w:t xml:space="preserve">Akceptace </w:t>
            </w:r>
            <w:r>
              <w:rPr>
                <w:b/>
                <w:color w:val="000000"/>
                <w:szCs w:val="18"/>
              </w:rPr>
              <w:t>Závěrečné</w:t>
            </w:r>
            <w:r w:rsidRPr="0074330B">
              <w:rPr>
                <w:b/>
                <w:color w:val="000000"/>
                <w:szCs w:val="18"/>
              </w:rPr>
              <w:t xml:space="preserve"> zprávy</w:t>
            </w:r>
          </w:p>
        </w:tc>
        <w:tc>
          <w:tcPr>
            <w:tcW w:w="790" w:type="pct"/>
            <w:tcBorders>
              <w:top w:val="single" w:sz="4" w:space="0" w:color="92D400"/>
            </w:tcBorders>
            <w:shd w:val="clear" w:color="auto" w:fill="E7F5CF" w:themeFill="accent1" w:themeFillTint="33"/>
            <w:vAlign w:val="center"/>
          </w:tcPr>
          <w:p w14:paraId="3AA605E1" w14:textId="77777777" w:rsidR="00CE7B5B" w:rsidRPr="00BC7275" w:rsidRDefault="00CE7B5B" w:rsidP="00CE7B5B">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sidRPr="0074330B">
              <w:rPr>
                <w:rFonts w:eastAsia="Times New Roman" w:cs="Calibri"/>
                <w:b/>
                <w:color w:val="000000"/>
                <w:szCs w:val="18"/>
                <w:lang w:eastAsia="cs-CZ"/>
              </w:rPr>
              <w:t>MPO</w:t>
            </w:r>
          </w:p>
        </w:tc>
        <w:tc>
          <w:tcPr>
            <w:tcW w:w="1135" w:type="pct"/>
            <w:tcBorders>
              <w:top w:val="single" w:sz="4" w:space="0" w:color="92D400"/>
            </w:tcBorders>
            <w:shd w:val="clear" w:color="auto" w:fill="E7F5CF" w:themeFill="accent1" w:themeFillTint="33"/>
            <w:vAlign w:val="center"/>
          </w:tcPr>
          <w:p w14:paraId="0E3C5BB0" w14:textId="77777777" w:rsidR="00CE7B5B" w:rsidRPr="0074330B" w:rsidRDefault="003D73CA" w:rsidP="003608FB">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color w:val="000000"/>
                <w:szCs w:val="18"/>
                <w:lang w:eastAsia="cs-CZ"/>
              </w:rPr>
            </w:pPr>
            <w:r>
              <w:rPr>
                <w:rFonts w:asciiTheme="majorHAnsi" w:hAnsiTheme="majorHAnsi" w:cs="Calibri"/>
                <w:b/>
                <w:color w:val="000000"/>
                <w:szCs w:val="18"/>
                <w:lang w:eastAsia="cs-CZ"/>
              </w:rPr>
              <w:t>19</w:t>
            </w:r>
            <w:r w:rsidR="00CE7B5B" w:rsidRPr="0074330B">
              <w:rPr>
                <w:rFonts w:asciiTheme="majorHAnsi" w:hAnsiTheme="majorHAnsi" w:cs="Calibri"/>
                <w:b/>
                <w:color w:val="000000"/>
                <w:szCs w:val="18"/>
                <w:lang w:eastAsia="cs-CZ"/>
              </w:rPr>
              <w:t xml:space="preserve">. – </w:t>
            </w:r>
            <w:r w:rsidR="003608FB">
              <w:rPr>
                <w:rFonts w:asciiTheme="majorHAnsi" w:hAnsiTheme="majorHAnsi" w:cs="Calibri"/>
                <w:b/>
                <w:color w:val="000000"/>
                <w:szCs w:val="18"/>
                <w:lang w:eastAsia="cs-CZ"/>
              </w:rPr>
              <w:t>25</w:t>
            </w:r>
            <w:r w:rsidR="00CE7B5B" w:rsidRPr="0074330B">
              <w:rPr>
                <w:rFonts w:asciiTheme="majorHAnsi" w:hAnsiTheme="majorHAnsi" w:cs="Calibri"/>
                <w:b/>
                <w:color w:val="000000"/>
                <w:szCs w:val="18"/>
                <w:lang w:eastAsia="cs-CZ"/>
              </w:rPr>
              <w:t>. 9. 2020</w:t>
            </w:r>
          </w:p>
        </w:tc>
      </w:tr>
    </w:tbl>
    <w:p w14:paraId="67232922" w14:textId="77777777" w:rsidR="009C2BC6" w:rsidRDefault="009C2BC6" w:rsidP="00E86948">
      <w:pPr>
        <w:spacing w:before="240" w:after="113" w:line="240" w:lineRule="auto"/>
        <w:jc w:val="both"/>
      </w:pPr>
      <w:r>
        <w:t>V rámci celého Projektu bude v případě potřeby zabezpečena průběžná komunikace Dodavatele se Zadavatelem a dalšími relevantními subjekty a to v tomto rozsahu:</w:t>
      </w:r>
    </w:p>
    <w:p w14:paraId="4AEDF5D6" w14:textId="77777777" w:rsidR="009C2BC6" w:rsidRDefault="009C2BC6" w:rsidP="000B5C4D">
      <w:pPr>
        <w:numPr>
          <w:ilvl w:val="0"/>
          <w:numId w:val="9"/>
        </w:numPr>
        <w:spacing w:before="113" w:after="113" w:line="240" w:lineRule="auto"/>
        <w:jc w:val="both"/>
      </w:pPr>
      <w:r>
        <w:t>Písemné (e-mailové) hlášení dodavatele o aktuálně prováděných pracích, o pracích, které byly v minulých 10 pracovních dnech odvedeny, a které práce budou v následujících 10 pracovních dnech zahájeny - jedenkrát za 10 pracovních dnů;</w:t>
      </w:r>
    </w:p>
    <w:p w14:paraId="25FCEF95" w14:textId="77777777" w:rsidR="009C2BC6" w:rsidRDefault="009C2BC6" w:rsidP="000B5C4D">
      <w:pPr>
        <w:numPr>
          <w:ilvl w:val="0"/>
          <w:numId w:val="9"/>
        </w:numPr>
        <w:spacing w:before="113" w:after="113" w:line="240" w:lineRule="auto"/>
        <w:jc w:val="both"/>
      </w:pPr>
      <w:r>
        <w:t>Osobní konzultace pro vyjasnění nejasností, odstranění nedostatků, doplnění nebo vypořádání připomínek Zadavatele k vyhotoveným výstupům.</w:t>
      </w:r>
    </w:p>
    <w:p w14:paraId="737FDCA0" w14:textId="77777777" w:rsidR="000B2909" w:rsidRPr="00811A8E" w:rsidRDefault="000B2909" w:rsidP="00CE7B5B">
      <w:pPr>
        <w:pStyle w:val="Nadpis2"/>
        <w:ind w:left="567" w:hanging="567"/>
      </w:pPr>
      <w:bookmarkStart w:id="36" w:name="_Toc534706109"/>
      <w:bookmarkStart w:id="37" w:name="_Toc535414998"/>
      <w:bookmarkStart w:id="38" w:name="_Toc270098"/>
      <w:bookmarkStart w:id="39" w:name="_Toc25228655"/>
      <w:r w:rsidRPr="00811A8E">
        <w:t>Principy logické provázanosti činností</w:t>
      </w:r>
      <w:r>
        <w:t xml:space="preserve"> a </w:t>
      </w:r>
      <w:r w:rsidRPr="00811A8E">
        <w:t>minimalizace zbytných kroků</w:t>
      </w:r>
      <w:bookmarkEnd w:id="36"/>
      <w:bookmarkEnd w:id="37"/>
      <w:bookmarkEnd w:id="38"/>
      <w:bookmarkEnd w:id="39"/>
    </w:p>
    <w:p w14:paraId="0B3FDA7E" w14:textId="77777777" w:rsidR="000B2909" w:rsidRPr="00BE39FF" w:rsidRDefault="000B2909" w:rsidP="000B2909">
      <w:pPr>
        <w:spacing w:before="113" w:after="113" w:line="240" w:lineRule="auto"/>
        <w:jc w:val="both"/>
      </w:pPr>
      <w:r w:rsidRPr="00BE39FF">
        <w:t>Realizace požadovaných činností</w:t>
      </w:r>
      <w:r>
        <w:t xml:space="preserve"> a </w:t>
      </w:r>
      <w:r w:rsidRPr="00BE39FF">
        <w:t>zpracování požadovaných výstupů bude probíhat podle těchto základních principů.</w:t>
      </w:r>
    </w:p>
    <w:p w14:paraId="2BADCAB3" w14:textId="77777777" w:rsidR="000B2909" w:rsidRDefault="000B2909" w:rsidP="000B5C4D">
      <w:pPr>
        <w:pStyle w:val="BodyText1"/>
        <w:numPr>
          <w:ilvl w:val="0"/>
          <w:numId w:val="10"/>
        </w:numPr>
        <w:spacing w:before="113" w:after="113" w:line="240" w:lineRule="auto"/>
        <w:jc w:val="both"/>
        <w:rPr>
          <w:rFonts w:asciiTheme="minorHAnsi" w:hAnsiTheme="minorHAnsi" w:cstheme="minorBidi"/>
          <w:color w:val="00000A"/>
          <w:szCs w:val="22"/>
        </w:rPr>
      </w:pPr>
      <w:r>
        <w:rPr>
          <w:rFonts w:asciiTheme="minorHAnsi" w:hAnsiTheme="minorHAnsi" w:cstheme="minorBidi"/>
          <w:b/>
          <w:color w:val="00000A"/>
          <w:szCs w:val="22"/>
        </w:rPr>
        <w:t xml:space="preserve">Použití osvědčených metod – </w:t>
      </w:r>
      <w:r>
        <w:rPr>
          <w:rFonts w:asciiTheme="minorHAnsi" w:hAnsiTheme="minorHAnsi" w:cstheme="minorBidi"/>
          <w:color w:val="00000A"/>
          <w:szCs w:val="22"/>
        </w:rPr>
        <w:t xml:space="preserve">Veškeré zde navrhované evaluační metody představují osvědčené metody, které byly členy realizačního týmu Deloitte použity při </w:t>
      </w:r>
      <w:r w:rsidR="00483311">
        <w:rPr>
          <w:rFonts w:asciiTheme="minorHAnsi" w:hAnsiTheme="minorHAnsi" w:cstheme="minorBidi"/>
          <w:color w:val="00000A"/>
          <w:szCs w:val="22"/>
        </w:rPr>
        <w:t>obdobných projektech procesních evaluací.</w:t>
      </w:r>
      <w:r>
        <w:rPr>
          <w:rFonts w:asciiTheme="minorHAnsi" w:hAnsiTheme="minorHAnsi" w:cstheme="minorBidi"/>
          <w:color w:val="00000A"/>
          <w:szCs w:val="22"/>
        </w:rPr>
        <w:t xml:space="preserve"> Použití těchto metod zaručuje, že i postupy, kterými jsou metody realizovány, byly na základě praktických zkušeností Deloitte optimalizovány tak, aby byly tyto postupy logicky provázány a aby byly minimalizovány zbytné kroky v jejich realizaci.</w:t>
      </w:r>
    </w:p>
    <w:p w14:paraId="4545EDF9" w14:textId="77777777" w:rsidR="000B2909" w:rsidRDefault="000B2909" w:rsidP="000B5C4D">
      <w:pPr>
        <w:pStyle w:val="BodyText1"/>
        <w:numPr>
          <w:ilvl w:val="0"/>
          <w:numId w:val="10"/>
        </w:numPr>
        <w:spacing w:before="113" w:after="113" w:line="240" w:lineRule="auto"/>
        <w:jc w:val="both"/>
      </w:pPr>
      <w:r>
        <w:rPr>
          <w:rFonts w:asciiTheme="minorHAnsi" w:hAnsiTheme="minorHAnsi" w:cstheme="minorBidi"/>
          <w:b/>
          <w:color w:val="00000A"/>
          <w:szCs w:val="22"/>
        </w:rPr>
        <w:t>Použití šablon a dříve zpracovaných dokumentů a materiálů</w:t>
      </w:r>
      <w:r>
        <w:rPr>
          <w:rFonts w:asciiTheme="minorHAnsi" w:hAnsiTheme="minorHAnsi" w:cstheme="minorBidi"/>
          <w:color w:val="00000A"/>
          <w:szCs w:val="22"/>
        </w:rPr>
        <w:t xml:space="preserve"> – Za účelem minimalizace zbytných kro</w:t>
      </w:r>
      <w:r w:rsidR="001D259A">
        <w:rPr>
          <w:rFonts w:asciiTheme="minorHAnsi" w:hAnsiTheme="minorHAnsi" w:cstheme="minorBidi"/>
          <w:color w:val="00000A"/>
          <w:szCs w:val="22"/>
        </w:rPr>
        <w:t>ků při realizaci činností bude Dodavatel</w:t>
      </w:r>
      <w:r>
        <w:rPr>
          <w:rFonts w:asciiTheme="minorHAnsi" w:hAnsiTheme="minorHAnsi" w:cstheme="minorBidi"/>
          <w:color w:val="00000A"/>
          <w:szCs w:val="22"/>
        </w:rPr>
        <w:t xml:space="preserve"> v maximální možné míře využívat existujících šablon Deloitte (např. klasifikační archy pro hodnocení expertním panelem, formuláře pro tvorbu zápisu fokusní skupiny atp.) a dříve zpracovaných dokumentů a materiálů. </w:t>
      </w:r>
    </w:p>
    <w:p w14:paraId="26C74519" w14:textId="77777777" w:rsidR="001D259A" w:rsidRDefault="000B2909" w:rsidP="00E86948">
      <w:pPr>
        <w:pStyle w:val="Odstavecseseznamem"/>
        <w:numPr>
          <w:ilvl w:val="0"/>
          <w:numId w:val="10"/>
        </w:numPr>
        <w:spacing w:before="113" w:after="113" w:line="240" w:lineRule="auto"/>
        <w:jc w:val="both"/>
      </w:pPr>
      <w:r>
        <w:rPr>
          <w:b/>
        </w:rPr>
        <w:t>Triangulace evaluačních metod</w:t>
      </w:r>
      <w:r>
        <w:t xml:space="preserve"> – Pro formulaci závěrů, na základě nichž budou formulovány odpovědi na jednotlivé evaluační otázky, bude Dodavatel využívat vždy nejméně dvě různé evaluační metody (resp. nástroje), případně minimálně dva zdroje dat. Zároveň bude Dodavatel důsledně dbát na to, aby byly evaluační otázky zodpovídány (v relevantních případech) kombinací kvalitativních a kvantitativních evaluačních metod. Tato kombinace zajistí vytvořeným závěrům vysokou vypovídací schopnost.</w:t>
      </w:r>
    </w:p>
    <w:p w14:paraId="45B2892D" w14:textId="77777777" w:rsidR="00125136" w:rsidRPr="001F5545" w:rsidRDefault="000B2909" w:rsidP="00E86948">
      <w:pPr>
        <w:pStyle w:val="BodyText1"/>
        <w:numPr>
          <w:ilvl w:val="0"/>
          <w:numId w:val="10"/>
        </w:numPr>
        <w:spacing w:before="113" w:after="113" w:line="240" w:lineRule="auto"/>
        <w:jc w:val="both"/>
      </w:pPr>
      <w:r w:rsidRPr="00E86948">
        <w:rPr>
          <w:rFonts w:asciiTheme="minorHAnsi" w:hAnsiTheme="minorHAnsi" w:cstheme="minorBidi"/>
          <w:b/>
          <w:color w:val="00000A"/>
          <w:szCs w:val="22"/>
        </w:rPr>
        <w:t xml:space="preserve">Aktivní zajišťování dat a informací, zatěžování Zadavatele pouze v případě dat </w:t>
      </w:r>
      <w:r w:rsidR="001D259A" w:rsidRPr="00E86948">
        <w:rPr>
          <w:rFonts w:asciiTheme="minorHAnsi" w:hAnsiTheme="minorHAnsi" w:cstheme="minorBidi"/>
          <w:b/>
          <w:color w:val="00000A"/>
          <w:szCs w:val="22"/>
        </w:rPr>
        <w:t xml:space="preserve">a </w:t>
      </w:r>
      <w:r w:rsidRPr="00E86948">
        <w:rPr>
          <w:rFonts w:asciiTheme="minorHAnsi" w:hAnsiTheme="minorHAnsi" w:cstheme="minorBidi"/>
          <w:b/>
          <w:color w:val="00000A"/>
          <w:szCs w:val="22"/>
        </w:rPr>
        <w:t>informací dostupných pouze Z</w:t>
      </w:r>
      <w:r w:rsidR="001D259A" w:rsidRPr="00E86948">
        <w:rPr>
          <w:rFonts w:asciiTheme="minorHAnsi" w:hAnsiTheme="minorHAnsi" w:cstheme="minorBidi"/>
          <w:b/>
          <w:color w:val="00000A"/>
          <w:szCs w:val="22"/>
        </w:rPr>
        <w:t>adavateli nebo lépe zajistitelných</w:t>
      </w:r>
      <w:r w:rsidRPr="00E86948">
        <w:rPr>
          <w:rFonts w:asciiTheme="minorHAnsi" w:hAnsiTheme="minorHAnsi" w:cstheme="minorBidi"/>
          <w:b/>
          <w:color w:val="00000A"/>
          <w:szCs w:val="22"/>
        </w:rPr>
        <w:t xml:space="preserve"> přes Zadavatele</w:t>
      </w:r>
      <w:r w:rsidRPr="00E86948">
        <w:rPr>
          <w:rFonts w:asciiTheme="minorHAnsi" w:hAnsiTheme="minorHAnsi" w:cstheme="minorBidi"/>
          <w:color w:val="00000A"/>
          <w:szCs w:val="22"/>
        </w:rPr>
        <w:t xml:space="preserve"> </w:t>
      </w:r>
      <w:r w:rsidR="00E86948">
        <w:rPr>
          <w:rFonts w:asciiTheme="minorHAnsi" w:hAnsiTheme="minorHAnsi" w:cstheme="minorBidi"/>
          <w:color w:val="00000A"/>
          <w:szCs w:val="22"/>
        </w:rPr>
        <w:t xml:space="preserve">– </w:t>
      </w:r>
      <w:r w:rsidRPr="00E86948">
        <w:rPr>
          <w:rFonts w:asciiTheme="minorHAnsi" w:hAnsiTheme="minorHAnsi" w:cstheme="minorBidi"/>
          <w:color w:val="00000A"/>
          <w:szCs w:val="22"/>
        </w:rPr>
        <w:t xml:space="preserve">Dodavatel bude </w:t>
      </w:r>
      <w:r w:rsidRPr="00E86948">
        <w:rPr>
          <w:rFonts w:asciiTheme="minorHAnsi" w:hAnsiTheme="minorHAnsi" w:cstheme="minorBidi"/>
          <w:color w:val="00000A"/>
          <w:szCs w:val="22"/>
        </w:rPr>
        <w:lastRenderedPageBreak/>
        <w:t>primárně aktivně zajišťovat data a informace přímo od jejich poskytovatele</w:t>
      </w:r>
      <w:r w:rsidR="001D259A" w:rsidRPr="00E86948">
        <w:rPr>
          <w:rFonts w:asciiTheme="minorHAnsi" w:hAnsiTheme="minorHAnsi" w:cstheme="minorBidi"/>
          <w:color w:val="00000A"/>
          <w:szCs w:val="22"/>
        </w:rPr>
        <w:t>/ů</w:t>
      </w:r>
      <w:r w:rsidRPr="00E86948">
        <w:rPr>
          <w:rFonts w:asciiTheme="minorHAnsi" w:hAnsiTheme="minorHAnsi" w:cstheme="minorBidi"/>
          <w:color w:val="00000A"/>
          <w:szCs w:val="22"/>
        </w:rPr>
        <w:t>, čímž bude jednak minimálně zatěžovat Zadavatele a jeho zaměstnance a současně bude minimalizovat časové prodlevy při získávání dat a informací. Pouze v případě dat a informací dostupných pouze Zadavateli si Dodavatel vyžádá od Zadavatele. Dodavatel požádá o součinnost Zadavatele také v případě veřejně nedostupných informací, dat a dokumentů, které budou lépe zejména pak rychleji, dostupné prostřednictvím Zadavatele</w:t>
      </w:r>
      <w:r w:rsidR="0095444B" w:rsidRPr="00E86948">
        <w:rPr>
          <w:rFonts w:asciiTheme="minorHAnsi" w:hAnsiTheme="minorHAnsi" w:cstheme="minorBidi"/>
          <w:color w:val="00000A"/>
          <w:szCs w:val="22"/>
        </w:rPr>
        <w:t>.</w:t>
      </w:r>
      <w:r w:rsidR="0065402E">
        <w:br w:type="page"/>
      </w:r>
    </w:p>
    <w:p w14:paraId="6D456CEB" w14:textId="77777777" w:rsidR="00125136" w:rsidRDefault="00281C0C" w:rsidP="000E1076">
      <w:pPr>
        <w:pStyle w:val="Nadpis1"/>
      </w:pPr>
      <w:r>
        <w:lastRenderedPageBreak/>
        <w:t xml:space="preserve"> </w:t>
      </w:r>
      <w:bookmarkStart w:id="40" w:name="_Toc23859668"/>
      <w:bookmarkStart w:id="41" w:name="_Toc25228656"/>
      <w:r w:rsidR="005D0F09">
        <w:t>Projektové řízení</w:t>
      </w:r>
      <w:bookmarkEnd w:id="40"/>
      <w:bookmarkEnd w:id="41"/>
    </w:p>
    <w:p w14:paraId="1B7070F4" w14:textId="77777777" w:rsidR="005D0F09" w:rsidRPr="00E86948" w:rsidRDefault="005D0F09" w:rsidP="005D0F09">
      <w:pPr>
        <w:jc w:val="both"/>
        <w:rPr>
          <w:rStyle w:val="BodytextChar"/>
          <w:rFonts w:asciiTheme="minorHAnsi" w:hAnsiTheme="minorHAnsi"/>
        </w:rPr>
      </w:pPr>
      <w:r w:rsidRPr="00E86948">
        <w:t xml:space="preserve">Díky mnohaleté zkušenosti s projektovým řízením a dodáváním projektů si společnost Deloitte dovoluje </w:t>
      </w:r>
      <w:r w:rsidRPr="00E86948">
        <w:rPr>
          <w:rStyle w:val="BodytextChar"/>
          <w:rFonts w:asciiTheme="minorHAnsi" w:hAnsiTheme="minorHAnsi"/>
        </w:rPr>
        <w:t>navrhnout standardní strukturu řízení projektů, která je plně v souladu s běžně používanou metodikou projektového řízení a zaručuje také kontrolovanou kvalitu dodání předmětu projektu. Tato metoda je založena na třístupňové hierarchii projektového týmu: Řídící výbor, Projektový management a Podpůrný tým. Každá z prvních dvou úloh bude mít alespoň jednoho člena jak na straně MPO, tak na straně společnosti Deloitte.</w:t>
      </w:r>
    </w:p>
    <w:p w14:paraId="43AA049A" w14:textId="77777777" w:rsidR="005D0F09" w:rsidRPr="00E86948" w:rsidRDefault="005D0F09" w:rsidP="005D0F09">
      <w:pPr>
        <w:pStyle w:val="Smlouvaheading1"/>
        <w:spacing w:before="113" w:after="119" w:line="240" w:lineRule="auto"/>
        <w:ind w:firstLine="1"/>
        <w:rPr>
          <w:rFonts w:asciiTheme="minorHAnsi" w:hAnsiTheme="minorHAnsi"/>
          <w:color w:val="00A1DE"/>
          <w:u w:val="single"/>
        </w:rPr>
      </w:pPr>
      <w:r w:rsidRPr="00E86948">
        <w:rPr>
          <w:rFonts w:asciiTheme="minorHAnsi" w:hAnsiTheme="minorHAnsi"/>
          <w:color w:val="00A1DE"/>
          <w:u w:val="single"/>
        </w:rPr>
        <w:t>Řídící výbor (vedení projektu)</w:t>
      </w:r>
    </w:p>
    <w:p w14:paraId="6C7F581E" w14:textId="77777777" w:rsidR="005D0F09" w:rsidRPr="00E86948" w:rsidRDefault="005D0F09" w:rsidP="005D0F09">
      <w:pPr>
        <w:jc w:val="both"/>
      </w:pPr>
      <w:r w:rsidRPr="00E86948">
        <w:t xml:space="preserve">Řídící výbor je nejvyšším orgánem projektu. Jeho úkolem je akceptovat výstupy, řídit projekt na komplexní úrovni a zajišťovat komunikaci na nejvyšší úrovni. Tento orgán projektu také schvaluje případné změny v termínech nebo struktuře výstupů. Na straně MPO byl nominován Ing. Bohumil Šmucr, MPA, ředitel Odboru strukturálních fondů jakožto vlastník projektu na straně Zadavatele. Jako zástupce společnosti Deloitte byl nominován do řídícího výboru Mgr. Jan Sedliačik, Senior Manager v oddělení poradenství pro veřejnou správu, jakožto doménový expert a nejvýše postavený manažer zodpovědný za kvalitu výstupu. </w:t>
      </w:r>
    </w:p>
    <w:p w14:paraId="6C645E5F" w14:textId="77777777" w:rsidR="005D0F09" w:rsidRPr="00E86948" w:rsidRDefault="005D0F09" w:rsidP="005D0F09">
      <w:pPr>
        <w:pStyle w:val="Smlouvaheading1"/>
        <w:spacing w:before="113" w:after="119" w:line="240" w:lineRule="auto"/>
        <w:ind w:firstLine="1"/>
        <w:rPr>
          <w:rFonts w:asciiTheme="minorHAnsi" w:hAnsiTheme="minorHAnsi"/>
          <w:color w:val="00A1DE"/>
          <w:u w:val="single"/>
        </w:rPr>
      </w:pPr>
      <w:r w:rsidRPr="00E86948">
        <w:rPr>
          <w:rFonts w:asciiTheme="minorHAnsi" w:hAnsiTheme="minorHAnsi"/>
          <w:color w:val="00A1DE"/>
          <w:u w:val="single"/>
        </w:rPr>
        <w:t>Projektový management</w:t>
      </w:r>
    </w:p>
    <w:p w14:paraId="61855CDE" w14:textId="763E7564" w:rsidR="005D0F09" w:rsidRPr="00E86948" w:rsidRDefault="005D0F09" w:rsidP="005D0F09">
      <w:pPr>
        <w:jc w:val="both"/>
      </w:pPr>
      <w:r w:rsidRPr="00E86948">
        <w:t>Úroveň projektového managementu (řízení) zajišťuje operativní každodenní komunikaci v oblasti projektu. Dále projektoví manažeři zajišťují organizaci podpůrných týmů a řízení operativní části projektu. Mezi hlavní náplň práce patří domlouvání termínů schůzek a zajišťování celkové projektové komunikace mezi Zadavatelem a Dodavatelem, předávání datových požadavků a dat, vypořádávání komentářů apod. V případě nesouladu mezi projektovými manažery dochází k eskalaci problému na úroveň Řídícího výboru jakožto nadřazenéh</w:t>
      </w:r>
      <w:r w:rsidR="00BE6947">
        <w:t>o orgánu. Za Zadavatele byl jako projektový manažer nominován</w:t>
      </w:r>
      <w:r w:rsidRPr="00E86948">
        <w:t xml:space="preserve"> Ing. Václav</w:t>
      </w:r>
      <w:r w:rsidR="00BE6947">
        <w:t xml:space="preserve"> Špetlík </w:t>
      </w:r>
      <w:r w:rsidRPr="00E86948">
        <w:t xml:space="preserve">z Evaluační jednotky OP PIK na Odboru strukturálních fondů za Dodavatele Ing. Natálii Križanovou. </w:t>
      </w:r>
    </w:p>
    <w:p w14:paraId="5448A250" w14:textId="77777777" w:rsidR="005D0F09" w:rsidRPr="00E86948" w:rsidRDefault="005D0F09" w:rsidP="005D0F09">
      <w:pPr>
        <w:pStyle w:val="Smlouvaheading1"/>
        <w:spacing w:before="113" w:after="119" w:line="240" w:lineRule="auto"/>
        <w:ind w:firstLine="1"/>
        <w:rPr>
          <w:rFonts w:asciiTheme="minorHAnsi" w:hAnsiTheme="minorHAnsi"/>
          <w:color w:val="00A1DE"/>
          <w:u w:val="single"/>
        </w:rPr>
      </w:pPr>
      <w:r w:rsidRPr="00E86948">
        <w:rPr>
          <w:rFonts w:asciiTheme="minorHAnsi" w:hAnsiTheme="minorHAnsi"/>
          <w:color w:val="00A1DE"/>
          <w:u w:val="single"/>
        </w:rPr>
        <w:t>Podpůrný tým</w:t>
      </w:r>
    </w:p>
    <w:p w14:paraId="0187C5F6" w14:textId="77777777" w:rsidR="005D0F09" w:rsidRPr="00E86948" w:rsidRDefault="005D0F09" w:rsidP="005D0F09">
      <w:pPr>
        <w:jc w:val="both"/>
      </w:pPr>
      <w:r w:rsidRPr="00E86948">
        <w:t>Podpůrný tým bude pracovat především na straně společnosti Deloitte a jeho úkolem bude zpracování dílčích analýz a evaluace. Tento tým je p</w:t>
      </w:r>
      <w:r w:rsidR="00031358" w:rsidRPr="00E86948">
        <w:t>lně řízen ze strany projektového manažera Deloitte.</w:t>
      </w:r>
      <w:r w:rsidRPr="00E86948">
        <w:t xml:space="preserve"> </w:t>
      </w:r>
      <w:r w:rsidR="0095444B" w:rsidRPr="00E86948">
        <w:t>Veškerá jim</w:t>
      </w:r>
      <w:r w:rsidRPr="00E86948">
        <w:t xml:space="preserve"> provedená práce bude důsledně revidována nadří</w:t>
      </w:r>
      <w:r w:rsidR="001D259A" w:rsidRPr="00E86948">
        <w:t xml:space="preserve">zenými členy projektového týmu. </w:t>
      </w:r>
      <w:r w:rsidRPr="00E86948">
        <w:t xml:space="preserve">S cílem zajištění efektivního průběhu projektu je od </w:t>
      </w:r>
      <w:r w:rsidR="001D259A" w:rsidRPr="00E86948">
        <w:t>Dodavatele</w:t>
      </w:r>
      <w:r w:rsidRPr="00E86948">
        <w:t xml:space="preserve"> požadováno, že v rámci interních i externích struktur budou zástupci Zadavatele nápomocní se sjednáváním schůzek a zprostředkováním kontaktu se zástupci expertů z jiných organizací.</w:t>
      </w:r>
    </w:p>
    <w:p w14:paraId="50C21B40" w14:textId="77777777" w:rsidR="005D0F09" w:rsidRPr="00E86948" w:rsidRDefault="005D0F09" w:rsidP="005D0F09">
      <w:pPr>
        <w:keepNext/>
        <w:keepLines/>
        <w:spacing w:after="0"/>
        <w:jc w:val="both"/>
        <w:rPr>
          <w:rFonts w:eastAsia="Times New Roman"/>
          <w:b/>
          <w:bCs/>
          <w:sz w:val="2"/>
          <w:szCs w:val="2"/>
        </w:rPr>
      </w:pPr>
    </w:p>
    <w:p w14:paraId="419C3886" w14:textId="77777777" w:rsidR="005D0F09" w:rsidRPr="00E86948" w:rsidRDefault="005D0F09" w:rsidP="00CE7B5B">
      <w:pPr>
        <w:pStyle w:val="Nadpis2"/>
        <w:ind w:left="567" w:hanging="567"/>
        <w:rPr>
          <w:rFonts w:asciiTheme="minorHAnsi" w:hAnsiTheme="minorHAnsi"/>
        </w:rPr>
      </w:pPr>
      <w:bookmarkStart w:id="42" w:name="_Toc535415001"/>
      <w:bookmarkStart w:id="43" w:name="_Toc270101"/>
      <w:bookmarkStart w:id="44" w:name="_Toc25228657"/>
      <w:r w:rsidRPr="00E86948">
        <w:rPr>
          <w:rFonts w:asciiTheme="minorHAnsi" w:hAnsiTheme="minorHAnsi"/>
        </w:rPr>
        <w:t>Připomínkovací a akceptační proces</w:t>
      </w:r>
      <w:bookmarkEnd w:id="42"/>
      <w:bookmarkEnd w:id="43"/>
      <w:bookmarkEnd w:id="44"/>
    </w:p>
    <w:p w14:paraId="21313C8E" w14:textId="77777777" w:rsidR="005D0F09" w:rsidRPr="00E86948" w:rsidRDefault="005D0F09" w:rsidP="005D0F09">
      <w:pPr>
        <w:jc w:val="both"/>
      </w:pPr>
      <w:r w:rsidRPr="00E86948">
        <w:t>Dodavatel se zavazuje průběžně konzultovat postup plnění Služeb a vyhotovené podklady se Zadavatelem.</w:t>
      </w:r>
    </w:p>
    <w:p w14:paraId="78ECDF2F" w14:textId="77777777" w:rsidR="005D0F09" w:rsidRPr="00E86948" w:rsidRDefault="005D0F09" w:rsidP="005D0F09">
      <w:pPr>
        <w:jc w:val="both"/>
      </w:pPr>
      <w:r w:rsidRPr="00E86948">
        <w:t>Návrh připomínkovacího procesu:</w:t>
      </w:r>
    </w:p>
    <w:p w14:paraId="323B18D8" w14:textId="77777777" w:rsidR="005D0F09" w:rsidRPr="00E86948" w:rsidRDefault="005D0F09" w:rsidP="000B5C4D">
      <w:pPr>
        <w:pStyle w:val="Odstavecseseznamem"/>
        <w:numPr>
          <w:ilvl w:val="0"/>
          <w:numId w:val="11"/>
        </w:numPr>
        <w:spacing w:after="120" w:line="240" w:lineRule="atLeast"/>
        <w:ind w:left="714" w:hanging="357"/>
        <w:contextualSpacing w:val="0"/>
        <w:jc w:val="both"/>
      </w:pPr>
      <w:r w:rsidRPr="00E86948">
        <w:t>Vedoucí projektu za Deloitte každý výstup předloží Vedoucímu projektu za MPO.</w:t>
      </w:r>
    </w:p>
    <w:p w14:paraId="2034D93B" w14:textId="77777777" w:rsidR="005D0F09" w:rsidRPr="00E86948" w:rsidRDefault="005D0F09" w:rsidP="000B5C4D">
      <w:pPr>
        <w:pStyle w:val="Odstavecseseznamem"/>
        <w:numPr>
          <w:ilvl w:val="0"/>
          <w:numId w:val="11"/>
        </w:numPr>
        <w:spacing w:after="120" w:line="240" w:lineRule="atLeast"/>
        <w:ind w:left="714" w:hanging="357"/>
        <w:contextualSpacing w:val="0"/>
        <w:jc w:val="both"/>
      </w:pPr>
      <w:r w:rsidRPr="00E86948">
        <w:t>Připomínky ze strany MPO budou předány ve výstupu v režimu změn formou komentářů.</w:t>
      </w:r>
    </w:p>
    <w:p w14:paraId="267E8035" w14:textId="77777777" w:rsidR="005D0F09" w:rsidRPr="00E86948" w:rsidRDefault="005D0F09" w:rsidP="000B5C4D">
      <w:pPr>
        <w:pStyle w:val="Odstavecseseznamem"/>
        <w:numPr>
          <w:ilvl w:val="0"/>
          <w:numId w:val="11"/>
        </w:numPr>
        <w:spacing w:after="120" w:line="240" w:lineRule="atLeast"/>
        <w:ind w:left="714" w:hanging="357"/>
        <w:contextualSpacing w:val="0"/>
        <w:jc w:val="both"/>
      </w:pPr>
      <w:r w:rsidRPr="00E86948">
        <w:t>Dle podmínek smlouvy bude mít MPO</w:t>
      </w:r>
      <w:r w:rsidR="0034481A" w:rsidRPr="00E86948">
        <w:t xml:space="preserve"> 5 pracovních dní v p</w:t>
      </w:r>
      <w:r w:rsidR="0068665B" w:rsidRPr="00E86948">
        <w:t>řípadě V</w:t>
      </w:r>
      <w:r w:rsidR="0034481A" w:rsidRPr="00E86948">
        <w:t>stupní zprávy a</w:t>
      </w:r>
      <w:r w:rsidRPr="00E86948">
        <w:t xml:space="preserve"> 10 pracovních dní</w:t>
      </w:r>
      <w:r w:rsidR="0068665B" w:rsidRPr="00E86948">
        <w:t xml:space="preserve"> v případě Průběžné a Z</w:t>
      </w:r>
      <w:r w:rsidR="0034481A" w:rsidRPr="00E86948">
        <w:t>ávěrečné zprávy</w:t>
      </w:r>
      <w:r w:rsidRPr="00E86948">
        <w:t xml:space="preserve"> na agregaci připomínek k výstupu.</w:t>
      </w:r>
    </w:p>
    <w:p w14:paraId="5E092793" w14:textId="77777777" w:rsidR="005D0F09" w:rsidRPr="00E86948" w:rsidRDefault="005D0F09" w:rsidP="000B5C4D">
      <w:pPr>
        <w:pStyle w:val="Odstavecseseznamem"/>
        <w:numPr>
          <w:ilvl w:val="0"/>
          <w:numId w:val="11"/>
        </w:numPr>
        <w:spacing w:after="120" w:line="240" w:lineRule="atLeast"/>
        <w:ind w:left="714" w:hanging="357"/>
        <w:contextualSpacing w:val="0"/>
        <w:jc w:val="both"/>
      </w:pPr>
      <w:r w:rsidRPr="00E86948">
        <w:t>Deloitte obdrží vždy jednu verzi zprávy s připomínkami všech relevantních pracovníků MPO, případně zapojených partnerů, oslovených ze strany MPO.</w:t>
      </w:r>
    </w:p>
    <w:p w14:paraId="204026B1" w14:textId="77777777" w:rsidR="005D0F09" w:rsidRPr="00E86948" w:rsidRDefault="005D0F09" w:rsidP="000B5C4D">
      <w:pPr>
        <w:pStyle w:val="Odstavecseseznamem"/>
        <w:numPr>
          <w:ilvl w:val="0"/>
          <w:numId w:val="11"/>
        </w:numPr>
        <w:spacing w:after="120" w:line="240" w:lineRule="atLeast"/>
        <w:ind w:left="714" w:hanging="357"/>
        <w:contextualSpacing w:val="0"/>
        <w:jc w:val="both"/>
      </w:pPr>
      <w:r w:rsidRPr="00E86948">
        <w:t>Deloitte bude vypořádávat připomínky, a to do 5 pracovních dní v</w:t>
      </w:r>
      <w:r w:rsidR="00E8149F" w:rsidRPr="00E86948">
        <w:t> </w:t>
      </w:r>
      <w:r w:rsidRPr="00E86948">
        <w:t>případě</w:t>
      </w:r>
      <w:r w:rsidR="00E8149F" w:rsidRPr="00E86948">
        <w:t xml:space="preserve"> Průběžné a</w:t>
      </w:r>
      <w:r w:rsidRPr="00E86948">
        <w:t xml:space="preserve"> Závěrečné zprávy, resp. do 3 pracovních dní v případě Vstupní zprávy, od doručení připomínek MPO k předloženému návrhu výstupu (zprávě).</w:t>
      </w:r>
    </w:p>
    <w:p w14:paraId="58192A8B" w14:textId="77777777" w:rsidR="005D0F09" w:rsidRPr="00E86948" w:rsidRDefault="005D0F09" w:rsidP="000B5C4D">
      <w:pPr>
        <w:pStyle w:val="Odstavecseseznamem"/>
        <w:numPr>
          <w:ilvl w:val="0"/>
          <w:numId w:val="11"/>
        </w:numPr>
        <w:spacing w:after="120" w:line="240" w:lineRule="atLeast"/>
        <w:ind w:left="714" w:hanging="357"/>
        <w:contextualSpacing w:val="0"/>
        <w:jc w:val="both"/>
      </w:pPr>
      <w:r w:rsidRPr="00E86948">
        <w:lastRenderedPageBreak/>
        <w:t>V případě potřeby bude sjednána schůzka s cílem prodiskutování připomínek Zadavatele a návrhem vypořádání.</w:t>
      </w:r>
    </w:p>
    <w:p w14:paraId="5881F2F5" w14:textId="77777777" w:rsidR="005D0F09" w:rsidRPr="00E86948" w:rsidRDefault="005D0F09" w:rsidP="000B5C4D">
      <w:pPr>
        <w:pStyle w:val="Odstavecseseznamem"/>
        <w:numPr>
          <w:ilvl w:val="0"/>
          <w:numId w:val="11"/>
        </w:numPr>
        <w:spacing w:after="120" w:line="240" w:lineRule="atLeast"/>
        <w:ind w:left="714" w:hanging="357"/>
        <w:contextualSpacing w:val="0"/>
        <w:jc w:val="both"/>
      </w:pPr>
      <w:r w:rsidRPr="00E86948">
        <w:t>Deloitte následně upravenou verzi předloží MPO.</w:t>
      </w:r>
    </w:p>
    <w:p w14:paraId="0C528064" w14:textId="77777777" w:rsidR="005D0F09" w:rsidRPr="00E86948" w:rsidRDefault="005D0F09" w:rsidP="000B5C4D">
      <w:pPr>
        <w:pStyle w:val="Odstavecseseznamem"/>
        <w:numPr>
          <w:ilvl w:val="0"/>
          <w:numId w:val="11"/>
        </w:numPr>
        <w:spacing w:after="120" w:line="240" w:lineRule="atLeast"/>
        <w:ind w:left="714" w:hanging="357"/>
        <w:contextualSpacing w:val="0"/>
        <w:jc w:val="both"/>
      </w:pPr>
      <w:r w:rsidRPr="00E86948">
        <w:t>Tento proces se opakuje až do řádného předání všech výstupů (zpráv).</w:t>
      </w:r>
    </w:p>
    <w:p w14:paraId="54143892" w14:textId="77777777" w:rsidR="005D0F09" w:rsidRPr="00E86948" w:rsidRDefault="005D0F09" w:rsidP="005D0F09">
      <w:pPr>
        <w:jc w:val="both"/>
      </w:pPr>
      <w:r w:rsidRPr="00E86948">
        <w:t>Akceptaci jednotlivých výstupů Projektu provádí člen Vedení projektu za MPO</w:t>
      </w:r>
      <w:r w:rsidR="000F7C52">
        <w:t>,</w:t>
      </w:r>
      <w:r w:rsidRPr="00E86948">
        <w:t xml:space="preserve"> a to na základě žádosti člena Vedení projektu za Deloitte, případně Projektového manažera za Deloitte, ke které je přiložen daný výstup po ukončeném připomínkovacím řízení. Schválení (akceptaci) výstupu Projektu potvrdí Vedoucí projektu za MPO podpisem Akceptačního protokolu. </w:t>
      </w:r>
    </w:p>
    <w:p w14:paraId="26CB1461" w14:textId="77777777" w:rsidR="005D0F09" w:rsidRPr="00E86948" w:rsidRDefault="005D0F09" w:rsidP="005D0F09">
      <w:r w:rsidRPr="00E86948">
        <w:t>Akceptační proces probíhá v souladu s </w:t>
      </w:r>
      <w:r w:rsidR="00AA7775" w:rsidRPr="00E86948">
        <w:t>článkem VI</w:t>
      </w:r>
      <w:r w:rsidRPr="00E86948">
        <w:t>. Smlouvy o dílo.</w:t>
      </w:r>
    </w:p>
    <w:p w14:paraId="57D990D3" w14:textId="77777777" w:rsidR="00AC55EB" w:rsidRDefault="006062A7" w:rsidP="00E86948">
      <w:pPr>
        <w:pStyle w:val="Nadpis1"/>
        <w:numPr>
          <w:ilvl w:val="0"/>
          <w:numId w:val="0"/>
        </w:numPr>
      </w:pPr>
      <w:bookmarkStart w:id="45" w:name="_Toc23859669"/>
      <w:bookmarkStart w:id="46" w:name="_Toc25228658"/>
      <w:r>
        <w:lastRenderedPageBreak/>
        <w:t>P</w:t>
      </w:r>
      <w:r w:rsidR="002B215D">
        <w:t>říloh</w:t>
      </w:r>
      <w:r w:rsidR="00AC55EB">
        <w:t>y</w:t>
      </w:r>
      <w:bookmarkEnd w:id="45"/>
      <w:bookmarkEnd w:id="46"/>
    </w:p>
    <w:p w14:paraId="5095C259" w14:textId="77777777" w:rsidR="00AC55EB" w:rsidRDefault="00AC55EB" w:rsidP="00E86948">
      <w:pPr>
        <w:pStyle w:val="Nadpis1"/>
        <w:numPr>
          <w:ilvl w:val="0"/>
          <w:numId w:val="0"/>
        </w:numPr>
      </w:pPr>
      <w:bookmarkStart w:id="47" w:name="_Ref24117639"/>
      <w:bookmarkStart w:id="48" w:name="_Toc25228659"/>
      <w:r>
        <w:lastRenderedPageBreak/>
        <w:t xml:space="preserve">Příloha </w:t>
      </w:r>
      <w:r w:rsidR="000276B9">
        <w:t>1</w:t>
      </w:r>
      <w:r>
        <w:t>: Datový požadavek Dodavatele</w:t>
      </w:r>
      <w:bookmarkEnd w:id="47"/>
      <w:r w:rsidR="00A411B1">
        <w:t xml:space="preserve"> a předaná data</w:t>
      </w:r>
      <w:bookmarkEnd w:id="48"/>
    </w:p>
    <w:p w14:paraId="1C4DA60D" w14:textId="03C7A421" w:rsidR="00AC55EB" w:rsidRDefault="00AC55EB" w:rsidP="00C62AF1">
      <w:pPr>
        <w:jc w:val="both"/>
      </w:pPr>
      <w:r>
        <w:t xml:space="preserve">Na úvodní schůzce k projektu konané dne 16. 10. 2019 předal Dodavatel Zadavateli požadavek na poskytnutí následujících zdrojů.  </w:t>
      </w:r>
      <w:r w:rsidR="005179B5">
        <w:t xml:space="preserve">Následně došlo k předání </w:t>
      </w:r>
      <w:r w:rsidR="00882764">
        <w:t>dat od</w:t>
      </w:r>
      <w:r w:rsidR="005179B5">
        <w:t xml:space="preserve"> ŘO (MPO), ČMZRB a API</w:t>
      </w:r>
      <w:r w:rsidR="00ED4DE1">
        <w:t xml:space="preserve"> a</w:t>
      </w:r>
      <w:r w:rsidR="005179B5">
        <w:t xml:space="preserve"> proběhla informativní schůzka se zástupci ČMZRB</w:t>
      </w:r>
      <w:r w:rsidR="00882764">
        <w:t xml:space="preserve"> k vysvětlení dalších dotazů a datových požadavků. </w:t>
      </w:r>
    </w:p>
    <w:p w14:paraId="69E812C4" w14:textId="77777777" w:rsidR="00D338E3" w:rsidRDefault="00D338E3" w:rsidP="008C286A">
      <w:pPr>
        <w:pStyle w:val="Titulek"/>
        <w:jc w:val="center"/>
      </w:pPr>
      <w:bookmarkStart w:id="49" w:name="_Toc24384740"/>
      <w:r>
        <w:t xml:space="preserve">Tabulka </w:t>
      </w:r>
      <w:r>
        <w:fldChar w:fldCharType="begin"/>
      </w:r>
      <w:r>
        <w:instrText xml:space="preserve"> SEQ Tabulka \* ARABIC </w:instrText>
      </w:r>
      <w:r>
        <w:fldChar w:fldCharType="separate"/>
      </w:r>
      <w:r w:rsidR="00E93151">
        <w:rPr>
          <w:noProof/>
        </w:rPr>
        <w:t>14</w:t>
      </w:r>
      <w:r>
        <w:fldChar w:fldCharType="end"/>
      </w:r>
      <w:r w:rsidR="008C286A">
        <w:t>:</w:t>
      </w:r>
      <w:r>
        <w:t xml:space="preserve"> Seznam dokumentů a zdrojů dat</w:t>
      </w:r>
      <w:bookmarkEnd w:id="49"/>
    </w:p>
    <w:tbl>
      <w:tblPr>
        <w:tblStyle w:val="Deloittetable2"/>
        <w:tblW w:w="0" w:type="auto"/>
        <w:tblLook w:val="04A0" w:firstRow="1" w:lastRow="0" w:firstColumn="1" w:lastColumn="0" w:noHBand="0" w:noVBand="1"/>
      </w:tblPr>
      <w:tblGrid>
        <w:gridCol w:w="285"/>
        <w:gridCol w:w="7578"/>
        <w:gridCol w:w="2229"/>
      </w:tblGrid>
      <w:tr w:rsidR="00423E4F" w:rsidRPr="00F503C2" w14:paraId="622A6FE2" w14:textId="77777777" w:rsidTr="00BE6947">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0724E570" w14:textId="77777777" w:rsidR="00423E4F" w:rsidRPr="00C62AF1" w:rsidRDefault="00423E4F" w:rsidP="0031220A">
            <w:pPr>
              <w:rPr>
                <w:rFonts w:asciiTheme="majorHAnsi" w:hAnsiTheme="majorHAnsi"/>
                <w:b w:val="0"/>
                <w:bCs/>
              </w:rPr>
            </w:pPr>
            <w:r w:rsidRPr="00C62AF1">
              <w:rPr>
                <w:rFonts w:asciiTheme="majorHAnsi" w:hAnsiTheme="majorHAnsi"/>
                <w:bCs/>
              </w:rPr>
              <w:t>Č.</w:t>
            </w:r>
          </w:p>
        </w:tc>
        <w:tc>
          <w:tcPr>
            <w:tcW w:w="0" w:type="auto"/>
            <w:hideMark/>
          </w:tcPr>
          <w:p w14:paraId="2D82B34F" w14:textId="77777777" w:rsidR="00423E4F" w:rsidRPr="00C62AF1" w:rsidRDefault="00423E4F" w:rsidP="0031220A">
            <w:pPr>
              <w:cnfStyle w:val="100000000000" w:firstRow="1" w:lastRow="0" w:firstColumn="0" w:lastColumn="0" w:oddVBand="0" w:evenVBand="0" w:oddHBand="0" w:evenHBand="0" w:firstRowFirstColumn="0" w:firstRowLastColumn="0" w:lastRowFirstColumn="0" w:lastRowLastColumn="0"/>
              <w:rPr>
                <w:rFonts w:asciiTheme="majorHAnsi" w:hAnsiTheme="majorHAnsi"/>
                <w:b w:val="0"/>
                <w:bCs/>
              </w:rPr>
            </w:pPr>
            <w:r w:rsidRPr="00C62AF1">
              <w:rPr>
                <w:rFonts w:asciiTheme="majorHAnsi" w:hAnsiTheme="majorHAnsi"/>
                <w:bCs/>
              </w:rPr>
              <w:t>Zdroj</w:t>
            </w:r>
          </w:p>
        </w:tc>
        <w:tc>
          <w:tcPr>
            <w:tcW w:w="0" w:type="auto"/>
          </w:tcPr>
          <w:p w14:paraId="0A25AB54" w14:textId="77777777" w:rsidR="00423E4F" w:rsidRPr="00C62AF1" w:rsidRDefault="00423E4F" w:rsidP="001C1C51">
            <w:pPr>
              <w:ind w:left="128"/>
              <w:cnfStyle w:val="100000000000" w:firstRow="1" w:lastRow="0" w:firstColumn="0" w:lastColumn="0" w:oddVBand="0" w:evenVBand="0" w:oddHBand="0" w:evenHBand="0" w:firstRowFirstColumn="0" w:firstRowLastColumn="0" w:lastRowFirstColumn="0" w:lastRowLastColumn="0"/>
              <w:rPr>
                <w:rFonts w:asciiTheme="majorHAnsi" w:hAnsiTheme="majorHAnsi"/>
                <w:bCs/>
              </w:rPr>
            </w:pPr>
            <w:r>
              <w:rPr>
                <w:rFonts w:asciiTheme="majorHAnsi" w:hAnsiTheme="majorHAnsi"/>
                <w:bCs/>
              </w:rPr>
              <w:t>Předáno</w:t>
            </w:r>
          </w:p>
        </w:tc>
      </w:tr>
      <w:tr w:rsidR="00423E4F" w:rsidRPr="00F503C2" w14:paraId="03CE8B38" w14:textId="77777777" w:rsidTr="00B32086">
        <w:trPr>
          <w:trHeight w:val="2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DFF0F9" w:themeFill="accent3" w:themeFillTint="33"/>
            <w:hideMark/>
          </w:tcPr>
          <w:p w14:paraId="11131E0D" w14:textId="77777777" w:rsidR="00423E4F" w:rsidRPr="00C62AF1" w:rsidRDefault="00423E4F" w:rsidP="0031220A">
            <w:pPr>
              <w:rPr>
                <w:rFonts w:asciiTheme="majorHAnsi" w:hAnsiTheme="majorHAnsi"/>
              </w:rPr>
            </w:pPr>
            <w:r w:rsidRPr="00C62AF1">
              <w:rPr>
                <w:rFonts w:asciiTheme="majorHAnsi" w:hAnsiTheme="majorHAnsi"/>
                <w:b/>
                <w:bCs/>
              </w:rPr>
              <w:t xml:space="preserve">Metodické dokumenty  </w:t>
            </w:r>
          </w:p>
        </w:tc>
        <w:tc>
          <w:tcPr>
            <w:tcW w:w="0" w:type="auto"/>
            <w:shd w:val="clear" w:color="auto" w:fill="DFF0F9" w:themeFill="accent3" w:themeFillTint="33"/>
          </w:tcPr>
          <w:p w14:paraId="2574903F" w14:textId="77777777" w:rsidR="00423E4F" w:rsidRPr="00C62AF1" w:rsidRDefault="00423E4F" w:rsidP="001C1C51">
            <w:pPr>
              <w:ind w:left="128"/>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p>
        </w:tc>
      </w:tr>
      <w:tr w:rsidR="00423E4F" w:rsidRPr="00F503C2" w14:paraId="2473512B" w14:textId="77777777" w:rsidTr="00B32086">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25BF9E04" w14:textId="77777777" w:rsidR="00423E4F" w:rsidRPr="00C62AF1" w:rsidRDefault="00423E4F" w:rsidP="0031220A">
            <w:pPr>
              <w:rPr>
                <w:rFonts w:asciiTheme="majorHAnsi" w:hAnsiTheme="majorHAnsi"/>
              </w:rPr>
            </w:pPr>
            <w:r w:rsidRPr="00C62AF1">
              <w:rPr>
                <w:rFonts w:asciiTheme="majorHAnsi" w:hAnsiTheme="majorHAnsi"/>
              </w:rPr>
              <w:t>1</w:t>
            </w:r>
          </w:p>
        </w:tc>
        <w:tc>
          <w:tcPr>
            <w:tcW w:w="0" w:type="auto"/>
            <w:hideMark/>
          </w:tcPr>
          <w:p w14:paraId="431DBB8C" w14:textId="77777777" w:rsidR="00423E4F" w:rsidRPr="00C62AF1" w:rsidRDefault="00423E4F" w:rsidP="0031220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62AF1">
              <w:rPr>
                <w:rFonts w:asciiTheme="majorHAnsi" w:hAnsiTheme="majorHAnsi"/>
              </w:rPr>
              <w:t>Operační manuál OP PIK</w:t>
            </w:r>
          </w:p>
        </w:tc>
        <w:tc>
          <w:tcPr>
            <w:tcW w:w="0" w:type="auto"/>
          </w:tcPr>
          <w:p w14:paraId="66B0B742" w14:textId="77777777" w:rsidR="00423E4F" w:rsidRPr="00C62AF1" w:rsidRDefault="00423E4F" w:rsidP="001C1C51">
            <w:pPr>
              <w:ind w:left="128"/>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Ano</w:t>
            </w:r>
          </w:p>
        </w:tc>
      </w:tr>
      <w:tr w:rsidR="00423E4F" w:rsidRPr="00F503C2" w14:paraId="4318F311" w14:textId="77777777" w:rsidTr="00B32086">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76FDB190" w14:textId="77777777" w:rsidR="00423E4F" w:rsidRPr="00C62AF1" w:rsidRDefault="00423E4F" w:rsidP="0031220A">
            <w:pPr>
              <w:rPr>
                <w:rFonts w:asciiTheme="majorHAnsi" w:hAnsiTheme="majorHAnsi"/>
              </w:rPr>
            </w:pPr>
            <w:r w:rsidRPr="00C62AF1">
              <w:rPr>
                <w:rFonts w:asciiTheme="majorHAnsi" w:hAnsiTheme="majorHAnsi"/>
              </w:rPr>
              <w:t>2</w:t>
            </w:r>
          </w:p>
        </w:tc>
        <w:tc>
          <w:tcPr>
            <w:tcW w:w="0" w:type="auto"/>
            <w:hideMark/>
          </w:tcPr>
          <w:p w14:paraId="7D91E46F" w14:textId="77777777" w:rsidR="00423E4F" w:rsidRPr="00C62AF1" w:rsidRDefault="00423E4F" w:rsidP="0031220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62AF1">
              <w:rPr>
                <w:rFonts w:asciiTheme="majorHAnsi" w:hAnsiTheme="majorHAnsi"/>
              </w:rPr>
              <w:t>Přehled změn Operačního manuálu</w:t>
            </w:r>
          </w:p>
        </w:tc>
        <w:tc>
          <w:tcPr>
            <w:tcW w:w="0" w:type="auto"/>
          </w:tcPr>
          <w:p w14:paraId="60F571BB" w14:textId="77777777" w:rsidR="00423E4F" w:rsidRPr="00C62AF1" w:rsidRDefault="00423E4F" w:rsidP="001C1C51">
            <w:pPr>
              <w:ind w:left="128"/>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Ano</w:t>
            </w:r>
          </w:p>
        </w:tc>
      </w:tr>
      <w:tr w:rsidR="00423E4F" w:rsidRPr="00F503C2" w14:paraId="2777F158" w14:textId="77777777" w:rsidTr="00B32086">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2F31AEBD" w14:textId="77777777" w:rsidR="00423E4F" w:rsidRPr="00C62AF1" w:rsidRDefault="00423E4F" w:rsidP="0031220A">
            <w:pPr>
              <w:rPr>
                <w:rFonts w:asciiTheme="majorHAnsi" w:hAnsiTheme="majorHAnsi"/>
              </w:rPr>
            </w:pPr>
            <w:r w:rsidRPr="00C62AF1">
              <w:rPr>
                <w:rFonts w:asciiTheme="majorHAnsi" w:hAnsiTheme="majorHAnsi"/>
              </w:rPr>
              <w:t>3</w:t>
            </w:r>
          </w:p>
        </w:tc>
        <w:tc>
          <w:tcPr>
            <w:tcW w:w="0" w:type="auto"/>
            <w:hideMark/>
          </w:tcPr>
          <w:p w14:paraId="20096127" w14:textId="77777777" w:rsidR="00423E4F" w:rsidRPr="00C62AF1" w:rsidRDefault="00423E4F" w:rsidP="0031220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62AF1">
              <w:rPr>
                <w:rFonts w:asciiTheme="majorHAnsi" w:hAnsiTheme="majorHAnsi"/>
              </w:rPr>
              <w:t>Přehled metodických pokynů – pro ŽaP; interní</w:t>
            </w:r>
          </w:p>
        </w:tc>
        <w:tc>
          <w:tcPr>
            <w:tcW w:w="0" w:type="auto"/>
          </w:tcPr>
          <w:p w14:paraId="22E0DC80" w14:textId="552A64CE" w:rsidR="00423E4F" w:rsidRPr="00C62AF1" w:rsidRDefault="00990037" w:rsidP="00882764">
            <w:pPr>
              <w:ind w:left="128"/>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Ano</w:t>
            </w:r>
          </w:p>
        </w:tc>
      </w:tr>
      <w:tr w:rsidR="00423E4F" w:rsidRPr="00F503C2" w14:paraId="71D023F6" w14:textId="77777777" w:rsidTr="00B32086">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3F728473" w14:textId="77777777" w:rsidR="00423E4F" w:rsidRPr="00C62AF1" w:rsidRDefault="00423E4F" w:rsidP="0031220A">
            <w:pPr>
              <w:rPr>
                <w:rFonts w:asciiTheme="majorHAnsi" w:hAnsiTheme="majorHAnsi"/>
              </w:rPr>
            </w:pPr>
            <w:r w:rsidRPr="00C62AF1">
              <w:rPr>
                <w:rFonts w:asciiTheme="majorHAnsi" w:hAnsiTheme="majorHAnsi"/>
              </w:rPr>
              <w:t>4</w:t>
            </w:r>
          </w:p>
        </w:tc>
        <w:tc>
          <w:tcPr>
            <w:tcW w:w="0" w:type="auto"/>
            <w:hideMark/>
          </w:tcPr>
          <w:p w14:paraId="2750148F" w14:textId="77777777" w:rsidR="00423E4F" w:rsidRPr="00C62AF1" w:rsidRDefault="00423E4F" w:rsidP="0031220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62AF1">
              <w:rPr>
                <w:rFonts w:asciiTheme="majorHAnsi" w:hAnsiTheme="majorHAnsi"/>
              </w:rPr>
              <w:t>Metodické pokyny – pro ŽaP; interní</w:t>
            </w:r>
          </w:p>
        </w:tc>
        <w:tc>
          <w:tcPr>
            <w:tcW w:w="0" w:type="auto"/>
          </w:tcPr>
          <w:p w14:paraId="46317130" w14:textId="566A1537" w:rsidR="00423E4F" w:rsidRPr="00C62AF1" w:rsidRDefault="00990037" w:rsidP="00882764">
            <w:pPr>
              <w:ind w:left="128"/>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Ano </w:t>
            </w:r>
          </w:p>
        </w:tc>
      </w:tr>
      <w:tr w:rsidR="00423E4F" w:rsidRPr="00F503C2" w14:paraId="7FECC301" w14:textId="77777777" w:rsidTr="00B32086">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5900994A" w14:textId="77777777" w:rsidR="00423E4F" w:rsidRPr="00C62AF1" w:rsidRDefault="00423E4F" w:rsidP="0031220A">
            <w:pPr>
              <w:rPr>
                <w:rFonts w:asciiTheme="majorHAnsi" w:hAnsiTheme="majorHAnsi"/>
              </w:rPr>
            </w:pPr>
            <w:r w:rsidRPr="00C62AF1">
              <w:rPr>
                <w:rFonts w:asciiTheme="majorHAnsi" w:hAnsiTheme="majorHAnsi"/>
              </w:rPr>
              <w:t>5</w:t>
            </w:r>
          </w:p>
        </w:tc>
        <w:tc>
          <w:tcPr>
            <w:tcW w:w="0" w:type="auto"/>
            <w:hideMark/>
          </w:tcPr>
          <w:p w14:paraId="07058EB8" w14:textId="77777777" w:rsidR="00423E4F" w:rsidRPr="00C62AF1" w:rsidRDefault="00423E4F" w:rsidP="0031220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62AF1">
              <w:rPr>
                <w:rFonts w:asciiTheme="majorHAnsi" w:hAnsiTheme="majorHAnsi"/>
              </w:rPr>
              <w:t>Procesní mapa implementace OP PIK / Procesní analýza</w:t>
            </w:r>
          </w:p>
        </w:tc>
        <w:tc>
          <w:tcPr>
            <w:tcW w:w="0" w:type="auto"/>
          </w:tcPr>
          <w:p w14:paraId="7B40CC5B" w14:textId="77777777" w:rsidR="00423E4F" w:rsidRPr="00C62AF1" w:rsidRDefault="00A5028B" w:rsidP="001C1C51">
            <w:pPr>
              <w:ind w:left="128"/>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Ne</w:t>
            </w:r>
          </w:p>
        </w:tc>
      </w:tr>
      <w:tr w:rsidR="00423E4F" w:rsidRPr="00F503C2" w14:paraId="26A343CF" w14:textId="77777777" w:rsidTr="00B32086">
        <w:trPr>
          <w:trHeight w:val="2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DFF0F9" w:themeFill="accent3" w:themeFillTint="33"/>
            <w:hideMark/>
          </w:tcPr>
          <w:p w14:paraId="3901F89F" w14:textId="77777777" w:rsidR="00423E4F" w:rsidRPr="00C62AF1" w:rsidRDefault="00423E4F" w:rsidP="0031220A">
            <w:pPr>
              <w:rPr>
                <w:rFonts w:asciiTheme="majorHAnsi" w:hAnsiTheme="majorHAnsi"/>
              </w:rPr>
            </w:pPr>
            <w:r w:rsidRPr="00C62AF1">
              <w:rPr>
                <w:rFonts w:asciiTheme="majorHAnsi" w:hAnsiTheme="majorHAnsi"/>
                <w:b/>
                <w:bCs/>
              </w:rPr>
              <w:t>Organizačně procesní dokumenty ŘO</w:t>
            </w:r>
          </w:p>
        </w:tc>
        <w:tc>
          <w:tcPr>
            <w:tcW w:w="0" w:type="auto"/>
            <w:shd w:val="clear" w:color="auto" w:fill="DFF0F9" w:themeFill="accent3" w:themeFillTint="33"/>
          </w:tcPr>
          <w:p w14:paraId="1BABBDF6" w14:textId="77777777" w:rsidR="00423E4F" w:rsidRPr="00C62AF1" w:rsidRDefault="00423E4F" w:rsidP="001C1C51">
            <w:pPr>
              <w:ind w:left="128"/>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p>
        </w:tc>
      </w:tr>
      <w:tr w:rsidR="00423E4F" w:rsidRPr="00F503C2" w14:paraId="306C541F" w14:textId="77777777" w:rsidTr="00B32086">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606D33F0" w14:textId="77777777" w:rsidR="00423E4F" w:rsidRPr="00C62AF1" w:rsidRDefault="00423E4F" w:rsidP="0031220A">
            <w:pPr>
              <w:rPr>
                <w:rFonts w:asciiTheme="majorHAnsi" w:hAnsiTheme="majorHAnsi"/>
                <w:color w:val="000000"/>
              </w:rPr>
            </w:pPr>
            <w:r w:rsidRPr="00C62AF1">
              <w:rPr>
                <w:rFonts w:asciiTheme="majorHAnsi" w:hAnsiTheme="majorHAnsi"/>
                <w:color w:val="000000"/>
              </w:rPr>
              <w:t>6</w:t>
            </w:r>
          </w:p>
        </w:tc>
        <w:tc>
          <w:tcPr>
            <w:tcW w:w="0" w:type="auto"/>
            <w:hideMark/>
          </w:tcPr>
          <w:p w14:paraId="586E72ED" w14:textId="77777777" w:rsidR="00423E4F" w:rsidRPr="00C62AF1" w:rsidRDefault="00423E4F" w:rsidP="0031220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62AF1">
              <w:rPr>
                <w:rFonts w:asciiTheme="majorHAnsi" w:hAnsiTheme="majorHAnsi"/>
              </w:rPr>
              <w:t>Organizační struktura MPO – řízení fondů (včetně kontaktů na řídící pracovníky)</w:t>
            </w:r>
          </w:p>
        </w:tc>
        <w:tc>
          <w:tcPr>
            <w:tcW w:w="0" w:type="auto"/>
          </w:tcPr>
          <w:p w14:paraId="203BC7CA" w14:textId="77777777" w:rsidR="00423E4F" w:rsidRPr="00C62AF1" w:rsidRDefault="00A5028B" w:rsidP="001C1C51">
            <w:pPr>
              <w:ind w:left="128"/>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Ano</w:t>
            </w:r>
          </w:p>
        </w:tc>
      </w:tr>
      <w:tr w:rsidR="00423E4F" w:rsidRPr="00F503C2" w14:paraId="5FDBC861" w14:textId="77777777" w:rsidTr="00B32086">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46E3E488" w14:textId="77777777" w:rsidR="00423E4F" w:rsidRPr="00C62AF1" w:rsidRDefault="00423E4F" w:rsidP="0031220A">
            <w:pPr>
              <w:rPr>
                <w:rFonts w:asciiTheme="majorHAnsi" w:hAnsiTheme="majorHAnsi"/>
                <w:color w:val="000000"/>
              </w:rPr>
            </w:pPr>
            <w:r w:rsidRPr="00C62AF1">
              <w:rPr>
                <w:rFonts w:asciiTheme="majorHAnsi" w:hAnsiTheme="majorHAnsi"/>
                <w:color w:val="000000"/>
              </w:rPr>
              <w:t>7</w:t>
            </w:r>
          </w:p>
        </w:tc>
        <w:tc>
          <w:tcPr>
            <w:tcW w:w="0" w:type="auto"/>
          </w:tcPr>
          <w:p w14:paraId="2FC302E2" w14:textId="77777777" w:rsidR="00423E4F" w:rsidRPr="00C62AF1" w:rsidRDefault="00423E4F" w:rsidP="0031220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62AF1">
              <w:rPr>
                <w:rFonts w:asciiTheme="majorHAnsi" w:hAnsiTheme="majorHAnsi"/>
              </w:rPr>
              <w:t>Detailní organizační struktura, resp. struktura funkčních míst (celkový počet zaměstnanců, počet zaměstnanců na jednotlivých pozicích, linie repor</w:t>
            </w:r>
            <w:r w:rsidR="006D1FA6">
              <w:rPr>
                <w:rFonts w:asciiTheme="majorHAnsi" w:hAnsiTheme="majorHAnsi"/>
              </w:rPr>
              <w:t>t</w:t>
            </w:r>
            <w:r w:rsidRPr="00C62AF1">
              <w:rPr>
                <w:rFonts w:asciiTheme="majorHAnsi" w:hAnsiTheme="majorHAnsi"/>
              </w:rPr>
              <w:t>ování)</w:t>
            </w:r>
          </w:p>
        </w:tc>
        <w:tc>
          <w:tcPr>
            <w:tcW w:w="0" w:type="auto"/>
          </w:tcPr>
          <w:p w14:paraId="67526AE5" w14:textId="77777777" w:rsidR="00423E4F" w:rsidRPr="009E1613" w:rsidRDefault="00A5028B" w:rsidP="001C1C51">
            <w:pPr>
              <w:ind w:left="128"/>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Pr>
                <w:rFonts w:asciiTheme="majorHAnsi" w:hAnsiTheme="majorHAnsi"/>
              </w:rPr>
              <w:t>Ano</w:t>
            </w:r>
          </w:p>
        </w:tc>
      </w:tr>
      <w:tr w:rsidR="00423E4F" w:rsidRPr="00F503C2" w14:paraId="1D9DDBEA" w14:textId="77777777" w:rsidTr="00B32086">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0DA30E61" w14:textId="77777777" w:rsidR="00423E4F" w:rsidRPr="00C62AF1" w:rsidRDefault="00423E4F" w:rsidP="0031220A">
            <w:pPr>
              <w:rPr>
                <w:rFonts w:asciiTheme="majorHAnsi" w:hAnsiTheme="majorHAnsi"/>
                <w:szCs w:val="18"/>
              </w:rPr>
            </w:pPr>
            <w:r w:rsidRPr="00C62AF1">
              <w:rPr>
                <w:rFonts w:asciiTheme="majorHAnsi" w:hAnsiTheme="majorHAnsi"/>
                <w:color w:val="000000"/>
                <w:szCs w:val="18"/>
              </w:rPr>
              <w:t>8</w:t>
            </w:r>
          </w:p>
        </w:tc>
        <w:tc>
          <w:tcPr>
            <w:tcW w:w="0" w:type="auto"/>
          </w:tcPr>
          <w:p w14:paraId="436B4A3F" w14:textId="77777777" w:rsidR="00423E4F" w:rsidRPr="00C62AF1" w:rsidRDefault="00423E4F" w:rsidP="0031220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62AF1">
              <w:rPr>
                <w:rFonts w:asciiTheme="majorHAnsi" w:hAnsiTheme="majorHAnsi"/>
              </w:rPr>
              <w:t>Popis pracovních pozic (pracovní náplně)</w:t>
            </w:r>
          </w:p>
        </w:tc>
        <w:tc>
          <w:tcPr>
            <w:tcW w:w="0" w:type="auto"/>
          </w:tcPr>
          <w:p w14:paraId="060C36C5" w14:textId="77777777" w:rsidR="00423E4F" w:rsidRPr="00C62AF1" w:rsidRDefault="009E1613" w:rsidP="001C1C51">
            <w:pPr>
              <w:ind w:left="128"/>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Ano</w:t>
            </w:r>
          </w:p>
        </w:tc>
      </w:tr>
      <w:tr w:rsidR="00423E4F" w:rsidRPr="00F503C2" w14:paraId="6D6CFAA9" w14:textId="77777777" w:rsidTr="00B32086">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4C0A6A43" w14:textId="77777777" w:rsidR="00423E4F" w:rsidRPr="00C62AF1" w:rsidRDefault="00423E4F" w:rsidP="0031220A">
            <w:pPr>
              <w:rPr>
                <w:rFonts w:asciiTheme="majorHAnsi" w:hAnsiTheme="majorHAnsi"/>
                <w:szCs w:val="18"/>
              </w:rPr>
            </w:pPr>
            <w:r w:rsidRPr="00C62AF1">
              <w:rPr>
                <w:rFonts w:asciiTheme="majorHAnsi" w:hAnsiTheme="majorHAnsi"/>
                <w:color w:val="000000"/>
              </w:rPr>
              <w:t>9</w:t>
            </w:r>
          </w:p>
        </w:tc>
        <w:tc>
          <w:tcPr>
            <w:tcW w:w="0" w:type="auto"/>
            <w:hideMark/>
          </w:tcPr>
          <w:p w14:paraId="469B6667" w14:textId="77777777" w:rsidR="00423E4F" w:rsidRPr="00C62AF1" w:rsidRDefault="00423E4F" w:rsidP="0031220A">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r w:rsidRPr="00C62AF1">
              <w:rPr>
                <w:rFonts w:asciiTheme="majorHAnsi" w:hAnsiTheme="majorHAnsi"/>
              </w:rPr>
              <w:t>Organizační řád MPO</w:t>
            </w:r>
          </w:p>
        </w:tc>
        <w:tc>
          <w:tcPr>
            <w:tcW w:w="0" w:type="auto"/>
          </w:tcPr>
          <w:p w14:paraId="52B463FE" w14:textId="77777777" w:rsidR="00423E4F" w:rsidRPr="00C62AF1" w:rsidRDefault="009E1613" w:rsidP="001C1C51">
            <w:pPr>
              <w:ind w:left="128"/>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Ano</w:t>
            </w:r>
          </w:p>
        </w:tc>
      </w:tr>
      <w:tr w:rsidR="00423E4F" w:rsidRPr="00F503C2" w14:paraId="71700D17" w14:textId="77777777" w:rsidTr="00B32086">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08D91B1C" w14:textId="77777777" w:rsidR="00423E4F" w:rsidRPr="00C62AF1" w:rsidRDefault="00423E4F" w:rsidP="0031220A">
            <w:pPr>
              <w:rPr>
                <w:rFonts w:asciiTheme="majorHAnsi" w:hAnsiTheme="majorHAnsi"/>
                <w:szCs w:val="18"/>
              </w:rPr>
            </w:pPr>
            <w:r w:rsidRPr="00C62AF1">
              <w:rPr>
                <w:rFonts w:asciiTheme="majorHAnsi" w:hAnsiTheme="majorHAnsi"/>
                <w:szCs w:val="18"/>
              </w:rPr>
              <w:t>10</w:t>
            </w:r>
          </w:p>
        </w:tc>
        <w:tc>
          <w:tcPr>
            <w:tcW w:w="0" w:type="auto"/>
            <w:hideMark/>
          </w:tcPr>
          <w:p w14:paraId="0BF1C270" w14:textId="77777777" w:rsidR="00423E4F" w:rsidRPr="00C62AF1" w:rsidRDefault="00423E4F" w:rsidP="0031220A">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r w:rsidRPr="00C62AF1">
              <w:rPr>
                <w:rFonts w:asciiTheme="majorHAnsi" w:hAnsiTheme="majorHAnsi"/>
              </w:rPr>
              <w:t>Další relevantní interní předpisy, směrnice a nařízení obsahující popisy procesů</w:t>
            </w:r>
          </w:p>
        </w:tc>
        <w:tc>
          <w:tcPr>
            <w:tcW w:w="0" w:type="auto"/>
          </w:tcPr>
          <w:p w14:paraId="54BCFE2E" w14:textId="77777777" w:rsidR="00423E4F" w:rsidRPr="00C62AF1" w:rsidRDefault="001C1C51" w:rsidP="001C1C51">
            <w:pPr>
              <w:ind w:left="128"/>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Ne</w:t>
            </w:r>
          </w:p>
        </w:tc>
      </w:tr>
      <w:tr w:rsidR="00423E4F" w:rsidRPr="00F503C2" w14:paraId="651E318B" w14:textId="77777777" w:rsidTr="00B32086">
        <w:trPr>
          <w:trHeight w:val="2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DFF0F9" w:themeFill="accent3" w:themeFillTint="33"/>
          </w:tcPr>
          <w:p w14:paraId="72B31826" w14:textId="77777777" w:rsidR="00423E4F" w:rsidRPr="00C62AF1" w:rsidRDefault="00423E4F" w:rsidP="0031220A">
            <w:pPr>
              <w:rPr>
                <w:rFonts w:asciiTheme="majorHAnsi" w:hAnsiTheme="majorHAnsi"/>
                <w:b/>
                <w:bCs/>
              </w:rPr>
            </w:pPr>
            <w:r w:rsidRPr="00C62AF1">
              <w:rPr>
                <w:rFonts w:asciiTheme="majorHAnsi" w:hAnsiTheme="majorHAnsi"/>
                <w:b/>
                <w:bCs/>
              </w:rPr>
              <w:t>Organizačně procesní dokumenty ZS</w:t>
            </w:r>
          </w:p>
        </w:tc>
        <w:tc>
          <w:tcPr>
            <w:tcW w:w="0" w:type="auto"/>
            <w:shd w:val="clear" w:color="auto" w:fill="DFF0F9" w:themeFill="accent3" w:themeFillTint="33"/>
          </w:tcPr>
          <w:p w14:paraId="5BB2601D" w14:textId="77777777" w:rsidR="00423E4F" w:rsidRPr="00C62AF1" w:rsidRDefault="00423E4F" w:rsidP="001C1C51">
            <w:pPr>
              <w:ind w:left="128"/>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p>
        </w:tc>
      </w:tr>
      <w:tr w:rsidR="00423E4F" w:rsidRPr="00F503C2" w14:paraId="08A3E894" w14:textId="77777777" w:rsidTr="00B32086">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525F88BF" w14:textId="77777777" w:rsidR="00423E4F" w:rsidRPr="00C62AF1" w:rsidRDefault="00423E4F" w:rsidP="0031220A">
            <w:pPr>
              <w:rPr>
                <w:rFonts w:asciiTheme="majorHAnsi" w:hAnsiTheme="majorHAnsi"/>
                <w:color w:val="000000"/>
                <w:szCs w:val="18"/>
              </w:rPr>
            </w:pPr>
          </w:p>
        </w:tc>
        <w:tc>
          <w:tcPr>
            <w:tcW w:w="0" w:type="auto"/>
          </w:tcPr>
          <w:p w14:paraId="360DECC4" w14:textId="77777777" w:rsidR="00423E4F" w:rsidRPr="00C62AF1" w:rsidRDefault="00423E4F" w:rsidP="0031220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62AF1">
              <w:rPr>
                <w:rFonts w:asciiTheme="majorHAnsi" w:hAnsiTheme="majorHAnsi"/>
              </w:rPr>
              <w:t xml:space="preserve">Viz 5-9 </w:t>
            </w:r>
          </w:p>
        </w:tc>
        <w:tc>
          <w:tcPr>
            <w:tcW w:w="0" w:type="auto"/>
          </w:tcPr>
          <w:p w14:paraId="4F40EBD3" w14:textId="77777777" w:rsidR="00423E4F" w:rsidRPr="00C62AF1" w:rsidRDefault="001C1C51" w:rsidP="001C1C51">
            <w:pPr>
              <w:ind w:left="128"/>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Ano</w:t>
            </w:r>
          </w:p>
        </w:tc>
      </w:tr>
      <w:tr w:rsidR="00423E4F" w:rsidRPr="00F503C2" w14:paraId="768C4F4A" w14:textId="77777777" w:rsidTr="00B32086">
        <w:trPr>
          <w:trHeight w:val="2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DFF0F9" w:themeFill="accent3" w:themeFillTint="33"/>
          </w:tcPr>
          <w:p w14:paraId="131E30F6" w14:textId="77777777" w:rsidR="00423E4F" w:rsidRPr="00C62AF1" w:rsidRDefault="00423E4F" w:rsidP="0031220A">
            <w:pPr>
              <w:rPr>
                <w:rFonts w:asciiTheme="majorHAnsi" w:hAnsiTheme="majorHAnsi"/>
                <w:b/>
                <w:bCs/>
              </w:rPr>
            </w:pPr>
            <w:r w:rsidRPr="00C62AF1">
              <w:rPr>
                <w:rFonts w:asciiTheme="majorHAnsi" w:hAnsiTheme="majorHAnsi"/>
                <w:b/>
                <w:bCs/>
              </w:rPr>
              <w:t>Personální a mzdová evidence</w:t>
            </w:r>
          </w:p>
        </w:tc>
        <w:tc>
          <w:tcPr>
            <w:tcW w:w="0" w:type="auto"/>
            <w:shd w:val="clear" w:color="auto" w:fill="DFF0F9" w:themeFill="accent3" w:themeFillTint="33"/>
          </w:tcPr>
          <w:p w14:paraId="084913E1" w14:textId="77777777" w:rsidR="00423E4F" w:rsidRPr="00C62AF1" w:rsidRDefault="00423E4F" w:rsidP="001C1C51">
            <w:pPr>
              <w:ind w:left="128"/>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p>
        </w:tc>
      </w:tr>
      <w:tr w:rsidR="00423E4F" w:rsidRPr="00F503C2" w14:paraId="542008F8" w14:textId="77777777" w:rsidTr="00B32086">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7FCABEB1" w14:textId="77777777" w:rsidR="00423E4F" w:rsidRPr="00C62AF1" w:rsidRDefault="00423E4F" w:rsidP="0031220A">
            <w:pPr>
              <w:rPr>
                <w:rFonts w:asciiTheme="majorHAnsi" w:hAnsiTheme="majorHAnsi"/>
                <w:color w:val="000000"/>
                <w:szCs w:val="18"/>
              </w:rPr>
            </w:pPr>
            <w:r w:rsidRPr="00C62AF1">
              <w:rPr>
                <w:rFonts w:asciiTheme="majorHAnsi" w:hAnsiTheme="majorHAnsi"/>
                <w:color w:val="000000"/>
                <w:szCs w:val="18"/>
              </w:rPr>
              <w:t>11</w:t>
            </w:r>
          </w:p>
        </w:tc>
        <w:tc>
          <w:tcPr>
            <w:tcW w:w="0" w:type="auto"/>
          </w:tcPr>
          <w:p w14:paraId="20029366" w14:textId="77777777" w:rsidR="00423E4F" w:rsidRPr="00C62AF1" w:rsidRDefault="00423E4F" w:rsidP="0031220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62AF1">
              <w:rPr>
                <w:rFonts w:asciiTheme="majorHAnsi" w:hAnsiTheme="majorHAnsi"/>
              </w:rPr>
              <w:t>HR evidence indikující pohyb zaměstnanců (přírůstky / úbytky) – pro vyhodnocení fluktuace a obsazenosti funkčních míst</w:t>
            </w:r>
          </w:p>
        </w:tc>
        <w:tc>
          <w:tcPr>
            <w:tcW w:w="0" w:type="auto"/>
          </w:tcPr>
          <w:p w14:paraId="1DDD76B7" w14:textId="66B95A18" w:rsidR="00423E4F" w:rsidRPr="00C62AF1" w:rsidRDefault="001C1C51" w:rsidP="00245031">
            <w:pPr>
              <w:ind w:left="128"/>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Ano </w:t>
            </w:r>
          </w:p>
        </w:tc>
      </w:tr>
      <w:tr w:rsidR="00423E4F" w:rsidRPr="00F503C2" w14:paraId="2D1BE1F6" w14:textId="77777777" w:rsidTr="00B32086">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6C04FEAA" w14:textId="77777777" w:rsidR="00423E4F" w:rsidRPr="00C62AF1" w:rsidRDefault="00423E4F" w:rsidP="0031220A">
            <w:pPr>
              <w:rPr>
                <w:rFonts w:asciiTheme="majorHAnsi" w:hAnsiTheme="majorHAnsi"/>
                <w:color w:val="000000"/>
                <w:szCs w:val="18"/>
              </w:rPr>
            </w:pPr>
            <w:r w:rsidRPr="00C62AF1">
              <w:rPr>
                <w:rFonts w:asciiTheme="majorHAnsi" w:hAnsiTheme="majorHAnsi"/>
                <w:color w:val="000000"/>
                <w:szCs w:val="18"/>
              </w:rPr>
              <w:t>12</w:t>
            </w:r>
          </w:p>
        </w:tc>
        <w:tc>
          <w:tcPr>
            <w:tcW w:w="0" w:type="auto"/>
          </w:tcPr>
          <w:p w14:paraId="16AAA12B" w14:textId="6FC22B26" w:rsidR="00423E4F" w:rsidRPr="00C62AF1" w:rsidRDefault="00423E4F" w:rsidP="0031220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62AF1">
              <w:rPr>
                <w:rFonts w:asciiTheme="majorHAnsi" w:hAnsiTheme="majorHAnsi"/>
              </w:rPr>
              <w:t>Mzdová evidence - indikující pracovní fond (počet odpracovaných hodin), případně související mzdové náklady</w:t>
            </w:r>
          </w:p>
        </w:tc>
        <w:tc>
          <w:tcPr>
            <w:tcW w:w="0" w:type="auto"/>
          </w:tcPr>
          <w:p w14:paraId="2AF5A732" w14:textId="06FE483F" w:rsidR="00423E4F" w:rsidRPr="00C62AF1" w:rsidRDefault="00DB09EC" w:rsidP="00245031">
            <w:pPr>
              <w:ind w:left="128"/>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Ano </w:t>
            </w:r>
          </w:p>
        </w:tc>
      </w:tr>
      <w:tr w:rsidR="00423E4F" w:rsidRPr="00F503C2" w14:paraId="46F527C9" w14:textId="77777777" w:rsidTr="00B32086">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21B86812" w14:textId="77777777" w:rsidR="00423E4F" w:rsidRPr="00C62AF1" w:rsidRDefault="00423E4F" w:rsidP="0031220A">
            <w:pPr>
              <w:rPr>
                <w:rFonts w:asciiTheme="majorHAnsi" w:hAnsiTheme="majorHAnsi"/>
                <w:color w:val="000000"/>
                <w:szCs w:val="18"/>
              </w:rPr>
            </w:pPr>
            <w:r w:rsidRPr="00C62AF1">
              <w:rPr>
                <w:rFonts w:asciiTheme="majorHAnsi" w:hAnsiTheme="majorHAnsi"/>
                <w:color w:val="000000"/>
                <w:szCs w:val="18"/>
              </w:rPr>
              <w:t>13</w:t>
            </w:r>
          </w:p>
        </w:tc>
        <w:tc>
          <w:tcPr>
            <w:tcW w:w="0" w:type="auto"/>
          </w:tcPr>
          <w:p w14:paraId="3A7D3BE1" w14:textId="77777777" w:rsidR="00423E4F" w:rsidRPr="00C62AF1" w:rsidRDefault="00423E4F" w:rsidP="0031220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62AF1">
              <w:rPr>
                <w:rFonts w:asciiTheme="majorHAnsi" w:hAnsiTheme="majorHAnsi"/>
              </w:rPr>
              <w:t>Souhrnné výkazy práce nebo jiná evidence, ze které bude vidět rozdělení činností (administrace žádostí, hodnocení žádostí, příprava rozhodnutí, administrace projektu, ŽoP, veřejné zakázky, změnová řízení atd.).</w:t>
            </w:r>
          </w:p>
        </w:tc>
        <w:tc>
          <w:tcPr>
            <w:tcW w:w="0" w:type="auto"/>
          </w:tcPr>
          <w:p w14:paraId="716EE932" w14:textId="64263AAD" w:rsidR="00423E4F" w:rsidRPr="00C62AF1" w:rsidRDefault="00B859F5" w:rsidP="001C1C51">
            <w:pPr>
              <w:ind w:left="128"/>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Ano</w:t>
            </w:r>
          </w:p>
        </w:tc>
      </w:tr>
      <w:tr w:rsidR="00423E4F" w:rsidRPr="00F503C2" w14:paraId="6A35AC2E" w14:textId="77777777" w:rsidTr="00B32086">
        <w:trPr>
          <w:trHeight w:val="2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DFF0F9" w:themeFill="accent3" w:themeFillTint="33"/>
            <w:hideMark/>
          </w:tcPr>
          <w:p w14:paraId="46043757" w14:textId="77777777" w:rsidR="00423E4F" w:rsidRPr="00C62AF1" w:rsidRDefault="00423E4F" w:rsidP="0031220A">
            <w:pPr>
              <w:rPr>
                <w:rFonts w:asciiTheme="majorHAnsi" w:hAnsiTheme="majorHAnsi"/>
              </w:rPr>
            </w:pPr>
            <w:r w:rsidRPr="00C62AF1">
              <w:rPr>
                <w:rFonts w:asciiTheme="majorHAnsi" w:hAnsiTheme="majorHAnsi"/>
                <w:b/>
                <w:bCs/>
              </w:rPr>
              <w:t>Předchozí šetření a zpětná vazba od žadatelů a příjemců</w:t>
            </w:r>
          </w:p>
        </w:tc>
        <w:tc>
          <w:tcPr>
            <w:tcW w:w="0" w:type="auto"/>
            <w:shd w:val="clear" w:color="auto" w:fill="DFF0F9" w:themeFill="accent3" w:themeFillTint="33"/>
          </w:tcPr>
          <w:p w14:paraId="2ACBDEF8" w14:textId="77777777" w:rsidR="00423E4F" w:rsidRPr="00C62AF1" w:rsidRDefault="00423E4F" w:rsidP="001C1C51">
            <w:pPr>
              <w:ind w:left="128"/>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p>
        </w:tc>
      </w:tr>
      <w:tr w:rsidR="00423E4F" w:rsidRPr="00F503C2" w14:paraId="51BC70E3" w14:textId="77777777" w:rsidTr="00B32086">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281B439E" w14:textId="77777777" w:rsidR="00423E4F" w:rsidRPr="00C62AF1" w:rsidRDefault="00423E4F" w:rsidP="0031220A">
            <w:pPr>
              <w:rPr>
                <w:rFonts w:asciiTheme="majorHAnsi" w:hAnsiTheme="majorHAnsi"/>
              </w:rPr>
            </w:pPr>
            <w:r w:rsidRPr="00C62AF1">
              <w:rPr>
                <w:rFonts w:asciiTheme="majorHAnsi" w:hAnsiTheme="majorHAnsi"/>
                <w:color w:val="000000"/>
              </w:rPr>
              <w:t>14</w:t>
            </w:r>
          </w:p>
        </w:tc>
        <w:tc>
          <w:tcPr>
            <w:tcW w:w="0" w:type="auto"/>
            <w:hideMark/>
          </w:tcPr>
          <w:p w14:paraId="38FDD53F" w14:textId="77777777" w:rsidR="00423E4F" w:rsidRPr="00C62AF1" w:rsidRDefault="00423E4F" w:rsidP="0031220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62AF1">
              <w:rPr>
                <w:rFonts w:asciiTheme="majorHAnsi" w:hAnsiTheme="majorHAnsi"/>
              </w:rPr>
              <w:t>Výsledky dotazníkových šetření realizovaných v rámci Výsledkových evaluací OP PIK</w:t>
            </w:r>
          </w:p>
        </w:tc>
        <w:tc>
          <w:tcPr>
            <w:tcW w:w="0" w:type="auto"/>
          </w:tcPr>
          <w:p w14:paraId="7CEAAB59" w14:textId="77777777" w:rsidR="00423E4F" w:rsidRPr="00C62AF1" w:rsidRDefault="00AE2AC3" w:rsidP="001C1C51">
            <w:pPr>
              <w:ind w:left="128"/>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Ano</w:t>
            </w:r>
          </w:p>
        </w:tc>
      </w:tr>
      <w:tr w:rsidR="00423E4F" w:rsidRPr="00F503C2" w14:paraId="647289DE" w14:textId="77777777" w:rsidTr="00B32086">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4543A289" w14:textId="77777777" w:rsidR="00423E4F" w:rsidRPr="00C62AF1" w:rsidRDefault="00423E4F" w:rsidP="0031220A">
            <w:pPr>
              <w:rPr>
                <w:rFonts w:asciiTheme="majorHAnsi" w:hAnsiTheme="majorHAnsi"/>
              </w:rPr>
            </w:pPr>
            <w:r w:rsidRPr="00C62AF1">
              <w:rPr>
                <w:rFonts w:asciiTheme="majorHAnsi" w:hAnsiTheme="majorHAnsi"/>
                <w:color w:val="000000"/>
              </w:rPr>
              <w:t>15</w:t>
            </w:r>
          </w:p>
        </w:tc>
        <w:tc>
          <w:tcPr>
            <w:tcW w:w="0" w:type="auto"/>
            <w:hideMark/>
          </w:tcPr>
          <w:p w14:paraId="4EBF3517" w14:textId="77777777" w:rsidR="00423E4F" w:rsidRPr="00C62AF1" w:rsidRDefault="00423E4F" w:rsidP="0031220A">
            <w:pP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r w:rsidRPr="00C62AF1">
              <w:rPr>
                <w:rFonts w:asciiTheme="majorHAnsi" w:hAnsiTheme="majorHAnsi"/>
              </w:rPr>
              <w:t>Stížnosti žadatelů a příjemců zaslané na API nebo MPO</w:t>
            </w:r>
          </w:p>
        </w:tc>
        <w:tc>
          <w:tcPr>
            <w:tcW w:w="0" w:type="auto"/>
          </w:tcPr>
          <w:p w14:paraId="18648C99" w14:textId="77777777" w:rsidR="00423E4F" w:rsidRPr="00C62AF1" w:rsidRDefault="00AE2AC3" w:rsidP="001C1C51">
            <w:pPr>
              <w:ind w:left="128"/>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Ano </w:t>
            </w:r>
          </w:p>
        </w:tc>
      </w:tr>
      <w:tr w:rsidR="00423E4F" w:rsidRPr="00F503C2" w14:paraId="3973F791" w14:textId="77777777" w:rsidTr="00B32086">
        <w:trPr>
          <w:trHeight w:val="2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DFF0F9" w:themeFill="accent3" w:themeFillTint="33"/>
            <w:hideMark/>
          </w:tcPr>
          <w:p w14:paraId="19200402" w14:textId="77777777" w:rsidR="00423E4F" w:rsidRPr="00C62AF1" w:rsidRDefault="00423E4F" w:rsidP="0031220A">
            <w:pPr>
              <w:rPr>
                <w:rFonts w:asciiTheme="majorHAnsi" w:hAnsiTheme="majorHAnsi"/>
              </w:rPr>
            </w:pPr>
            <w:r w:rsidRPr="00C62AF1">
              <w:rPr>
                <w:rFonts w:asciiTheme="majorHAnsi" w:hAnsiTheme="majorHAnsi"/>
                <w:b/>
                <w:bCs/>
              </w:rPr>
              <w:t>Další zdroje dat</w:t>
            </w:r>
          </w:p>
        </w:tc>
        <w:tc>
          <w:tcPr>
            <w:tcW w:w="0" w:type="auto"/>
            <w:shd w:val="clear" w:color="auto" w:fill="DFF0F9" w:themeFill="accent3" w:themeFillTint="33"/>
          </w:tcPr>
          <w:p w14:paraId="7C468BF4" w14:textId="77777777" w:rsidR="00423E4F" w:rsidRPr="00C62AF1" w:rsidRDefault="00423E4F" w:rsidP="001C1C51">
            <w:pPr>
              <w:ind w:left="128"/>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p>
        </w:tc>
      </w:tr>
      <w:tr w:rsidR="00423E4F" w:rsidRPr="00F503C2" w14:paraId="0130E2B2" w14:textId="77777777" w:rsidTr="00B32086">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30ED4D1E" w14:textId="77777777" w:rsidR="00423E4F" w:rsidRPr="00C62AF1" w:rsidRDefault="00423E4F" w:rsidP="0031220A">
            <w:pPr>
              <w:rPr>
                <w:rFonts w:asciiTheme="majorHAnsi" w:hAnsiTheme="majorHAnsi"/>
              </w:rPr>
            </w:pPr>
            <w:r w:rsidRPr="00C62AF1">
              <w:rPr>
                <w:rFonts w:asciiTheme="majorHAnsi" w:hAnsiTheme="majorHAnsi"/>
                <w:color w:val="000000"/>
              </w:rPr>
              <w:t>16</w:t>
            </w:r>
          </w:p>
        </w:tc>
        <w:tc>
          <w:tcPr>
            <w:tcW w:w="0" w:type="auto"/>
            <w:hideMark/>
          </w:tcPr>
          <w:p w14:paraId="1AB450C4" w14:textId="77777777" w:rsidR="00423E4F" w:rsidRPr="00C62AF1" w:rsidRDefault="00423E4F" w:rsidP="00DF08E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62AF1">
              <w:rPr>
                <w:rFonts w:asciiTheme="majorHAnsi" w:hAnsiTheme="majorHAnsi"/>
              </w:rPr>
              <w:t>Data z MS2014+ (datové sady b</w:t>
            </w:r>
            <w:r>
              <w:rPr>
                <w:rFonts w:asciiTheme="majorHAnsi" w:hAnsiTheme="majorHAnsi"/>
              </w:rPr>
              <w:t>yly</w:t>
            </w:r>
            <w:r w:rsidRPr="00C62AF1">
              <w:rPr>
                <w:rFonts w:asciiTheme="majorHAnsi" w:hAnsiTheme="majorHAnsi"/>
              </w:rPr>
              <w:t xml:space="preserve"> stanoveny </w:t>
            </w:r>
            <w:r>
              <w:rPr>
                <w:rFonts w:asciiTheme="majorHAnsi" w:hAnsiTheme="majorHAnsi"/>
              </w:rPr>
              <w:t>Dodavatelem</w:t>
            </w:r>
            <w:r w:rsidRPr="00C62AF1">
              <w:rPr>
                <w:rFonts w:asciiTheme="majorHAnsi" w:hAnsiTheme="majorHAnsi"/>
              </w:rPr>
              <w:t xml:space="preserve"> po kick-off schůzce) – četnost, lhůty, chybovost, atd.</w:t>
            </w:r>
          </w:p>
        </w:tc>
        <w:tc>
          <w:tcPr>
            <w:tcW w:w="0" w:type="auto"/>
          </w:tcPr>
          <w:p w14:paraId="128B3304" w14:textId="77777777" w:rsidR="00423E4F" w:rsidRPr="00C62AF1" w:rsidRDefault="00A60154" w:rsidP="001C1C51">
            <w:pPr>
              <w:ind w:left="128"/>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Bude připraven datový požadavek v další fázi</w:t>
            </w:r>
          </w:p>
        </w:tc>
      </w:tr>
      <w:tr w:rsidR="00423E4F" w:rsidRPr="00F503C2" w14:paraId="1EB39E0F" w14:textId="77777777" w:rsidTr="00B32086">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4B7569A8" w14:textId="77777777" w:rsidR="00423E4F" w:rsidRPr="00C62AF1" w:rsidRDefault="00423E4F" w:rsidP="0031220A">
            <w:pPr>
              <w:rPr>
                <w:rFonts w:asciiTheme="majorHAnsi" w:hAnsiTheme="majorHAnsi"/>
              </w:rPr>
            </w:pPr>
            <w:r w:rsidRPr="00C62AF1">
              <w:rPr>
                <w:rFonts w:asciiTheme="majorHAnsi" w:hAnsiTheme="majorHAnsi"/>
              </w:rPr>
              <w:t>17</w:t>
            </w:r>
          </w:p>
        </w:tc>
        <w:tc>
          <w:tcPr>
            <w:tcW w:w="0" w:type="auto"/>
            <w:hideMark/>
          </w:tcPr>
          <w:p w14:paraId="72632533" w14:textId="77777777" w:rsidR="00423E4F" w:rsidRPr="00C62AF1" w:rsidRDefault="00423E4F" w:rsidP="0031220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62AF1">
              <w:rPr>
                <w:rFonts w:asciiTheme="majorHAnsi" w:hAnsiTheme="majorHAnsi"/>
              </w:rPr>
              <w:t>Zprávy EK k čerpání OP PIK</w:t>
            </w:r>
          </w:p>
        </w:tc>
        <w:tc>
          <w:tcPr>
            <w:tcW w:w="0" w:type="auto"/>
          </w:tcPr>
          <w:p w14:paraId="609712A8" w14:textId="77777777" w:rsidR="00423E4F" w:rsidRPr="00C62AF1" w:rsidRDefault="00AE2AC3" w:rsidP="001C1C51">
            <w:pPr>
              <w:ind w:left="128"/>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Ano</w:t>
            </w:r>
          </w:p>
        </w:tc>
      </w:tr>
      <w:tr w:rsidR="00245031" w:rsidRPr="00F503C2" w14:paraId="722E3E91" w14:textId="77777777" w:rsidTr="00B32086">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6BC375EB" w14:textId="77777777" w:rsidR="00245031" w:rsidRPr="00C62AF1" w:rsidRDefault="00245031" w:rsidP="0031220A">
            <w:pPr>
              <w:rPr>
                <w:rFonts w:asciiTheme="majorHAnsi" w:hAnsiTheme="majorHAnsi"/>
              </w:rPr>
            </w:pPr>
            <w:r>
              <w:rPr>
                <w:rFonts w:asciiTheme="majorHAnsi" w:hAnsiTheme="majorHAnsi"/>
              </w:rPr>
              <w:t>18</w:t>
            </w:r>
          </w:p>
        </w:tc>
        <w:tc>
          <w:tcPr>
            <w:tcW w:w="0" w:type="auto"/>
          </w:tcPr>
          <w:p w14:paraId="448FBBB8" w14:textId="77777777" w:rsidR="00245031" w:rsidRPr="00C62AF1" w:rsidRDefault="00245031" w:rsidP="0031220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Audit EK 2017</w:t>
            </w:r>
          </w:p>
        </w:tc>
        <w:tc>
          <w:tcPr>
            <w:tcW w:w="0" w:type="auto"/>
          </w:tcPr>
          <w:p w14:paraId="59216BB7" w14:textId="77777777" w:rsidR="00245031" w:rsidRDefault="00245031" w:rsidP="001C1C51">
            <w:pPr>
              <w:ind w:left="128"/>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Ano</w:t>
            </w:r>
          </w:p>
        </w:tc>
      </w:tr>
      <w:tr w:rsidR="00245031" w:rsidRPr="00F503C2" w14:paraId="144991C2" w14:textId="77777777" w:rsidTr="00B32086">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732340E0" w14:textId="77777777" w:rsidR="00245031" w:rsidRDefault="00245031" w:rsidP="0031220A">
            <w:pPr>
              <w:rPr>
                <w:rFonts w:asciiTheme="majorHAnsi" w:hAnsiTheme="majorHAnsi"/>
              </w:rPr>
            </w:pPr>
            <w:r>
              <w:rPr>
                <w:rFonts w:asciiTheme="majorHAnsi" w:hAnsiTheme="majorHAnsi"/>
              </w:rPr>
              <w:t>19</w:t>
            </w:r>
          </w:p>
        </w:tc>
        <w:tc>
          <w:tcPr>
            <w:tcW w:w="0" w:type="auto"/>
          </w:tcPr>
          <w:p w14:paraId="2A7CC97D" w14:textId="77777777" w:rsidR="00245031" w:rsidRDefault="00245031" w:rsidP="0031220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Audit systému OPPIK 2018, Protokol kontroly PCO - Ministerstvo financí ČR</w:t>
            </w:r>
          </w:p>
        </w:tc>
        <w:tc>
          <w:tcPr>
            <w:tcW w:w="0" w:type="auto"/>
          </w:tcPr>
          <w:p w14:paraId="104A7A7C" w14:textId="77777777" w:rsidR="00245031" w:rsidRDefault="00245031" w:rsidP="001C1C51">
            <w:pPr>
              <w:ind w:left="128"/>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Ano</w:t>
            </w:r>
          </w:p>
        </w:tc>
      </w:tr>
      <w:tr w:rsidR="00423E4F" w:rsidRPr="00F503C2" w14:paraId="69D4F1EC" w14:textId="77777777" w:rsidTr="00B32086">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6569877B" w14:textId="77777777" w:rsidR="00423E4F" w:rsidRPr="00C62AF1" w:rsidRDefault="005F4D64" w:rsidP="0031220A">
            <w:pPr>
              <w:rPr>
                <w:rFonts w:asciiTheme="majorHAnsi" w:hAnsiTheme="majorHAnsi"/>
              </w:rPr>
            </w:pPr>
            <w:r>
              <w:rPr>
                <w:rFonts w:asciiTheme="majorHAnsi" w:hAnsiTheme="majorHAnsi"/>
              </w:rPr>
              <w:t>20</w:t>
            </w:r>
          </w:p>
        </w:tc>
        <w:tc>
          <w:tcPr>
            <w:tcW w:w="0" w:type="auto"/>
            <w:hideMark/>
          </w:tcPr>
          <w:p w14:paraId="1C7F68E1" w14:textId="29A5FBFB" w:rsidR="00423E4F" w:rsidRPr="00C62AF1" w:rsidRDefault="00423E4F" w:rsidP="00E00C0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62AF1">
              <w:rPr>
                <w:rFonts w:asciiTheme="majorHAnsi" w:hAnsiTheme="majorHAnsi"/>
              </w:rPr>
              <w:t xml:space="preserve">Detailní Zprávy z kontrol NKÚ </w:t>
            </w:r>
          </w:p>
        </w:tc>
        <w:tc>
          <w:tcPr>
            <w:tcW w:w="0" w:type="auto"/>
          </w:tcPr>
          <w:p w14:paraId="5EE7487E" w14:textId="5FC08CB2" w:rsidR="00423E4F" w:rsidRPr="00C62AF1" w:rsidRDefault="00E00C06" w:rsidP="001C1C51">
            <w:pPr>
              <w:ind w:left="128"/>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Ano</w:t>
            </w:r>
          </w:p>
        </w:tc>
      </w:tr>
    </w:tbl>
    <w:p w14:paraId="2951D702" w14:textId="77777777" w:rsidR="00AC55EB" w:rsidRDefault="00AC55EB" w:rsidP="00AC55EB">
      <w:pPr>
        <w:pStyle w:val="Nadpis2"/>
        <w:numPr>
          <w:ilvl w:val="0"/>
          <w:numId w:val="0"/>
        </w:numPr>
      </w:pPr>
      <w:r>
        <w:br w:type="page"/>
      </w:r>
    </w:p>
    <w:p w14:paraId="43B22D43" w14:textId="77777777" w:rsidR="002E4237" w:rsidRDefault="00C37417" w:rsidP="00C62AF1">
      <w:pPr>
        <w:pStyle w:val="Nadpis1"/>
        <w:numPr>
          <w:ilvl w:val="0"/>
          <w:numId w:val="0"/>
        </w:numPr>
      </w:pPr>
      <w:bookmarkStart w:id="50" w:name="_Toc25228660"/>
      <w:r w:rsidRPr="006062A7">
        <w:lastRenderedPageBreak/>
        <w:t xml:space="preserve">Příloha </w:t>
      </w:r>
      <w:r w:rsidR="000276B9" w:rsidRPr="006062A7">
        <w:t>2</w:t>
      </w:r>
      <w:r w:rsidRPr="006062A7">
        <w:t xml:space="preserve">: </w:t>
      </w:r>
      <w:r w:rsidR="006062A7">
        <w:t>Evaluační otázky pro zodpovězení v rámci jednotlivých eval</w:t>
      </w:r>
      <w:r w:rsidR="0092664E" w:rsidRPr="006062A7">
        <w:t>uačních metod</w:t>
      </w:r>
      <w:bookmarkEnd w:id="50"/>
    </w:p>
    <w:p w14:paraId="257F2C66" w14:textId="77777777" w:rsidR="00E93F30" w:rsidRDefault="00E93F30" w:rsidP="00E93F30">
      <w:pPr>
        <w:rPr>
          <w:highlight w:val="yellow"/>
        </w:rPr>
      </w:pPr>
    </w:p>
    <w:p w14:paraId="1AD6FC5B" w14:textId="77777777" w:rsidR="00C62AF1" w:rsidRPr="00C62AF1" w:rsidRDefault="00C62AF1" w:rsidP="00C62AF1">
      <w:pPr>
        <w:pStyle w:val="Highlight1"/>
      </w:pPr>
      <w:r w:rsidRPr="00C62AF1">
        <w:t>Dotazníkové šetření</w:t>
      </w:r>
    </w:p>
    <w:p w14:paraId="449BE47C" w14:textId="77777777" w:rsidR="00C62AF1" w:rsidRDefault="00C62AF1" w:rsidP="00E93F30">
      <w:pPr>
        <w:rPr>
          <w:highlight w:val="yellow"/>
        </w:rPr>
      </w:pPr>
    </w:p>
    <w:p w14:paraId="2B993015" w14:textId="77777777" w:rsidR="00D338E3" w:rsidRDefault="00D338E3" w:rsidP="008C286A">
      <w:pPr>
        <w:pStyle w:val="Titulek"/>
        <w:jc w:val="center"/>
      </w:pPr>
      <w:bookmarkStart w:id="51" w:name="_Toc24384741"/>
      <w:r>
        <w:t xml:space="preserve">Tabulka </w:t>
      </w:r>
      <w:r>
        <w:fldChar w:fldCharType="begin"/>
      </w:r>
      <w:r>
        <w:instrText xml:space="preserve"> SEQ Tabulka \* ARABIC </w:instrText>
      </w:r>
      <w:r>
        <w:fldChar w:fldCharType="separate"/>
      </w:r>
      <w:r w:rsidR="00E93151">
        <w:rPr>
          <w:noProof/>
        </w:rPr>
        <w:t>15</w:t>
      </w:r>
      <w:r>
        <w:fldChar w:fldCharType="end"/>
      </w:r>
      <w:r w:rsidR="008C286A">
        <w:t>:</w:t>
      </w:r>
      <w:r>
        <w:t xml:space="preserve"> </w:t>
      </w:r>
      <w:r w:rsidR="008C286A">
        <w:t>Okruh</w:t>
      </w:r>
      <w:r>
        <w:t xml:space="preserve"> otázek dotazníkového šetření</w:t>
      </w:r>
      <w:bookmarkEnd w:id="51"/>
    </w:p>
    <w:tbl>
      <w:tblPr>
        <w:tblStyle w:val="Deloittetable21"/>
        <w:tblW w:w="0" w:type="auto"/>
        <w:tblLook w:val="04A0" w:firstRow="1" w:lastRow="0" w:firstColumn="1" w:lastColumn="0" w:noHBand="0" w:noVBand="1"/>
      </w:tblPr>
      <w:tblGrid>
        <w:gridCol w:w="728"/>
        <w:gridCol w:w="9364"/>
      </w:tblGrid>
      <w:tr w:rsidR="00C62AF1" w14:paraId="75B33F23" w14:textId="77777777" w:rsidTr="00D849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8" w:type="dxa"/>
          </w:tcPr>
          <w:p w14:paraId="2ED65099" w14:textId="77777777" w:rsidR="00C62AF1" w:rsidRPr="00DD613F" w:rsidRDefault="00C62AF1" w:rsidP="00C62AF1">
            <w:pPr>
              <w:jc w:val="center"/>
              <w:rPr>
                <w:szCs w:val="18"/>
              </w:rPr>
            </w:pPr>
            <w:r w:rsidRPr="00DD613F">
              <w:rPr>
                <w:szCs w:val="18"/>
              </w:rPr>
              <w:t>Kód otázky</w:t>
            </w:r>
          </w:p>
        </w:tc>
        <w:tc>
          <w:tcPr>
            <w:tcW w:w="9364" w:type="dxa"/>
          </w:tcPr>
          <w:p w14:paraId="6EDED58C" w14:textId="77777777" w:rsidR="00C62AF1" w:rsidRDefault="00C62AF1" w:rsidP="00C62AF1">
            <w:pPr>
              <w:jc w:val="both"/>
              <w:cnfStyle w:val="100000000000" w:firstRow="1" w:lastRow="0" w:firstColumn="0" w:lastColumn="0" w:oddVBand="0" w:evenVBand="0" w:oddHBand="0" w:evenHBand="0" w:firstRowFirstColumn="0" w:firstRowLastColumn="0" w:lastRowFirstColumn="0" w:lastRowLastColumn="0"/>
              <w:rPr>
                <w:szCs w:val="18"/>
              </w:rPr>
            </w:pPr>
            <w:r>
              <w:rPr>
                <w:szCs w:val="18"/>
              </w:rPr>
              <w:t>Otázka</w:t>
            </w:r>
          </w:p>
        </w:tc>
      </w:tr>
      <w:tr w:rsidR="00C62AF1" w:rsidRPr="00DD613F" w14:paraId="5902E37B" w14:textId="77777777" w:rsidTr="00D84996">
        <w:tc>
          <w:tcPr>
            <w:cnfStyle w:val="001000000000" w:firstRow="0" w:lastRow="0" w:firstColumn="1" w:lastColumn="0" w:oddVBand="0" w:evenVBand="0" w:oddHBand="0" w:evenHBand="0" w:firstRowFirstColumn="0" w:firstRowLastColumn="0" w:lastRowFirstColumn="0" w:lastRowLastColumn="0"/>
            <w:tcW w:w="728" w:type="dxa"/>
          </w:tcPr>
          <w:p w14:paraId="788A157A" w14:textId="77777777" w:rsidR="00C62AF1" w:rsidRPr="00DD613F" w:rsidRDefault="00C62AF1" w:rsidP="00C62AF1">
            <w:pPr>
              <w:jc w:val="center"/>
              <w:rPr>
                <w:b/>
                <w:szCs w:val="18"/>
              </w:rPr>
            </w:pPr>
            <w:r w:rsidRPr="00DD613F">
              <w:rPr>
                <w:b/>
                <w:szCs w:val="18"/>
              </w:rPr>
              <w:t>A2</w:t>
            </w:r>
          </w:p>
        </w:tc>
        <w:tc>
          <w:tcPr>
            <w:tcW w:w="9364" w:type="dxa"/>
          </w:tcPr>
          <w:p w14:paraId="6466DB96" w14:textId="16CB7F4A" w:rsidR="00C62AF1" w:rsidRPr="00DD613F" w:rsidRDefault="00C62AF1" w:rsidP="002E28DF">
            <w:pPr>
              <w:jc w:val="both"/>
              <w:cnfStyle w:val="000000000000" w:firstRow="0" w:lastRow="0" w:firstColumn="0" w:lastColumn="0" w:oddVBand="0" w:evenVBand="0" w:oddHBand="0" w:evenHBand="0" w:firstRowFirstColumn="0" w:firstRowLastColumn="0" w:lastRowFirstColumn="0" w:lastRowLastColumn="0"/>
              <w:rPr>
                <w:szCs w:val="18"/>
              </w:rPr>
            </w:pPr>
            <w:r w:rsidRPr="00DD613F">
              <w:rPr>
                <w:szCs w:val="18"/>
              </w:rPr>
              <w:t>Jsou v metodickém prostředí OP PIK uplatňovány procesy či jejich části, které lze označit jako nadbytečné? Nadbytečné procesy budou rozděleny na ty, které vyplývají platné legislativy a Jednotného metodického prostředí (dále jen „JMP“), a ty, které jdou nad rámec požadavků platné legislativy a JMP.</w:t>
            </w:r>
          </w:p>
        </w:tc>
      </w:tr>
      <w:tr w:rsidR="00C62AF1" w:rsidRPr="00DD613F" w14:paraId="367DB4AB" w14:textId="77777777" w:rsidTr="00D84996">
        <w:tc>
          <w:tcPr>
            <w:cnfStyle w:val="001000000000" w:firstRow="0" w:lastRow="0" w:firstColumn="1" w:lastColumn="0" w:oddVBand="0" w:evenVBand="0" w:oddHBand="0" w:evenHBand="0" w:firstRowFirstColumn="0" w:firstRowLastColumn="0" w:lastRowFirstColumn="0" w:lastRowLastColumn="0"/>
            <w:tcW w:w="728" w:type="dxa"/>
          </w:tcPr>
          <w:p w14:paraId="5EDDC54A" w14:textId="77777777" w:rsidR="00C62AF1" w:rsidRPr="00DD613F" w:rsidRDefault="00C62AF1" w:rsidP="00C62AF1">
            <w:pPr>
              <w:jc w:val="center"/>
              <w:rPr>
                <w:b/>
                <w:szCs w:val="18"/>
              </w:rPr>
            </w:pPr>
            <w:r w:rsidRPr="00DD613F">
              <w:rPr>
                <w:b/>
                <w:szCs w:val="18"/>
              </w:rPr>
              <w:t>A3</w:t>
            </w:r>
          </w:p>
        </w:tc>
        <w:tc>
          <w:tcPr>
            <w:tcW w:w="9364" w:type="dxa"/>
          </w:tcPr>
          <w:p w14:paraId="7CE69F64" w14:textId="77777777" w:rsidR="00C62AF1" w:rsidRPr="00DD613F" w:rsidRDefault="00C62AF1" w:rsidP="00C62AF1">
            <w:pPr>
              <w:jc w:val="both"/>
              <w:cnfStyle w:val="000000000000" w:firstRow="0" w:lastRow="0" w:firstColumn="0" w:lastColumn="0" w:oddVBand="0" w:evenVBand="0" w:oddHBand="0" w:evenHBand="0" w:firstRowFirstColumn="0" w:firstRowLastColumn="0" w:lastRowFirstColumn="0" w:lastRowLastColumn="0"/>
              <w:rPr>
                <w:szCs w:val="18"/>
              </w:rPr>
            </w:pPr>
            <w:r w:rsidRPr="00DD613F">
              <w:rPr>
                <w:szCs w:val="18"/>
              </w:rPr>
              <w:t xml:space="preserve">Z čeho vyplývá potřeba provádění nadbytečných procesů? Přetrvává tato potřeba? </w:t>
            </w:r>
          </w:p>
        </w:tc>
      </w:tr>
      <w:tr w:rsidR="00C62AF1" w:rsidRPr="00DD613F" w14:paraId="5FAF9FA3" w14:textId="77777777" w:rsidTr="00D84996">
        <w:tc>
          <w:tcPr>
            <w:cnfStyle w:val="001000000000" w:firstRow="0" w:lastRow="0" w:firstColumn="1" w:lastColumn="0" w:oddVBand="0" w:evenVBand="0" w:oddHBand="0" w:evenHBand="0" w:firstRowFirstColumn="0" w:firstRowLastColumn="0" w:lastRowFirstColumn="0" w:lastRowLastColumn="0"/>
            <w:tcW w:w="728" w:type="dxa"/>
          </w:tcPr>
          <w:p w14:paraId="0F88C8FC" w14:textId="77777777" w:rsidR="00C62AF1" w:rsidRPr="00DD613F" w:rsidRDefault="00C62AF1" w:rsidP="00C62AF1">
            <w:pPr>
              <w:jc w:val="center"/>
              <w:rPr>
                <w:b/>
                <w:szCs w:val="18"/>
              </w:rPr>
            </w:pPr>
            <w:r w:rsidRPr="00DD613F">
              <w:rPr>
                <w:b/>
                <w:szCs w:val="18"/>
              </w:rPr>
              <w:t>A6</w:t>
            </w:r>
          </w:p>
        </w:tc>
        <w:tc>
          <w:tcPr>
            <w:tcW w:w="9364" w:type="dxa"/>
          </w:tcPr>
          <w:p w14:paraId="0D931C41" w14:textId="77777777" w:rsidR="00C62AF1" w:rsidRPr="00DD613F" w:rsidRDefault="00C62AF1" w:rsidP="00C62AF1">
            <w:pPr>
              <w:jc w:val="both"/>
              <w:cnfStyle w:val="000000000000" w:firstRow="0" w:lastRow="0" w:firstColumn="0" w:lastColumn="0" w:oddVBand="0" w:evenVBand="0" w:oddHBand="0" w:evenHBand="0" w:firstRowFirstColumn="0" w:firstRowLastColumn="0" w:lastRowFirstColumn="0" w:lastRowLastColumn="0"/>
              <w:rPr>
                <w:szCs w:val="18"/>
              </w:rPr>
            </w:pPr>
            <w:r w:rsidRPr="00DD613F">
              <w:rPr>
                <w:szCs w:val="18"/>
              </w:rPr>
              <w:t xml:space="preserve">Neobsahuje metodické prostředí OP PIK tzv. hluchá místa, tedy situaci, kdy platná metodika danou problematiku vůbec neupravuje? </w:t>
            </w:r>
          </w:p>
        </w:tc>
      </w:tr>
      <w:tr w:rsidR="00C62AF1" w:rsidRPr="00DD613F" w14:paraId="656CEC04" w14:textId="77777777" w:rsidTr="00D84996">
        <w:tc>
          <w:tcPr>
            <w:cnfStyle w:val="001000000000" w:firstRow="0" w:lastRow="0" w:firstColumn="1" w:lastColumn="0" w:oddVBand="0" w:evenVBand="0" w:oddHBand="0" w:evenHBand="0" w:firstRowFirstColumn="0" w:firstRowLastColumn="0" w:lastRowFirstColumn="0" w:lastRowLastColumn="0"/>
            <w:tcW w:w="728" w:type="dxa"/>
          </w:tcPr>
          <w:p w14:paraId="6F8C08A1" w14:textId="77777777" w:rsidR="00C62AF1" w:rsidRPr="00DD613F" w:rsidRDefault="00C62AF1" w:rsidP="00C62AF1">
            <w:pPr>
              <w:jc w:val="center"/>
              <w:rPr>
                <w:b/>
                <w:szCs w:val="18"/>
              </w:rPr>
            </w:pPr>
            <w:r w:rsidRPr="00DD613F">
              <w:rPr>
                <w:b/>
                <w:szCs w:val="18"/>
              </w:rPr>
              <w:t>B1</w:t>
            </w:r>
          </w:p>
        </w:tc>
        <w:tc>
          <w:tcPr>
            <w:tcW w:w="9364" w:type="dxa"/>
          </w:tcPr>
          <w:p w14:paraId="6A33EF36" w14:textId="7AD54541" w:rsidR="00C62AF1" w:rsidRPr="00DD613F" w:rsidRDefault="00C62AF1" w:rsidP="002763B0">
            <w:pPr>
              <w:jc w:val="both"/>
              <w:cnfStyle w:val="000000000000" w:firstRow="0" w:lastRow="0" w:firstColumn="0" w:lastColumn="0" w:oddVBand="0" w:evenVBand="0" w:oddHBand="0" w:evenHBand="0" w:firstRowFirstColumn="0" w:firstRowLastColumn="0" w:lastRowFirstColumn="0" w:lastRowLastColumn="0"/>
              <w:rPr>
                <w:szCs w:val="18"/>
              </w:rPr>
            </w:pPr>
            <w:r w:rsidRPr="00DD613F">
              <w:rPr>
                <w:szCs w:val="18"/>
              </w:rPr>
              <w:t xml:space="preserve">Jaká jsou slabá místa a klíčové problémy vyskytující se v implementačních procesech z pohledu pracovníků implementační struktury? </w:t>
            </w:r>
          </w:p>
        </w:tc>
      </w:tr>
      <w:tr w:rsidR="00C62AF1" w:rsidRPr="00DD613F" w14:paraId="009CE4F3" w14:textId="77777777" w:rsidTr="00D84996">
        <w:tc>
          <w:tcPr>
            <w:cnfStyle w:val="001000000000" w:firstRow="0" w:lastRow="0" w:firstColumn="1" w:lastColumn="0" w:oddVBand="0" w:evenVBand="0" w:oddHBand="0" w:evenHBand="0" w:firstRowFirstColumn="0" w:firstRowLastColumn="0" w:lastRowFirstColumn="0" w:lastRowLastColumn="0"/>
            <w:tcW w:w="728" w:type="dxa"/>
          </w:tcPr>
          <w:p w14:paraId="1EA749E5" w14:textId="77777777" w:rsidR="00C62AF1" w:rsidRPr="00DD613F" w:rsidRDefault="00C62AF1" w:rsidP="00C62AF1">
            <w:pPr>
              <w:jc w:val="center"/>
              <w:rPr>
                <w:b/>
                <w:szCs w:val="18"/>
              </w:rPr>
            </w:pPr>
            <w:r w:rsidRPr="00DD613F">
              <w:rPr>
                <w:b/>
                <w:szCs w:val="18"/>
              </w:rPr>
              <w:t>B5</w:t>
            </w:r>
          </w:p>
        </w:tc>
        <w:tc>
          <w:tcPr>
            <w:tcW w:w="9364" w:type="dxa"/>
          </w:tcPr>
          <w:p w14:paraId="12CA9403" w14:textId="77777777" w:rsidR="00C62AF1" w:rsidRPr="00DD613F" w:rsidRDefault="00C62AF1" w:rsidP="00C62AF1">
            <w:pPr>
              <w:jc w:val="both"/>
              <w:cnfStyle w:val="000000000000" w:firstRow="0" w:lastRow="0" w:firstColumn="0" w:lastColumn="0" w:oddVBand="0" w:evenVBand="0" w:oddHBand="0" w:evenHBand="0" w:firstRowFirstColumn="0" w:firstRowLastColumn="0" w:lastRowFirstColumn="0" w:lastRowLastColumn="0"/>
              <w:rPr>
                <w:szCs w:val="18"/>
              </w:rPr>
            </w:pPr>
            <w:r w:rsidRPr="00DD613F">
              <w:rPr>
                <w:szCs w:val="18"/>
              </w:rPr>
              <w:t>Nejsou po žadatelích vyžadovány duplicitní nebo nadbytečné informace? Jsou všechny aktuálně požadované přílohy žádosti o podporu přínosné pro hodnocení či implementaci projektů? Nebylo by možné předložení některých příloh posunout až do fáze před podpisem právního aktu? Ve kterých případech by bylo možné nahradit povinnost žadatelů/příjemců předkládat určité informace či dokumenty získáním dat dostupných z informačních systémů veřejné správy, aniž by to zároveň znamenalo významné zvýšení zátěže pro implementační strukturu?</w:t>
            </w:r>
          </w:p>
        </w:tc>
      </w:tr>
      <w:tr w:rsidR="00C62AF1" w:rsidRPr="00DD613F" w14:paraId="1AA6A4BB" w14:textId="77777777" w:rsidTr="00D84996">
        <w:tc>
          <w:tcPr>
            <w:cnfStyle w:val="001000000000" w:firstRow="0" w:lastRow="0" w:firstColumn="1" w:lastColumn="0" w:oddVBand="0" w:evenVBand="0" w:oddHBand="0" w:evenHBand="0" w:firstRowFirstColumn="0" w:firstRowLastColumn="0" w:lastRowFirstColumn="0" w:lastRowLastColumn="0"/>
            <w:tcW w:w="728" w:type="dxa"/>
          </w:tcPr>
          <w:p w14:paraId="1E07F80D" w14:textId="77777777" w:rsidR="00C62AF1" w:rsidRPr="00DD613F" w:rsidRDefault="00C62AF1" w:rsidP="00C62AF1">
            <w:pPr>
              <w:jc w:val="center"/>
              <w:rPr>
                <w:b/>
                <w:szCs w:val="18"/>
              </w:rPr>
            </w:pPr>
            <w:r w:rsidRPr="00DD613F">
              <w:rPr>
                <w:b/>
                <w:szCs w:val="18"/>
              </w:rPr>
              <w:t>B9</w:t>
            </w:r>
          </w:p>
        </w:tc>
        <w:tc>
          <w:tcPr>
            <w:tcW w:w="9364" w:type="dxa"/>
          </w:tcPr>
          <w:p w14:paraId="32C3BFED" w14:textId="77777777" w:rsidR="00C62AF1" w:rsidRPr="00DD613F" w:rsidRDefault="00C62AF1" w:rsidP="00C62AF1">
            <w:pPr>
              <w:jc w:val="both"/>
              <w:cnfStyle w:val="000000000000" w:firstRow="0" w:lastRow="0" w:firstColumn="0" w:lastColumn="0" w:oddVBand="0" w:evenVBand="0" w:oddHBand="0" w:evenHBand="0" w:firstRowFirstColumn="0" w:firstRowLastColumn="0" w:lastRowFirstColumn="0" w:lastRowLastColumn="0"/>
              <w:rPr>
                <w:szCs w:val="18"/>
              </w:rPr>
            </w:pPr>
            <w:r w:rsidRPr="00DD613F">
              <w:rPr>
                <w:szCs w:val="18"/>
              </w:rPr>
              <w:t>Jsou změnová řízení projektů ze strany pracovníků implementační struktury a příjemců hodnocena jako srozumitelná, přehledná a dostatečně flexibilní? Pokud se musel projekt v průběhu jeho realizace přizpůsobit změnám podmínek, byla tato změna ze strany příjemců hodnocena jako zatěžující? Jak proces změnových řízení zrychlit?</w:t>
            </w:r>
          </w:p>
        </w:tc>
      </w:tr>
      <w:tr w:rsidR="00C62AF1" w:rsidRPr="00DD613F" w14:paraId="4E3E8BF2" w14:textId="77777777" w:rsidTr="00D84996">
        <w:tc>
          <w:tcPr>
            <w:cnfStyle w:val="001000000000" w:firstRow="0" w:lastRow="0" w:firstColumn="1" w:lastColumn="0" w:oddVBand="0" w:evenVBand="0" w:oddHBand="0" w:evenHBand="0" w:firstRowFirstColumn="0" w:firstRowLastColumn="0" w:lastRowFirstColumn="0" w:lastRowLastColumn="0"/>
            <w:tcW w:w="728" w:type="dxa"/>
          </w:tcPr>
          <w:p w14:paraId="060A498E" w14:textId="77777777" w:rsidR="00C62AF1" w:rsidRPr="00DD613F" w:rsidRDefault="00C62AF1" w:rsidP="00C62AF1">
            <w:pPr>
              <w:jc w:val="center"/>
              <w:rPr>
                <w:b/>
                <w:szCs w:val="18"/>
              </w:rPr>
            </w:pPr>
            <w:r w:rsidRPr="00DD613F">
              <w:rPr>
                <w:b/>
                <w:szCs w:val="18"/>
              </w:rPr>
              <w:t>B12</w:t>
            </w:r>
          </w:p>
        </w:tc>
        <w:tc>
          <w:tcPr>
            <w:tcW w:w="9364" w:type="dxa"/>
          </w:tcPr>
          <w:p w14:paraId="53B47D7A" w14:textId="77777777" w:rsidR="00C62AF1" w:rsidRPr="00DD613F" w:rsidRDefault="00C62AF1" w:rsidP="00C62AF1">
            <w:pPr>
              <w:jc w:val="both"/>
              <w:cnfStyle w:val="000000000000" w:firstRow="0" w:lastRow="0" w:firstColumn="0" w:lastColumn="0" w:oddVBand="0" w:evenVBand="0" w:oddHBand="0" w:evenHBand="0" w:firstRowFirstColumn="0" w:firstRowLastColumn="0" w:lastRowFirstColumn="0" w:lastRowLastColumn="0"/>
              <w:rPr>
                <w:szCs w:val="18"/>
              </w:rPr>
            </w:pPr>
            <w:r w:rsidRPr="00DD613F">
              <w:rPr>
                <w:szCs w:val="18"/>
              </w:rPr>
              <w:t>Využívá implementační struktura OP PIK plně možností monitorovacího systému MS2014+? Je možné některé procesy v systému zautomatizovat? Ve kterých oblastech je MS2014+ pro implementační strukturu nejvíce limitující (z hlediska objemu práce, času, kontroly dat apod.)?</w:t>
            </w:r>
          </w:p>
        </w:tc>
      </w:tr>
      <w:tr w:rsidR="00C62AF1" w:rsidRPr="00DD613F" w14:paraId="04671097" w14:textId="77777777" w:rsidTr="00D84996">
        <w:tc>
          <w:tcPr>
            <w:cnfStyle w:val="001000000000" w:firstRow="0" w:lastRow="0" w:firstColumn="1" w:lastColumn="0" w:oddVBand="0" w:evenVBand="0" w:oddHBand="0" w:evenHBand="0" w:firstRowFirstColumn="0" w:firstRowLastColumn="0" w:lastRowFirstColumn="0" w:lastRowLastColumn="0"/>
            <w:tcW w:w="728" w:type="dxa"/>
          </w:tcPr>
          <w:p w14:paraId="508BA42C" w14:textId="77777777" w:rsidR="00C62AF1" w:rsidRPr="00DD613F" w:rsidRDefault="00C62AF1" w:rsidP="00C62AF1">
            <w:pPr>
              <w:jc w:val="center"/>
              <w:rPr>
                <w:b/>
                <w:szCs w:val="18"/>
              </w:rPr>
            </w:pPr>
            <w:r w:rsidRPr="00DD613F">
              <w:rPr>
                <w:b/>
                <w:szCs w:val="18"/>
              </w:rPr>
              <w:t>C1</w:t>
            </w:r>
          </w:p>
        </w:tc>
        <w:tc>
          <w:tcPr>
            <w:tcW w:w="9364" w:type="dxa"/>
          </w:tcPr>
          <w:p w14:paraId="1825FCFC" w14:textId="77777777" w:rsidR="00C62AF1" w:rsidRPr="00DD613F" w:rsidRDefault="00C62AF1" w:rsidP="00C62AF1">
            <w:pPr>
              <w:jc w:val="both"/>
              <w:cnfStyle w:val="000000000000" w:firstRow="0" w:lastRow="0" w:firstColumn="0" w:lastColumn="0" w:oddVBand="0" w:evenVBand="0" w:oddHBand="0" w:evenHBand="0" w:firstRowFirstColumn="0" w:firstRowLastColumn="0" w:lastRowFirstColumn="0" w:lastRowLastColumn="0"/>
              <w:rPr>
                <w:szCs w:val="18"/>
              </w:rPr>
            </w:pPr>
            <w:r w:rsidRPr="00DD613F">
              <w:rPr>
                <w:szCs w:val="18"/>
              </w:rPr>
              <w:t>Jsou procesy interní komunikace uvnitř ŘO OP PIK i ve vztahu ke zprostředkujícím subjektům nastaveny efektivně? Jsou na ŘO OP PIK ustanoveny platformy pro vzájemné informování se, řešení problémů, sdílené zkušeností apod.? V případě, kdy tato komunikace probíhá spíše neformálně, lze ji hodnotit jako dostatečnou?</w:t>
            </w:r>
          </w:p>
        </w:tc>
      </w:tr>
      <w:tr w:rsidR="00C62AF1" w:rsidRPr="00DD613F" w14:paraId="0173AF6C" w14:textId="77777777" w:rsidTr="00D84996">
        <w:tc>
          <w:tcPr>
            <w:cnfStyle w:val="001000000000" w:firstRow="0" w:lastRow="0" w:firstColumn="1" w:lastColumn="0" w:oddVBand="0" w:evenVBand="0" w:oddHBand="0" w:evenHBand="0" w:firstRowFirstColumn="0" w:firstRowLastColumn="0" w:lastRowFirstColumn="0" w:lastRowLastColumn="0"/>
            <w:tcW w:w="728" w:type="dxa"/>
          </w:tcPr>
          <w:p w14:paraId="00F41773" w14:textId="77777777" w:rsidR="00C62AF1" w:rsidRPr="00DD613F" w:rsidRDefault="00C62AF1" w:rsidP="00C62AF1">
            <w:pPr>
              <w:jc w:val="center"/>
              <w:rPr>
                <w:b/>
                <w:szCs w:val="18"/>
              </w:rPr>
            </w:pPr>
            <w:r w:rsidRPr="00DD613F">
              <w:rPr>
                <w:b/>
                <w:szCs w:val="18"/>
              </w:rPr>
              <w:t>C2</w:t>
            </w:r>
          </w:p>
        </w:tc>
        <w:tc>
          <w:tcPr>
            <w:tcW w:w="9364" w:type="dxa"/>
          </w:tcPr>
          <w:p w14:paraId="2F3438CC" w14:textId="77777777" w:rsidR="00C62AF1" w:rsidRPr="00DD613F" w:rsidRDefault="00C62AF1" w:rsidP="00C62AF1">
            <w:pPr>
              <w:jc w:val="both"/>
              <w:cnfStyle w:val="000000000000" w:firstRow="0" w:lastRow="0" w:firstColumn="0" w:lastColumn="0" w:oddVBand="0" w:evenVBand="0" w:oddHBand="0" w:evenHBand="0" w:firstRowFirstColumn="0" w:firstRowLastColumn="0" w:lastRowFirstColumn="0" w:lastRowLastColumn="0"/>
              <w:rPr>
                <w:szCs w:val="18"/>
              </w:rPr>
            </w:pPr>
            <w:r w:rsidRPr="00DD613F">
              <w:rPr>
                <w:rFonts w:cs="Calibri"/>
                <w:szCs w:val="18"/>
              </w:rPr>
              <w:t>Probíhá komunikace mezi ŘO OP PIK a správci finančního nástroje/fondu fondů efektivně? Jsou nastaveny adekvátní komunikační kanály?</w:t>
            </w:r>
          </w:p>
        </w:tc>
      </w:tr>
      <w:tr w:rsidR="00C62AF1" w:rsidRPr="00DD613F" w14:paraId="4B599982" w14:textId="77777777" w:rsidTr="00D84996">
        <w:tc>
          <w:tcPr>
            <w:cnfStyle w:val="001000000000" w:firstRow="0" w:lastRow="0" w:firstColumn="1" w:lastColumn="0" w:oddVBand="0" w:evenVBand="0" w:oddHBand="0" w:evenHBand="0" w:firstRowFirstColumn="0" w:firstRowLastColumn="0" w:lastRowFirstColumn="0" w:lastRowLastColumn="0"/>
            <w:tcW w:w="728" w:type="dxa"/>
          </w:tcPr>
          <w:p w14:paraId="4E1D81E3" w14:textId="77777777" w:rsidR="00C62AF1" w:rsidRPr="00DD613F" w:rsidRDefault="00C62AF1" w:rsidP="00C62AF1">
            <w:pPr>
              <w:jc w:val="center"/>
              <w:rPr>
                <w:b/>
                <w:szCs w:val="18"/>
              </w:rPr>
            </w:pPr>
            <w:r w:rsidRPr="00DD613F">
              <w:rPr>
                <w:b/>
                <w:szCs w:val="18"/>
              </w:rPr>
              <w:t>C3</w:t>
            </w:r>
          </w:p>
        </w:tc>
        <w:tc>
          <w:tcPr>
            <w:tcW w:w="9364" w:type="dxa"/>
          </w:tcPr>
          <w:p w14:paraId="5D0CB3C6" w14:textId="77777777" w:rsidR="00C62AF1" w:rsidRPr="00DD613F" w:rsidRDefault="00C62AF1" w:rsidP="00C62AF1">
            <w:pPr>
              <w:jc w:val="both"/>
              <w:cnfStyle w:val="000000000000" w:firstRow="0" w:lastRow="0" w:firstColumn="0" w:lastColumn="0" w:oddVBand="0" w:evenVBand="0" w:oddHBand="0" w:evenHBand="0" w:firstRowFirstColumn="0" w:firstRowLastColumn="0" w:lastRowFirstColumn="0" w:lastRowLastColumn="0"/>
              <w:rPr>
                <w:szCs w:val="18"/>
              </w:rPr>
            </w:pPr>
            <w:r w:rsidRPr="00DD613F">
              <w:rPr>
                <w:szCs w:val="18"/>
              </w:rPr>
              <w:t>S čím a jakými kanály se žadatelé/příjemci nejčastěji obrací na pracovníky implementační struktury OP PIK?</w:t>
            </w:r>
          </w:p>
        </w:tc>
      </w:tr>
      <w:tr w:rsidR="00C62AF1" w:rsidRPr="00DD613F" w14:paraId="37F325EB" w14:textId="77777777" w:rsidTr="00D84996">
        <w:tc>
          <w:tcPr>
            <w:cnfStyle w:val="001000000000" w:firstRow="0" w:lastRow="0" w:firstColumn="1" w:lastColumn="0" w:oddVBand="0" w:evenVBand="0" w:oddHBand="0" w:evenHBand="0" w:firstRowFirstColumn="0" w:firstRowLastColumn="0" w:lastRowFirstColumn="0" w:lastRowLastColumn="0"/>
            <w:tcW w:w="728" w:type="dxa"/>
          </w:tcPr>
          <w:p w14:paraId="4762DD41" w14:textId="77777777" w:rsidR="00C62AF1" w:rsidRPr="00DD613F" w:rsidRDefault="00C62AF1" w:rsidP="00C62AF1">
            <w:pPr>
              <w:jc w:val="center"/>
              <w:rPr>
                <w:b/>
                <w:szCs w:val="18"/>
              </w:rPr>
            </w:pPr>
            <w:r w:rsidRPr="00DD613F">
              <w:rPr>
                <w:b/>
                <w:szCs w:val="18"/>
              </w:rPr>
              <w:t>C4</w:t>
            </w:r>
          </w:p>
        </w:tc>
        <w:tc>
          <w:tcPr>
            <w:tcW w:w="9364" w:type="dxa"/>
          </w:tcPr>
          <w:p w14:paraId="36CED5F7" w14:textId="77777777" w:rsidR="00C62AF1" w:rsidRPr="00DD613F" w:rsidRDefault="00C62AF1" w:rsidP="00C62AF1">
            <w:pPr>
              <w:jc w:val="both"/>
              <w:cnfStyle w:val="000000000000" w:firstRow="0" w:lastRow="0" w:firstColumn="0" w:lastColumn="0" w:oddVBand="0" w:evenVBand="0" w:oddHBand="0" w:evenHBand="0" w:firstRowFirstColumn="0" w:firstRowLastColumn="0" w:lastRowFirstColumn="0" w:lastRowLastColumn="0"/>
              <w:rPr>
                <w:szCs w:val="18"/>
              </w:rPr>
            </w:pPr>
            <w:r w:rsidRPr="00DD613F">
              <w:rPr>
                <w:szCs w:val="18"/>
              </w:rPr>
              <w:t>Lze komunikaci pracovníků implementační struktury se žadateli/příjemci z jejich pohledu označit jako jednoduchou, rychlou při vyřizování požadavků a dodržování předepsaných lhůt?</w:t>
            </w:r>
          </w:p>
        </w:tc>
      </w:tr>
      <w:tr w:rsidR="00C62AF1" w:rsidRPr="00DD613F" w14:paraId="241271BE" w14:textId="77777777" w:rsidTr="00D84996">
        <w:tc>
          <w:tcPr>
            <w:cnfStyle w:val="001000000000" w:firstRow="0" w:lastRow="0" w:firstColumn="1" w:lastColumn="0" w:oddVBand="0" w:evenVBand="0" w:oddHBand="0" w:evenHBand="0" w:firstRowFirstColumn="0" w:firstRowLastColumn="0" w:lastRowFirstColumn="0" w:lastRowLastColumn="0"/>
            <w:tcW w:w="728" w:type="dxa"/>
          </w:tcPr>
          <w:p w14:paraId="06028343" w14:textId="77777777" w:rsidR="00C62AF1" w:rsidRPr="00DD613F" w:rsidRDefault="00C62AF1" w:rsidP="00C62AF1">
            <w:pPr>
              <w:jc w:val="center"/>
              <w:rPr>
                <w:b/>
                <w:szCs w:val="18"/>
              </w:rPr>
            </w:pPr>
            <w:r w:rsidRPr="00DD613F">
              <w:rPr>
                <w:b/>
                <w:szCs w:val="18"/>
              </w:rPr>
              <w:t>D1</w:t>
            </w:r>
          </w:p>
        </w:tc>
        <w:tc>
          <w:tcPr>
            <w:tcW w:w="9364" w:type="dxa"/>
          </w:tcPr>
          <w:p w14:paraId="2972617B" w14:textId="77777777" w:rsidR="00C62AF1" w:rsidRPr="00DD613F" w:rsidRDefault="00C62AF1" w:rsidP="00C62AF1">
            <w:pPr>
              <w:jc w:val="both"/>
              <w:cnfStyle w:val="000000000000" w:firstRow="0" w:lastRow="0" w:firstColumn="0" w:lastColumn="0" w:oddVBand="0" w:evenVBand="0" w:oddHBand="0" w:evenHBand="0" w:firstRowFirstColumn="0" w:firstRowLastColumn="0" w:lastRowFirstColumn="0" w:lastRowLastColumn="0"/>
              <w:rPr>
                <w:szCs w:val="18"/>
              </w:rPr>
            </w:pPr>
            <w:r w:rsidRPr="00DD613F">
              <w:rPr>
                <w:szCs w:val="18"/>
              </w:rPr>
              <w:t>Je proces kontrol projektů, včetně kontrol výběrových řízení, nastaven a vykonáván efektivně? Budou identifikovány nejproblematičtější body, ve kterých dochází k největšímu počtu chyb ze strany příjemců.</w:t>
            </w:r>
          </w:p>
        </w:tc>
      </w:tr>
      <w:tr w:rsidR="00C62AF1" w:rsidRPr="00DD613F" w14:paraId="7199D1C2" w14:textId="77777777" w:rsidTr="00D84996">
        <w:tc>
          <w:tcPr>
            <w:cnfStyle w:val="001000000000" w:firstRow="0" w:lastRow="0" w:firstColumn="1" w:lastColumn="0" w:oddVBand="0" w:evenVBand="0" w:oddHBand="0" w:evenHBand="0" w:firstRowFirstColumn="0" w:firstRowLastColumn="0" w:lastRowFirstColumn="0" w:lastRowLastColumn="0"/>
            <w:tcW w:w="728" w:type="dxa"/>
          </w:tcPr>
          <w:p w14:paraId="72A2597E" w14:textId="77777777" w:rsidR="00C62AF1" w:rsidRPr="00DD613F" w:rsidRDefault="00C62AF1" w:rsidP="00C62AF1">
            <w:pPr>
              <w:jc w:val="center"/>
              <w:rPr>
                <w:b/>
                <w:szCs w:val="18"/>
              </w:rPr>
            </w:pPr>
            <w:r w:rsidRPr="00DD613F">
              <w:rPr>
                <w:b/>
                <w:szCs w:val="18"/>
              </w:rPr>
              <w:t>D5</w:t>
            </w:r>
          </w:p>
        </w:tc>
        <w:tc>
          <w:tcPr>
            <w:tcW w:w="9364" w:type="dxa"/>
          </w:tcPr>
          <w:p w14:paraId="59501DF3" w14:textId="77777777" w:rsidR="00C62AF1" w:rsidRPr="00DD613F" w:rsidRDefault="00C62AF1" w:rsidP="00C62AF1">
            <w:pPr>
              <w:jc w:val="both"/>
              <w:cnfStyle w:val="000000000000" w:firstRow="0" w:lastRow="0" w:firstColumn="0" w:lastColumn="0" w:oddVBand="0" w:evenVBand="0" w:oddHBand="0" w:evenHBand="0" w:firstRowFirstColumn="0" w:firstRowLastColumn="0" w:lastRowFirstColumn="0" w:lastRowLastColumn="0"/>
              <w:rPr>
                <w:szCs w:val="18"/>
              </w:rPr>
            </w:pPr>
            <w:r w:rsidRPr="00DD613F">
              <w:rPr>
                <w:szCs w:val="18"/>
              </w:rPr>
              <w:t xml:space="preserve">Je proces nesrovnalostí nastaven a vykonáván efektivně? Z jakých důvodů na straně příjemce/poskytovatele nejčastěji dochází k nesrovnalostem? </w:t>
            </w:r>
          </w:p>
        </w:tc>
      </w:tr>
    </w:tbl>
    <w:p w14:paraId="7AA319C1" w14:textId="77777777" w:rsidR="00617123" w:rsidRDefault="00617123" w:rsidP="00617123">
      <w:pPr>
        <w:pStyle w:val="Highlight1"/>
      </w:pPr>
      <w:r w:rsidRPr="00617123">
        <w:lastRenderedPageBreak/>
        <w:t>F</w:t>
      </w:r>
      <w:bookmarkStart w:id="52" w:name="_GoBack"/>
      <w:bookmarkEnd w:id="52"/>
      <w:r w:rsidRPr="00617123">
        <w:t>okusní skupina</w:t>
      </w:r>
    </w:p>
    <w:p w14:paraId="5E1FFF11" w14:textId="77777777" w:rsidR="00617123" w:rsidRPr="00617123" w:rsidRDefault="00617123" w:rsidP="00617123">
      <w:pPr>
        <w:pStyle w:val="Highlight1"/>
      </w:pPr>
    </w:p>
    <w:p w14:paraId="0C89160E" w14:textId="77777777" w:rsidR="00D338E3" w:rsidRDefault="00D338E3" w:rsidP="008C286A">
      <w:pPr>
        <w:pStyle w:val="Titulek"/>
        <w:jc w:val="center"/>
      </w:pPr>
      <w:bookmarkStart w:id="53" w:name="_Toc24384742"/>
      <w:r>
        <w:t xml:space="preserve">Tabulka </w:t>
      </w:r>
      <w:r>
        <w:fldChar w:fldCharType="begin"/>
      </w:r>
      <w:r>
        <w:instrText xml:space="preserve"> SEQ Tabulka \* ARABIC </w:instrText>
      </w:r>
      <w:r>
        <w:fldChar w:fldCharType="separate"/>
      </w:r>
      <w:r w:rsidR="00E93151">
        <w:rPr>
          <w:noProof/>
        </w:rPr>
        <w:t>16</w:t>
      </w:r>
      <w:r>
        <w:fldChar w:fldCharType="end"/>
      </w:r>
      <w:r w:rsidR="008C286A">
        <w:t xml:space="preserve">: Okruh </w:t>
      </w:r>
      <w:r>
        <w:t xml:space="preserve">otázek </w:t>
      </w:r>
      <w:r w:rsidR="008C286A">
        <w:t xml:space="preserve">pro </w:t>
      </w:r>
      <w:r>
        <w:t>fokusní skupin</w:t>
      </w:r>
      <w:r w:rsidR="008C286A">
        <w:t>u se žadateli a příjemci OP PIK</w:t>
      </w:r>
      <w:bookmarkEnd w:id="53"/>
    </w:p>
    <w:tbl>
      <w:tblPr>
        <w:tblStyle w:val="Deloittetable21"/>
        <w:tblW w:w="0" w:type="auto"/>
        <w:tblLook w:val="04A0" w:firstRow="1" w:lastRow="0" w:firstColumn="1" w:lastColumn="0" w:noHBand="0" w:noVBand="1"/>
      </w:tblPr>
      <w:tblGrid>
        <w:gridCol w:w="728"/>
        <w:gridCol w:w="9364"/>
      </w:tblGrid>
      <w:tr w:rsidR="00617123" w14:paraId="00100BF7" w14:textId="77777777" w:rsidTr="00423E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8" w:type="dxa"/>
          </w:tcPr>
          <w:p w14:paraId="021FD9A0" w14:textId="77777777" w:rsidR="00617123" w:rsidRPr="002B756D" w:rsidRDefault="00617123" w:rsidP="00423E4F">
            <w:pPr>
              <w:spacing w:before="113" w:after="113"/>
              <w:jc w:val="center"/>
              <w:rPr>
                <w:szCs w:val="18"/>
              </w:rPr>
            </w:pPr>
            <w:r w:rsidRPr="002B756D">
              <w:rPr>
                <w:szCs w:val="18"/>
              </w:rPr>
              <w:t>Kód otázky</w:t>
            </w:r>
          </w:p>
        </w:tc>
        <w:tc>
          <w:tcPr>
            <w:tcW w:w="9364" w:type="dxa"/>
          </w:tcPr>
          <w:p w14:paraId="1AEC8DFE" w14:textId="77777777" w:rsidR="00617123" w:rsidRDefault="00617123" w:rsidP="00423E4F">
            <w:pPr>
              <w:spacing w:before="113" w:after="113"/>
              <w:jc w:val="both"/>
              <w:cnfStyle w:val="100000000000" w:firstRow="1" w:lastRow="0" w:firstColumn="0" w:lastColumn="0" w:oddVBand="0" w:evenVBand="0" w:oddHBand="0" w:evenHBand="0" w:firstRowFirstColumn="0" w:firstRowLastColumn="0" w:lastRowFirstColumn="0" w:lastRowLastColumn="0"/>
              <w:rPr>
                <w:szCs w:val="18"/>
              </w:rPr>
            </w:pPr>
            <w:r>
              <w:rPr>
                <w:szCs w:val="18"/>
              </w:rPr>
              <w:t>Otázka</w:t>
            </w:r>
          </w:p>
        </w:tc>
      </w:tr>
      <w:tr w:rsidR="00617123" w14:paraId="0227CE9B" w14:textId="77777777" w:rsidTr="00423E4F">
        <w:tc>
          <w:tcPr>
            <w:cnfStyle w:val="001000000000" w:firstRow="0" w:lastRow="0" w:firstColumn="1" w:lastColumn="0" w:oddVBand="0" w:evenVBand="0" w:oddHBand="0" w:evenHBand="0" w:firstRowFirstColumn="0" w:firstRowLastColumn="0" w:lastRowFirstColumn="0" w:lastRowLastColumn="0"/>
            <w:tcW w:w="728" w:type="dxa"/>
          </w:tcPr>
          <w:p w14:paraId="02A7C02D" w14:textId="77777777" w:rsidR="00617123" w:rsidRPr="002B756D" w:rsidRDefault="00617123" w:rsidP="00423E4F">
            <w:pPr>
              <w:spacing w:before="113" w:after="113"/>
              <w:jc w:val="center"/>
              <w:rPr>
                <w:b/>
                <w:szCs w:val="18"/>
              </w:rPr>
            </w:pPr>
            <w:r w:rsidRPr="002B756D">
              <w:rPr>
                <w:b/>
                <w:szCs w:val="16"/>
              </w:rPr>
              <w:t>A1</w:t>
            </w:r>
          </w:p>
        </w:tc>
        <w:tc>
          <w:tcPr>
            <w:tcW w:w="9364" w:type="dxa"/>
          </w:tcPr>
          <w:p w14:paraId="78842FB9" w14:textId="77777777" w:rsidR="00617123" w:rsidRPr="002B756D" w:rsidRDefault="00617123" w:rsidP="00423E4F">
            <w:pPr>
              <w:spacing w:before="113" w:after="113"/>
              <w:jc w:val="both"/>
              <w:cnfStyle w:val="000000000000" w:firstRow="0" w:lastRow="0" w:firstColumn="0" w:lastColumn="0" w:oddVBand="0" w:evenVBand="0" w:oddHBand="0" w:evenHBand="0" w:firstRowFirstColumn="0" w:firstRowLastColumn="0" w:lastRowFirstColumn="0" w:lastRowLastColumn="0"/>
              <w:rPr>
                <w:szCs w:val="18"/>
              </w:rPr>
            </w:pPr>
            <w:r w:rsidRPr="002B756D">
              <w:rPr>
                <w:szCs w:val="16"/>
              </w:rPr>
              <w:t xml:space="preserve">Je metodické prostředí OP PIK trvalé, přehledné a uživatelsky přívětivé? Jak žadatelé/příjemci vnímají metodické prostředí s ohledem na četnost prováděných změn pravidel OP PIK? </w:t>
            </w:r>
          </w:p>
        </w:tc>
      </w:tr>
      <w:tr w:rsidR="00617123" w14:paraId="325E5201" w14:textId="77777777" w:rsidTr="00423E4F">
        <w:tc>
          <w:tcPr>
            <w:cnfStyle w:val="001000000000" w:firstRow="0" w:lastRow="0" w:firstColumn="1" w:lastColumn="0" w:oddVBand="0" w:evenVBand="0" w:oddHBand="0" w:evenHBand="0" w:firstRowFirstColumn="0" w:firstRowLastColumn="0" w:lastRowFirstColumn="0" w:lastRowLastColumn="0"/>
            <w:tcW w:w="728" w:type="dxa"/>
          </w:tcPr>
          <w:p w14:paraId="4C2DBE17" w14:textId="77777777" w:rsidR="00617123" w:rsidRPr="002B756D" w:rsidRDefault="00617123" w:rsidP="00423E4F">
            <w:pPr>
              <w:spacing w:before="113" w:after="113"/>
              <w:jc w:val="center"/>
              <w:rPr>
                <w:b/>
                <w:szCs w:val="18"/>
              </w:rPr>
            </w:pPr>
            <w:r w:rsidRPr="002B756D">
              <w:rPr>
                <w:b/>
                <w:szCs w:val="16"/>
              </w:rPr>
              <w:t>A2</w:t>
            </w:r>
          </w:p>
        </w:tc>
        <w:tc>
          <w:tcPr>
            <w:tcW w:w="9364" w:type="dxa"/>
          </w:tcPr>
          <w:p w14:paraId="11E25187" w14:textId="0F97EF8B" w:rsidR="00617123" w:rsidRPr="002B756D" w:rsidRDefault="00617123" w:rsidP="002E28DF">
            <w:pPr>
              <w:spacing w:before="113" w:after="113"/>
              <w:jc w:val="both"/>
              <w:cnfStyle w:val="000000000000" w:firstRow="0" w:lastRow="0" w:firstColumn="0" w:lastColumn="0" w:oddVBand="0" w:evenVBand="0" w:oddHBand="0" w:evenHBand="0" w:firstRowFirstColumn="0" w:firstRowLastColumn="0" w:lastRowFirstColumn="0" w:lastRowLastColumn="0"/>
              <w:rPr>
                <w:szCs w:val="18"/>
              </w:rPr>
            </w:pPr>
            <w:r w:rsidRPr="002B756D">
              <w:rPr>
                <w:szCs w:val="16"/>
              </w:rPr>
              <w:t xml:space="preserve">Jsou v metodickém prostředí OP PIK uplatňovány procesy či jejich části, které lze označit jako nadbytečné? </w:t>
            </w:r>
          </w:p>
        </w:tc>
      </w:tr>
      <w:tr w:rsidR="00617123" w14:paraId="11482373" w14:textId="77777777" w:rsidTr="00423E4F">
        <w:tc>
          <w:tcPr>
            <w:cnfStyle w:val="001000000000" w:firstRow="0" w:lastRow="0" w:firstColumn="1" w:lastColumn="0" w:oddVBand="0" w:evenVBand="0" w:oddHBand="0" w:evenHBand="0" w:firstRowFirstColumn="0" w:firstRowLastColumn="0" w:lastRowFirstColumn="0" w:lastRowLastColumn="0"/>
            <w:tcW w:w="728" w:type="dxa"/>
          </w:tcPr>
          <w:p w14:paraId="677CBF69" w14:textId="77777777" w:rsidR="00617123" w:rsidRPr="002B756D" w:rsidRDefault="00617123" w:rsidP="00423E4F">
            <w:pPr>
              <w:spacing w:before="113" w:after="113"/>
              <w:jc w:val="center"/>
              <w:rPr>
                <w:b/>
                <w:szCs w:val="18"/>
              </w:rPr>
            </w:pPr>
            <w:r w:rsidRPr="002B756D">
              <w:rPr>
                <w:b/>
                <w:szCs w:val="16"/>
              </w:rPr>
              <w:t>A5</w:t>
            </w:r>
          </w:p>
        </w:tc>
        <w:tc>
          <w:tcPr>
            <w:tcW w:w="9364" w:type="dxa"/>
          </w:tcPr>
          <w:p w14:paraId="37C81130" w14:textId="77777777" w:rsidR="00617123" w:rsidRPr="002B756D" w:rsidRDefault="00617123" w:rsidP="00423E4F">
            <w:pPr>
              <w:spacing w:before="113" w:after="113"/>
              <w:jc w:val="both"/>
              <w:cnfStyle w:val="000000000000" w:firstRow="0" w:lastRow="0" w:firstColumn="0" w:lastColumn="0" w:oddVBand="0" w:evenVBand="0" w:oddHBand="0" w:evenHBand="0" w:firstRowFirstColumn="0" w:firstRowLastColumn="0" w:lastRowFirstColumn="0" w:lastRowLastColumn="0"/>
              <w:rPr>
                <w:szCs w:val="18"/>
              </w:rPr>
            </w:pPr>
            <w:r w:rsidRPr="002B756D">
              <w:rPr>
                <w:szCs w:val="16"/>
              </w:rPr>
              <w:t>Nedochází vlivem nadbytečných procesů k nepřiměřenému zatížení žadatelů/příjemců?</w:t>
            </w:r>
          </w:p>
        </w:tc>
      </w:tr>
      <w:tr w:rsidR="00617123" w14:paraId="3A33B49E" w14:textId="77777777" w:rsidTr="00423E4F">
        <w:tc>
          <w:tcPr>
            <w:cnfStyle w:val="001000000000" w:firstRow="0" w:lastRow="0" w:firstColumn="1" w:lastColumn="0" w:oddVBand="0" w:evenVBand="0" w:oddHBand="0" w:evenHBand="0" w:firstRowFirstColumn="0" w:firstRowLastColumn="0" w:lastRowFirstColumn="0" w:lastRowLastColumn="0"/>
            <w:tcW w:w="728" w:type="dxa"/>
          </w:tcPr>
          <w:p w14:paraId="1784B16C" w14:textId="77777777" w:rsidR="00617123" w:rsidRPr="002B756D" w:rsidRDefault="00617123" w:rsidP="00423E4F">
            <w:pPr>
              <w:spacing w:before="113" w:after="113"/>
              <w:jc w:val="center"/>
              <w:rPr>
                <w:b/>
                <w:szCs w:val="18"/>
              </w:rPr>
            </w:pPr>
            <w:r w:rsidRPr="002B756D">
              <w:rPr>
                <w:b/>
                <w:szCs w:val="16"/>
              </w:rPr>
              <w:t>A7</w:t>
            </w:r>
          </w:p>
        </w:tc>
        <w:tc>
          <w:tcPr>
            <w:tcW w:w="9364" w:type="dxa"/>
          </w:tcPr>
          <w:p w14:paraId="58972A04" w14:textId="77777777" w:rsidR="00617123" w:rsidRPr="002B756D" w:rsidRDefault="00617123" w:rsidP="00423E4F">
            <w:pPr>
              <w:spacing w:before="113" w:after="113"/>
              <w:jc w:val="both"/>
              <w:cnfStyle w:val="000000000000" w:firstRow="0" w:lastRow="0" w:firstColumn="0" w:lastColumn="0" w:oddVBand="0" w:evenVBand="0" w:oddHBand="0" w:evenHBand="0" w:firstRowFirstColumn="0" w:firstRowLastColumn="0" w:lastRowFirstColumn="0" w:lastRowLastColumn="0"/>
              <w:rPr>
                <w:szCs w:val="18"/>
              </w:rPr>
            </w:pPr>
            <w:r w:rsidRPr="002B756D">
              <w:rPr>
                <w:szCs w:val="16"/>
              </w:rPr>
              <w:t>Je posuzování a ověřování vlastnické struktury a statutu žadatele/příjemce jako malého a středního podniku nastaveno dostatečně, jednoznačně a zároveň tak, aby co nejméně zatěžovalo žadatele?</w:t>
            </w:r>
          </w:p>
        </w:tc>
      </w:tr>
      <w:tr w:rsidR="00617123" w14:paraId="31F48C3E" w14:textId="77777777" w:rsidTr="00423E4F">
        <w:tc>
          <w:tcPr>
            <w:cnfStyle w:val="001000000000" w:firstRow="0" w:lastRow="0" w:firstColumn="1" w:lastColumn="0" w:oddVBand="0" w:evenVBand="0" w:oddHBand="0" w:evenHBand="0" w:firstRowFirstColumn="0" w:firstRowLastColumn="0" w:lastRowFirstColumn="0" w:lastRowLastColumn="0"/>
            <w:tcW w:w="728" w:type="dxa"/>
          </w:tcPr>
          <w:p w14:paraId="6CA4F114" w14:textId="77777777" w:rsidR="00617123" w:rsidRPr="002B756D" w:rsidRDefault="00617123" w:rsidP="00423E4F">
            <w:pPr>
              <w:spacing w:before="113" w:after="113"/>
              <w:jc w:val="center"/>
              <w:rPr>
                <w:b/>
                <w:szCs w:val="18"/>
              </w:rPr>
            </w:pPr>
            <w:r w:rsidRPr="002B756D">
              <w:rPr>
                <w:b/>
                <w:szCs w:val="16"/>
              </w:rPr>
              <w:t>B1</w:t>
            </w:r>
          </w:p>
        </w:tc>
        <w:tc>
          <w:tcPr>
            <w:tcW w:w="9364" w:type="dxa"/>
          </w:tcPr>
          <w:p w14:paraId="0EC18ABF" w14:textId="77777777" w:rsidR="00617123" w:rsidRPr="002B756D" w:rsidRDefault="00617123" w:rsidP="00FB704B">
            <w:pPr>
              <w:spacing w:before="113" w:after="113"/>
              <w:jc w:val="both"/>
              <w:cnfStyle w:val="000000000000" w:firstRow="0" w:lastRow="0" w:firstColumn="0" w:lastColumn="0" w:oddVBand="0" w:evenVBand="0" w:oddHBand="0" w:evenHBand="0" w:firstRowFirstColumn="0" w:firstRowLastColumn="0" w:lastRowFirstColumn="0" w:lastRowLastColumn="0"/>
              <w:rPr>
                <w:szCs w:val="18"/>
              </w:rPr>
            </w:pPr>
            <w:r w:rsidRPr="002B756D">
              <w:rPr>
                <w:szCs w:val="16"/>
              </w:rPr>
              <w:t>Jaká jsou slabá místa a klíčové problémy vyskytující se v implementačních procesech z pohledu žadatelů/příjemců? Které fáze projektového cyklu jsou hodnoceny z pohledu příjemců jako nejvíce zatěžující z hlediska času a objemu práce?</w:t>
            </w:r>
          </w:p>
        </w:tc>
      </w:tr>
      <w:tr w:rsidR="00617123" w14:paraId="7E68EB2D" w14:textId="77777777" w:rsidTr="00423E4F">
        <w:tc>
          <w:tcPr>
            <w:cnfStyle w:val="001000000000" w:firstRow="0" w:lastRow="0" w:firstColumn="1" w:lastColumn="0" w:oddVBand="0" w:evenVBand="0" w:oddHBand="0" w:evenHBand="0" w:firstRowFirstColumn="0" w:firstRowLastColumn="0" w:lastRowFirstColumn="0" w:lastRowLastColumn="0"/>
            <w:tcW w:w="728" w:type="dxa"/>
          </w:tcPr>
          <w:p w14:paraId="0DB4EB9C" w14:textId="77777777" w:rsidR="00617123" w:rsidRPr="002B756D" w:rsidRDefault="00617123" w:rsidP="00423E4F">
            <w:pPr>
              <w:spacing w:before="113" w:after="113"/>
              <w:jc w:val="center"/>
              <w:rPr>
                <w:b/>
                <w:szCs w:val="18"/>
              </w:rPr>
            </w:pPr>
            <w:r w:rsidRPr="002B756D">
              <w:rPr>
                <w:b/>
                <w:szCs w:val="16"/>
              </w:rPr>
              <w:t>B3</w:t>
            </w:r>
          </w:p>
        </w:tc>
        <w:tc>
          <w:tcPr>
            <w:tcW w:w="9364" w:type="dxa"/>
          </w:tcPr>
          <w:p w14:paraId="70BF8547" w14:textId="77777777" w:rsidR="00617123" w:rsidRPr="002B756D" w:rsidRDefault="00617123" w:rsidP="00423E4F">
            <w:pPr>
              <w:spacing w:before="113" w:after="113"/>
              <w:jc w:val="both"/>
              <w:cnfStyle w:val="000000000000" w:firstRow="0" w:lastRow="0" w:firstColumn="0" w:lastColumn="0" w:oddVBand="0" w:evenVBand="0" w:oddHBand="0" w:evenHBand="0" w:firstRowFirstColumn="0" w:firstRowLastColumn="0" w:lastRowFirstColumn="0" w:lastRowLastColumn="0"/>
              <w:rPr>
                <w:szCs w:val="18"/>
              </w:rPr>
            </w:pPr>
            <w:r w:rsidRPr="002B756D">
              <w:rPr>
                <w:szCs w:val="16"/>
              </w:rPr>
              <w:t>Mohou se žadatelé/příjemci na základě předem zveřejněných informací o plánovaných výzvách a klíčových podmínkách pro získání podpory kvalitně a včas připravit na podání žádosti? Jsou výzvy vhodně načasované? Vyhovuje žadatelům zvolený typ výzev?</w:t>
            </w:r>
          </w:p>
        </w:tc>
      </w:tr>
      <w:tr w:rsidR="00617123" w14:paraId="7FC411E3" w14:textId="77777777" w:rsidTr="00423E4F">
        <w:tc>
          <w:tcPr>
            <w:cnfStyle w:val="001000000000" w:firstRow="0" w:lastRow="0" w:firstColumn="1" w:lastColumn="0" w:oddVBand="0" w:evenVBand="0" w:oddHBand="0" w:evenHBand="0" w:firstRowFirstColumn="0" w:firstRowLastColumn="0" w:lastRowFirstColumn="0" w:lastRowLastColumn="0"/>
            <w:tcW w:w="728" w:type="dxa"/>
          </w:tcPr>
          <w:p w14:paraId="1A131D41" w14:textId="77777777" w:rsidR="00617123" w:rsidRPr="002B756D" w:rsidRDefault="00617123" w:rsidP="00423E4F">
            <w:pPr>
              <w:spacing w:before="113" w:after="113"/>
              <w:jc w:val="center"/>
              <w:rPr>
                <w:b/>
                <w:szCs w:val="18"/>
              </w:rPr>
            </w:pPr>
            <w:r w:rsidRPr="002B756D">
              <w:rPr>
                <w:b/>
                <w:szCs w:val="16"/>
              </w:rPr>
              <w:t>B4</w:t>
            </w:r>
          </w:p>
        </w:tc>
        <w:tc>
          <w:tcPr>
            <w:tcW w:w="9364" w:type="dxa"/>
          </w:tcPr>
          <w:p w14:paraId="6A55FC7C" w14:textId="77777777" w:rsidR="00617123" w:rsidRPr="002B756D" w:rsidRDefault="00617123" w:rsidP="00423E4F">
            <w:pPr>
              <w:spacing w:before="113" w:after="113"/>
              <w:jc w:val="both"/>
              <w:cnfStyle w:val="000000000000" w:firstRow="0" w:lastRow="0" w:firstColumn="0" w:lastColumn="0" w:oddVBand="0" w:evenVBand="0" w:oddHBand="0" w:evenHBand="0" w:firstRowFirstColumn="0" w:firstRowLastColumn="0" w:lastRowFirstColumn="0" w:lastRowLastColumn="0"/>
              <w:rPr>
                <w:szCs w:val="18"/>
              </w:rPr>
            </w:pPr>
            <w:r w:rsidRPr="002B756D">
              <w:rPr>
                <w:szCs w:val="16"/>
              </w:rPr>
              <w:t>Jsou podmínky výzev a jejich případných změn ze strany žadatelů/příjemců hodnoceny jako srozumitelné a přehledné? Zvýšila se při porovnání s OPPI nutnost mikro, malých a středních podniků využít služeb poradenské firmy při podání žádosti? Jak zajistit větší úspěšnost žádostí podaných mikro a malými podniky?</w:t>
            </w:r>
          </w:p>
        </w:tc>
      </w:tr>
      <w:tr w:rsidR="00617123" w14:paraId="52A28827" w14:textId="77777777" w:rsidTr="00423E4F">
        <w:tc>
          <w:tcPr>
            <w:cnfStyle w:val="001000000000" w:firstRow="0" w:lastRow="0" w:firstColumn="1" w:lastColumn="0" w:oddVBand="0" w:evenVBand="0" w:oddHBand="0" w:evenHBand="0" w:firstRowFirstColumn="0" w:firstRowLastColumn="0" w:lastRowFirstColumn="0" w:lastRowLastColumn="0"/>
            <w:tcW w:w="728" w:type="dxa"/>
          </w:tcPr>
          <w:p w14:paraId="1FEF2070" w14:textId="77777777" w:rsidR="00617123" w:rsidRPr="002B756D" w:rsidRDefault="00617123" w:rsidP="00423E4F">
            <w:pPr>
              <w:spacing w:before="113" w:after="113"/>
              <w:jc w:val="center"/>
              <w:rPr>
                <w:b/>
                <w:szCs w:val="16"/>
              </w:rPr>
            </w:pPr>
            <w:r w:rsidRPr="002B756D">
              <w:rPr>
                <w:b/>
                <w:szCs w:val="16"/>
              </w:rPr>
              <w:t>B6</w:t>
            </w:r>
          </w:p>
        </w:tc>
        <w:tc>
          <w:tcPr>
            <w:tcW w:w="9364" w:type="dxa"/>
          </w:tcPr>
          <w:p w14:paraId="33BC1C9D" w14:textId="77777777" w:rsidR="00617123" w:rsidRPr="002B756D" w:rsidRDefault="00617123" w:rsidP="00423E4F">
            <w:pPr>
              <w:spacing w:before="113" w:after="113"/>
              <w:jc w:val="both"/>
              <w:cnfStyle w:val="000000000000" w:firstRow="0" w:lastRow="0" w:firstColumn="0" w:lastColumn="0" w:oddVBand="0" w:evenVBand="0" w:oddHBand="0" w:evenHBand="0" w:firstRowFirstColumn="0" w:firstRowLastColumn="0" w:lastRowFirstColumn="0" w:lastRowLastColumn="0"/>
              <w:rPr>
                <w:szCs w:val="16"/>
              </w:rPr>
            </w:pPr>
            <w:r w:rsidRPr="002B756D">
              <w:rPr>
                <w:szCs w:val="16"/>
              </w:rPr>
              <w:t>Jsou procesy a výstupy týkající se schvalování projektu pro žadatele srozumitelné? Poskytuje implementační struktura dostatečnou zpětnou vazbu žadatelům, kteří se svou žádostí neuspěli?</w:t>
            </w:r>
          </w:p>
        </w:tc>
      </w:tr>
      <w:tr w:rsidR="0032471F" w14:paraId="3E413F34" w14:textId="77777777" w:rsidTr="00423E4F">
        <w:tc>
          <w:tcPr>
            <w:cnfStyle w:val="001000000000" w:firstRow="0" w:lastRow="0" w:firstColumn="1" w:lastColumn="0" w:oddVBand="0" w:evenVBand="0" w:oddHBand="0" w:evenHBand="0" w:firstRowFirstColumn="0" w:firstRowLastColumn="0" w:lastRowFirstColumn="0" w:lastRowLastColumn="0"/>
            <w:tcW w:w="728" w:type="dxa"/>
          </w:tcPr>
          <w:p w14:paraId="404E2732" w14:textId="77777777" w:rsidR="0032471F" w:rsidRPr="002B756D" w:rsidRDefault="0032471F" w:rsidP="0032471F">
            <w:pPr>
              <w:spacing w:before="113" w:after="113"/>
              <w:jc w:val="center"/>
              <w:rPr>
                <w:b/>
                <w:szCs w:val="16"/>
              </w:rPr>
            </w:pPr>
            <w:r>
              <w:rPr>
                <w:b/>
                <w:szCs w:val="16"/>
              </w:rPr>
              <w:t>B8</w:t>
            </w:r>
          </w:p>
        </w:tc>
        <w:tc>
          <w:tcPr>
            <w:tcW w:w="9364" w:type="dxa"/>
          </w:tcPr>
          <w:p w14:paraId="114279A4" w14:textId="77777777" w:rsidR="0032471F" w:rsidRPr="002B756D" w:rsidRDefault="0032471F" w:rsidP="0032471F">
            <w:pPr>
              <w:spacing w:before="113" w:after="113"/>
              <w:jc w:val="both"/>
              <w:cnfStyle w:val="000000000000" w:firstRow="0" w:lastRow="0" w:firstColumn="0" w:lastColumn="0" w:oddVBand="0" w:evenVBand="0" w:oddHBand="0" w:evenHBand="0" w:firstRowFirstColumn="0" w:firstRowLastColumn="0" w:lastRowFirstColumn="0" w:lastRowLastColumn="0"/>
              <w:rPr>
                <w:szCs w:val="16"/>
              </w:rPr>
            </w:pPr>
            <w:r w:rsidRPr="00DD613F">
              <w:rPr>
                <w:szCs w:val="18"/>
              </w:rPr>
              <w:t xml:space="preserve">Jsou pro žadatele srozumitelné podmínky rozhodnutí o poskytnutí dotace a jejich následná aplikace? </w:t>
            </w:r>
          </w:p>
        </w:tc>
      </w:tr>
      <w:tr w:rsidR="0032471F" w14:paraId="366D8064" w14:textId="77777777" w:rsidTr="00423E4F">
        <w:tc>
          <w:tcPr>
            <w:cnfStyle w:val="001000000000" w:firstRow="0" w:lastRow="0" w:firstColumn="1" w:lastColumn="0" w:oddVBand="0" w:evenVBand="0" w:oddHBand="0" w:evenHBand="0" w:firstRowFirstColumn="0" w:firstRowLastColumn="0" w:lastRowFirstColumn="0" w:lastRowLastColumn="0"/>
            <w:tcW w:w="728" w:type="dxa"/>
          </w:tcPr>
          <w:p w14:paraId="68227153" w14:textId="77777777" w:rsidR="0032471F" w:rsidRPr="002B756D" w:rsidRDefault="0032471F" w:rsidP="0032471F">
            <w:pPr>
              <w:spacing w:before="113" w:after="113"/>
              <w:jc w:val="center"/>
              <w:rPr>
                <w:b/>
                <w:szCs w:val="16"/>
              </w:rPr>
            </w:pPr>
            <w:r w:rsidRPr="002B756D">
              <w:rPr>
                <w:b/>
                <w:szCs w:val="16"/>
              </w:rPr>
              <w:t>B9</w:t>
            </w:r>
          </w:p>
        </w:tc>
        <w:tc>
          <w:tcPr>
            <w:tcW w:w="9364" w:type="dxa"/>
          </w:tcPr>
          <w:p w14:paraId="0C626947" w14:textId="77777777" w:rsidR="0032471F" w:rsidRPr="002B756D" w:rsidRDefault="0032471F" w:rsidP="0032471F">
            <w:pPr>
              <w:spacing w:before="113" w:after="113"/>
              <w:jc w:val="both"/>
              <w:cnfStyle w:val="000000000000" w:firstRow="0" w:lastRow="0" w:firstColumn="0" w:lastColumn="0" w:oddVBand="0" w:evenVBand="0" w:oddHBand="0" w:evenHBand="0" w:firstRowFirstColumn="0" w:firstRowLastColumn="0" w:lastRowFirstColumn="0" w:lastRowLastColumn="0"/>
              <w:rPr>
                <w:szCs w:val="16"/>
              </w:rPr>
            </w:pPr>
            <w:r w:rsidRPr="002B756D">
              <w:rPr>
                <w:szCs w:val="16"/>
              </w:rPr>
              <w:t>Jsou změnová řízení projektů ze strany příjemců hodnocena jako srozumitelná, přehledná a dostatečně flexibilní? Pokud se musel projekt v průběhu jeho realizace přizpůsobit změnám podmínek, byla tato změna ze strany příjemců hodnocena jako zatěžující? Jak proces změnových řízení zrychlit?</w:t>
            </w:r>
          </w:p>
        </w:tc>
      </w:tr>
      <w:tr w:rsidR="0032471F" w14:paraId="4DAACC19" w14:textId="77777777" w:rsidTr="00423E4F">
        <w:tc>
          <w:tcPr>
            <w:cnfStyle w:val="001000000000" w:firstRow="0" w:lastRow="0" w:firstColumn="1" w:lastColumn="0" w:oddVBand="0" w:evenVBand="0" w:oddHBand="0" w:evenHBand="0" w:firstRowFirstColumn="0" w:firstRowLastColumn="0" w:lastRowFirstColumn="0" w:lastRowLastColumn="0"/>
            <w:tcW w:w="728" w:type="dxa"/>
          </w:tcPr>
          <w:p w14:paraId="21E34DA1" w14:textId="77777777" w:rsidR="0032471F" w:rsidRPr="002B756D" w:rsidRDefault="0032471F" w:rsidP="0032471F">
            <w:pPr>
              <w:spacing w:before="113" w:after="113"/>
              <w:jc w:val="center"/>
              <w:rPr>
                <w:b/>
                <w:szCs w:val="16"/>
              </w:rPr>
            </w:pPr>
            <w:r w:rsidRPr="002B756D">
              <w:rPr>
                <w:b/>
                <w:szCs w:val="16"/>
              </w:rPr>
              <w:t>B10</w:t>
            </w:r>
          </w:p>
        </w:tc>
        <w:tc>
          <w:tcPr>
            <w:tcW w:w="9364" w:type="dxa"/>
          </w:tcPr>
          <w:p w14:paraId="2825D00A" w14:textId="00948B77" w:rsidR="0032471F" w:rsidRPr="002B756D" w:rsidRDefault="0032471F" w:rsidP="002E28DF">
            <w:pPr>
              <w:spacing w:before="113" w:after="113"/>
              <w:jc w:val="both"/>
              <w:cnfStyle w:val="000000000000" w:firstRow="0" w:lastRow="0" w:firstColumn="0" w:lastColumn="0" w:oddVBand="0" w:evenVBand="0" w:oddHBand="0" w:evenHBand="0" w:firstRowFirstColumn="0" w:firstRowLastColumn="0" w:lastRowFirstColumn="0" w:lastRowLastColumn="0"/>
              <w:rPr>
                <w:szCs w:val="16"/>
              </w:rPr>
            </w:pPr>
            <w:r w:rsidRPr="002B756D">
              <w:rPr>
                <w:szCs w:val="16"/>
              </w:rPr>
              <w:t>Je proces žádostí o platbu ze strany příjemců hodnocen jako srozumitelný a přehledný? Jaká je průměrná a mediánová doba proplacení finančních prostředků ze strany poskytovatele podpory ode dne podané žádosti o platbu? Je z pohledu příjemců doba posuzování žádosti hodnocena jako přiměřená? Jak proces žádostí o platbu zrychlit?</w:t>
            </w:r>
          </w:p>
        </w:tc>
      </w:tr>
      <w:tr w:rsidR="0032471F" w14:paraId="6ECA837A" w14:textId="77777777" w:rsidTr="00423E4F">
        <w:tc>
          <w:tcPr>
            <w:cnfStyle w:val="001000000000" w:firstRow="0" w:lastRow="0" w:firstColumn="1" w:lastColumn="0" w:oddVBand="0" w:evenVBand="0" w:oddHBand="0" w:evenHBand="0" w:firstRowFirstColumn="0" w:firstRowLastColumn="0" w:lastRowFirstColumn="0" w:lastRowLastColumn="0"/>
            <w:tcW w:w="728" w:type="dxa"/>
          </w:tcPr>
          <w:p w14:paraId="2C64CB53" w14:textId="77777777" w:rsidR="0032471F" w:rsidRPr="002B756D" w:rsidRDefault="0032471F" w:rsidP="0032471F">
            <w:pPr>
              <w:spacing w:before="113" w:after="113"/>
              <w:jc w:val="center"/>
              <w:rPr>
                <w:b/>
                <w:szCs w:val="16"/>
              </w:rPr>
            </w:pPr>
            <w:r w:rsidRPr="002B756D">
              <w:rPr>
                <w:b/>
                <w:szCs w:val="16"/>
              </w:rPr>
              <w:t>B11</w:t>
            </w:r>
          </w:p>
        </w:tc>
        <w:tc>
          <w:tcPr>
            <w:tcW w:w="9364" w:type="dxa"/>
          </w:tcPr>
          <w:p w14:paraId="31D90CBD" w14:textId="1704B4CA" w:rsidR="0032471F" w:rsidRPr="002B756D" w:rsidRDefault="0032471F" w:rsidP="002E28DF">
            <w:pPr>
              <w:spacing w:before="113" w:after="113"/>
              <w:jc w:val="both"/>
              <w:cnfStyle w:val="000000000000" w:firstRow="0" w:lastRow="0" w:firstColumn="0" w:lastColumn="0" w:oddVBand="0" w:evenVBand="0" w:oddHBand="0" w:evenHBand="0" w:firstRowFirstColumn="0" w:firstRowLastColumn="0" w:lastRowFirstColumn="0" w:lastRowLastColumn="0"/>
              <w:rPr>
                <w:szCs w:val="16"/>
              </w:rPr>
            </w:pPr>
            <w:r w:rsidRPr="002B756D">
              <w:rPr>
                <w:szCs w:val="16"/>
              </w:rPr>
              <w:t>Jak žadatelé/příjemci hodnotí práci v systému ISKP14+ v porovnání se systémem ISOP využívaným v programovém období 2007–2013? Lze identifikovat problémy žadatelů/příjemců při práci se systémem ISKP14+, které nemají obecnou povahu inherentně danou monitorovacím systémem, ale vyplývají z činnosti implementační struktury OP PIK?</w:t>
            </w:r>
          </w:p>
        </w:tc>
      </w:tr>
      <w:tr w:rsidR="0032471F" w14:paraId="5F4FC862" w14:textId="77777777" w:rsidTr="00423E4F">
        <w:tc>
          <w:tcPr>
            <w:cnfStyle w:val="001000000000" w:firstRow="0" w:lastRow="0" w:firstColumn="1" w:lastColumn="0" w:oddVBand="0" w:evenVBand="0" w:oddHBand="0" w:evenHBand="0" w:firstRowFirstColumn="0" w:firstRowLastColumn="0" w:lastRowFirstColumn="0" w:lastRowLastColumn="0"/>
            <w:tcW w:w="728" w:type="dxa"/>
          </w:tcPr>
          <w:p w14:paraId="6A22D0D6" w14:textId="77777777" w:rsidR="0032471F" w:rsidRPr="002B756D" w:rsidRDefault="0032471F" w:rsidP="0032471F">
            <w:pPr>
              <w:spacing w:before="113" w:after="113"/>
              <w:jc w:val="center"/>
              <w:rPr>
                <w:b/>
                <w:szCs w:val="16"/>
              </w:rPr>
            </w:pPr>
            <w:r w:rsidRPr="002B756D">
              <w:rPr>
                <w:b/>
                <w:szCs w:val="16"/>
              </w:rPr>
              <w:t>C5</w:t>
            </w:r>
          </w:p>
        </w:tc>
        <w:tc>
          <w:tcPr>
            <w:tcW w:w="9364" w:type="dxa"/>
          </w:tcPr>
          <w:p w14:paraId="54B282C6" w14:textId="77777777" w:rsidR="0032471F" w:rsidRPr="002B756D" w:rsidRDefault="0032471F" w:rsidP="0032471F">
            <w:pPr>
              <w:spacing w:before="113" w:after="113"/>
              <w:jc w:val="both"/>
              <w:cnfStyle w:val="000000000000" w:firstRow="0" w:lastRow="0" w:firstColumn="0" w:lastColumn="0" w:oddVBand="0" w:evenVBand="0" w:oddHBand="0" w:evenHBand="0" w:firstRowFirstColumn="0" w:firstRowLastColumn="0" w:lastRowFirstColumn="0" w:lastRowLastColumn="0"/>
              <w:rPr>
                <w:szCs w:val="16"/>
              </w:rPr>
            </w:pPr>
            <w:r w:rsidRPr="002B756D">
              <w:rPr>
                <w:szCs w:val="16"/>
              </w:rPr>
              <w:t>Lze komunikaci pracovníků implementační struktury se žadateli/příjemci z jejich pohledu označit jako věcnou, správnou? Umí pracovníci implementační struktury žadatelům/příjemcům z jejich pohledu účinně poradit?</w:t>
            </w:r>
          </w:p>
        </w:tc>
      </w:tr>
      <w:tr w:rsidR="0032471F" w14:paraId="4734E9C4" w14:textId="77777777" w:rsidTr="00423E4F">
        <w:tc>
          <w:tcPr>
            <w:cnfStyle w:val="001000000000" w:firstRow="0" w:lastRow="0" w:firstColumn="1" w:lastColumn="0" w:oddVBand="0" w:evenVBand="0" w:oddHBand="0" w:evenHBand="0" w:firstRowFirstColumn="0" w:firstRowLastColumn="0" w:lastRowFirstColumn="0" w:lastRowLastColumn="0"/>
            <w:tcW w:w="728" w:type="dxa"/>
          </w:tcPr>
          <w:p w14:paraId="12C74B5E" w14:textId="77777777" w:rsidR="0032471F" w:rsidRPr="002B756D" w:rsidRDefault="0032471F" w:rsidP="0032471F">
            <w:pPr>
              <w:spacing w:before="113" w:after="113"/>
              <w:jc w:val="center"/>
              <w:rPr>
                <w:b/>
                <w:szCs w:val="16"/>
              </w:rPr>
            </w:pPr>
            <w:r w:rsidRPr="002B756D">
              <w:rPr>
                <w:b/>
                <w:szCs w:val="16"/>
              </w:rPr>
              <w:lastRenderedPageBreak/>
              <w:t>C6</w:t>
            </w:r>
          </w:p>
        </w:tc>
        <w:tc>
          <w:tcPr>
            <w:tcW w:w="9364" w:type="dxa"/>
          </w:tcPr>
          <w:p w14:paraId="02A320FB" w14:textId="77777777" w:rsidR="0032471F" w:rsidRPr="002B756D" w:rsidRDefault="0032471F" w:rsidP="0032471F">
            <w:pPr>
              <w:spacing w:before="113" w:after="113"/>
              <w:jc w:val="both"/>
              <w:cnfStyle w:val="000000000000" w:firstRow="0" w:lastRow="0" w:firstColumn="0" w:lastColumn="0" w:oddVBand="0" w:evenVBand="0" w:oddHBand="0" w:evenHBand="0" w:firstRowFirstColumn="0" w:firstRowLastColumn="0" w:lastRowFirstColumn="0" w:lastRowLastColumn="0"/>
              <w:rPr>
                <w:szCs w:val="16"/>
              </w:rPr>
            </w:pPr>
            <w:r w:rsidRPr="002B756D">
              <w:rPr>
                <w:szCs w:val="16"/>
              </w:rPr>
              <w:t xml:space="preserve">Jak hodnotí žadatelé/příjemci webové stránky </w:t>
            </w:r>
            <w:hyperlink r:id="rId21" w:history="1">
              <w:r w:rsidRPr="002B756D">
                <w:rPr>
                  <w:szCs w:val="16"/>
                </w:rPr>
                <w:t>ŘO</w:t>
              </w:r>
            </w:hyperlink>
            <w:r w:rsidRPr="002B756D">
              <w:rPr>
                <w:szCs w:val="16"/>
              </w:rPr>
              <w:t xml:space="preserve"> a </w:t>
            </w:r>
            <w:hyperlink r:id="rId22" w:history="1">
              <w:r w:rsidRPr="002B756D">
                <w:rPr>
                  <w:szCs w:val="16"/>
                </w:rPr>
                <w:t>ZS</w:t>
              </w:r>
            </w:hyperlink>
            <w:r w:rsidRPr="002B756D">
              <w:rPr>
                <w:szCs w:val="16"/>
              </w:rPr>
              <w:t>? Který z obou webů žadatelé/příjemci spíše využívají (či raději využívají neoficiální, komerční weby)? Jsou pro ně webové stránky přehledné a poskytují dostatečné množství relevantních informací?</w:t>
            </w:r>
          </w:p>
        </w:tc>
      </w:tr>
      <w:tr w:rsidR="0032471F" w14:paraId="318A9C8B" w14:textId="77777777" w:rsidTr="00423E4F">
        <w:tc>
          <w:tcPr>
            <w:cnfStyle w:val="001000000000" w:firstRow="0" w:lastRow="0" w:firstColumn="1" w:lastColumn="0" w:oddVBand="0" w:evenVBand="0" w:oddHBand="0" w:evenHBand="0" w:firstRowFirstColumn="0" w:firstRowLastColumn="0" w:lastRowFirstColumn="0" w:lastRowLastColumn="0"/>
            <w:tcW w:w="728" w:type="dxa"/>
          </w:tcPr>
          <w:p w14:paraId="53F8E0F7" w14:textId="77777777" w:rsidR="0032471F" w:rsidRPr="002B756D" w:rsidRDefault="0032471F" w:rsidP="0032471F">
            <w:pPr>
              <w:spacing w:before="113" w:after="113"/>
              <w:jc w:val="center"/>
              <w:rPr>
                <w:b/>
                <w:szCs w:val="16"/>
              </w:rPr>
            </w:pPr>
            <w:r w:rsidRPr="002B756D">
              <w:rPr>
                <w:b/>
                <w:szCs w:val="16"/>
              </w:rPr>
              <w:t>C7</w:t>
            </w:r>
          </w:p>
        </w:tc>
        <w:tc>
          <w:tcPr>
            <w:tcW w:w="9364" w:type="dxa"/>
          </w:tcPr>
          <w:p w14:paraId="0DDB4FA1" w14:textId="77777777" w:rsidR="0032471F" w:rsidRPr="002B756D" w:rsidRDefault="0032471F" w:rsidP="0032471F">
            <w:pPr>
              <w:spacing w:before="113" w:after="113"/>
              <w:jc w:val="both"/>
              <w:cnfStyle w:val="000000000000" w:firstRow="0" w:lastRow="0" w:firstColumn="0" w:lastColumn="0" w:oddVBand="0" w:evenVBand="0" w:oddHBand="0" w:evenHBand="0" w:firstRowFirstColumn="0" w:firstRowLastColumn="0" w:lastRowFirstColumn="0" w:lastRowLastColumn="0"/>
              <w:rPr>
                <w:szCs w:val="16"/>
              </w:rPr>
            </w:pPr>
            <w:r w:rsidRPr="002B756D">
              <w:rPr>
                <w:szCs w:val="16"/>
              </w:rPr>
              <w:t>Jak žadatelé/příjemci hodnotí semináře/konference pořádané implementační strukturou OP PIK? O jaká témata je největší zájem? Je tento zájem dostatečně saturován?</w:t>
            </w:r>
          </w:p>
        </w:tc>
      </w:tr>
      <w:tr w:rsidR="0032471F" w14:paraId="0EC210D3" w14:textId="77777777" w:rsidTr="00423E4F">
        <w:tc>
          <w:tcPr>
            <w:cnfStyle w:val="001000000000" w:firstRow="0" w:lastRow="0" w:firstColumn="1" w:lastColumn="0" w:oddVBand="0" w:evenVBand="0" w:oddHBand="0" w:evenHBand="0" w:firstRowFirstColumn="0" w:firstRowLastColumn="0" w:lastRowFirstColumn="0" w:lastRowLastColumn="0"/>
            <w:tcW w:w="728" w:type="dxa"/>
          </w:tcPr>
          <w:p w14:paraId="2DA45E28" w14:textId="77777777" w:rsidR="0032471F" w:rsidRPr="002B756D" w:rsidRDefault="0032471F" w:rsidP="0032471F">
            <w:pPr>
              <w:spacing w:before="113" w:after="113"/>
              <w:jc w:val="center"/>
              <w:rPr>
                <w:b/>
                <w:szCs w:val="16"/>
              </w:rPr>
            </w:pPr>
            <w:r w:rsidRPr="002B756D">
              <w:rPr>
                <w:b/>
                <w:szCs w:val="16"/>
              </w:rPr>
              <w:t>C8</w:t>
            </w:r>
          </w:p>
        </w:tc>
        <w:tc>
          <w:tcPr>
            <w:tcW w:w="9364" w:type="dxa"/>
          </w:tcPr>
          <w:p w14:paraId="15BD0052" w14:textId="77777777" w:rsidR="0032471F" w:rsidRPr="002B756D" w:rsidRDefault="0032471F" w:rsidP="0032471F">
            <w:pPr>
              <w:spacing w:before="113" w:after="113"/>
              <w:jc w:val="both"/>
              <w:cnfStyle w:val="000000000000" w:firstRow="0" w:lastRow="0" w:firstColumn="0" w:lastColumn="0" w:oddVBand="0" w:evenVBand="0" w:oddHBand="0" w:evenHBand="0" w:firstRowFirstColumn="0" w:firstRowLastColumn="0" w:lastRowFirstColumn="0" w:lastRowLastColumn="0"/>
              <w:rPr>
                <w:szCs w:val="16"/>
              </w:rPr>
            </w:pPr>
            <w:r w:rsidRPr="002B756D">
              <w:rPr>
                <w:szCs w:val="16"/>
              </w:rPr>
              <w:t>Jak jsou žadatelé/příjemci spokojeni s dalšími komunikačními nástroji (sociální sítě, informační zpravodaj OPIK, Zelená linka API)? Jaké další komunikační nástroje lze doporučit?</w:t>
            </w:r>
          </w:p>
        </w:tc>
      </w:tr>
      <w:tr w:rsidR="0032471F" w14:paraId="79AE12D9" w14:textId="77777777" w:rsidTr="00423E4F">
        <w:tc>
          <w:tcPr>
            <w:cnfStyle w:val="001000000000" w:firstRow="0" w:lastRow="0" w:firstColumn="1" w:lastColumn="0" w:oddVBand="0" w:evenVBand="0" w:oddHBand="0" w:evenHBand="0" w:firstRowFirstColumn="0" w:firstRowLastColumn="0" w:lastRowFirstColumn="0" w:lastRowLastColumn="0"/>
            <w:tcW w:w="728" w:type="dxa"/>
          </w:tcPr>
          <w:p w14:paraId="460C299F" w14:textId="77777777" w:rsidR="0032471F" w:rsidRPr="002B756D" w:rsidRDefault="0032471F" w:rsidP="0032471F">
            <w:pPr>
              <w:spacing w:before="113" w:after="113"/>
              <w:jc w:val="center"/>
              <w:rPr>
                <w:b/>
                <w:szCs w:val="16"/>
              </w:rPr>
            </w:pPr>
            <w:r w:rsidRPr="002B756D">
              <w:rPr>
                <w:b/>
                <w:szCs w:val="16"/>
              </w:rPr>
              <w:t>D2</w:t>
            </w:r>
          </w:p>
        </w:tc>
        <w:tc>
          <w:tcPr>
            <w:tcW w:w="9364" w:type="dxa"/>
          </w:tcPr>
          <w:p w14:paraId="5BA590BA" w14:textId="77777777" w:rsidR="0032471F" w:rsidRPr="002B756D" w:rsidRDefault="0032471F" w:rsidP="0032471F">
            <w:pPr>
              <w:spacing w:before="113" w:after="113"/>
              <w:jc w:val="both"/>
              <w:cnfStyle w:val="000000000000" w:firstRow="0" w:lastRow="0" w:firstColumn="0" w:lastColumn="0" w:oddVBand="0" w:evenVBand="0" w:oddHBand="0" w:evenHBand="0" w:firstRowFirstColumn="0" w:firstRowLastColumn="0" w:lastRowFirstColumn="0" w:lastRowLastColumn="0"/>
              <w:rPr>
                <w:szCs w:val="16"/>
              </w:rPr>
            </w:pPr>
            <w:r w:rsidRPr="002B756D">
              <w:rPr>
                <w:szCs w:val="16"/>
              </w:rPr>
              <w:t>Vnímají žadatelé kontroly jako účelné ve smyslu snahy ŘO předejít případným problémům při budoucím auditu, nebo spíše vnímají ŘO jako kontrolora, který za každou cenu hledá chybu?</w:t>
            </w:r>
          </w:p>
        </w:tc>
      </w:tr>
    </w:tbl>
    <w:p w14:paraId="26160286" w14:textId="77777777" w:rsidR="00617123" w:rsidRDefault="00617123" w:rsidP="00E93F30">
      <w:pPr>
        <w:rPr>
          <w:highlight w:val="yellow"/>
        </w:rPr>
      </w:pPr>
    </w:p>
    <w:p w14:paraId="356B938A" w14:textId="77777777" w:rsidR="00972D90" w:rsidRDefault="00972D90" w:rsidP="00972D90">
      <w:pPr>
        <w:pStyle w:val="Highlight1"/>
      </w:pPr>
      <w:r>
        <w:t xml:space="preserve">Individuální hloubkové rozhovory </w:t>
      </w:r>
    </w:p>
    <w:p w14:paraId="7B07EC32" w14:textId="77777777" w:rsidR="00972D90" w:rsidRPr="00972D90" w:rsidRDefault="00972D90" w:rsidP="00972D90">
      <w:pPr>
        <w:pStyle w:val="Bntext"/>
      </w:pPr>
      <w:r w:rsidRPr="00972D90">
        <w:t>Evaluační otázky pro individuální hloubkové rozhovory se zástupci implementační struktury budou vycházet především z otázek navržených pro dotazníkové šetření. Jejich znění</w:t>
      </w:r>
      <w:r w:rsidR="00DC5739">
        <w:t xml:space="preserve"> bude navrženo a validováno se Z</w:t>
      </w:r>
      <w:r w:rsidRPr="00972D90">
        <w:t>adavatelem dle harmonogramu uvedeném v kapitole 5.3. Otázky mohou být násl</w:t>
      </w:r>
      <w:r w:rsidR="00DC5739">
        <w:t>edně upraveny, aby reflektovaly a</w:t>
      </w:r>
      <w:r w:rsidRPr="00972D90">
        <w:t xml:space="preserve"> doplnily zjištění či nedostatečně zodpovězené otázky z dotazníkového šetře</w:t>
      </w:r>
      <w:r w:rsidR="00DC5739">
        <w:t>ní nebo fokusní skupiny. Otázky</w:t>
      </w:r>
      <w:r w:rsidRPr="00972D90">
        <w:t xml:space="preserve"> tak mohou </w:t>
      </w:r>
      <w:r w:rsidR="00DC5739">
        <w:t>být upraveny v průběhu II. a III. fáze</w:t>
      </w:r>
      <w:r w:rsidRPr="00972D90">
        <w:t xml:space="preserve">. </w:t>
      </w:r>
    </w:p>
    <w:p w14:paraId="79FD3CE9" w14:textId="77777777" w:rsidR="00972D90" w:rsidRDefault="00972D90" w:rsidP="00E61437">
      <w:pPr>
        <w:pStyle w:val="Highlight1"/>
      </w:pPr>
    </w:p>
    <w:p w14:paraId="0316B581" w14:textId="77777777" w:rsidR="00E61437" w:rsidRDefault="00E61437" w:rsidP="00E61437">
      <w:pPr>
        <w:pStyle w:val="Highlight1"/>
      </w:pPr>
      <w:r>
        <w:t>Expertní panel</w:t>
      </w:r>
    </w:p>
    <w:p w14:paraId="193DB6E9" w14:textId="77777777" w:rsidR="00E61437" w:rsidRDefault="00747426" w:rsidP="00E61437">
      <w:pPr>
        <w:pStyle w:val="Bntext"/>
      </w:pPr>
      <w:r>
        <w:t xml:space="preserve">Sada evaluačních otázek pro účastníky expertního panelu bude vycházet z kombinace otázek pro dotazníkové šetření, fokusní skupinu a zároveň bude reflektovat </w:t>
      </w:r>
      <w:r w:rsidR="008C286A">
        <w:t xml:space="preserve">výsledky DŠ </w:t>
      </w:r>
      <w:r>
        <w:t xml:space="preserve">zjištění z hloubkových rozhovorů a fokusní skupiny. Proto bude jejich znění upřesněno v rámci další fáze evaluace. </w:t>
      </w:r>
    </w:p>
    <w:p w14:paraId="6F9EC017" w14:textId="77777777" w:rsidR="00E61437" w:rsidRPr="00E93F30" w:rsidRDefault="00E61437" w:rsidP="00E93F30">
      <w:pPr>
        <w:rPr>
          <w:highlight w:val="yellow"/>
        </w:rPr>
        <w:sectPr w:rsidR="00E61437" w:rsidRPr="00E93F30" w:rsidSect="00CE7B5B">
          <w:pgSz w:w="11906" w:h="16838" w:code="9"/>
          <w:pgMar w:top="1985" w:right="1134" w:bottom="1134" w:left="680" w:header="680" w:footer="567" w:gutter="0"/>
          <w:cols w:space="284"/>
          <w:titlePg/>
          <w:docGrid w:linePitch="360"/>
        </w:sectPr>
      </w:pPr>
    </w:p>
    <w:p w14:paraId="383C3315" w14:textId="77777777" w:rsidR="00E93F30" w:rsidRPr="0092664E" w:rsidRDefault="0092664E" w:rsidP="00C62AF1">
      <w:pPr>
        <w:pStyle w:val="Nadpis1"/>
        <w:numPr>
          <w:ilvl w:val="0"/>
          <w:numId w:val="0"/>
        </w:numPr>
      </w:pPr>
      <w:bookmarkStart w:id="54" w:name="_Toc25228661"/>
      <w:r>
        <w:lastRenderedPageBreak/>
        <w:t xml:space="preserve">Příloha </w:t>
      </w:r>
      <w:r w:rsidR="009B0D06">
        <w:t>3</w:t>
      </w:r>
      <w:r>
        <w:t xml:space="preserve">: </w:t>
      </w:r>
      <w:r w:rsidRPr="00F86CA7">
        <w:t>Přehled navrhovaných evaluačních metod</w:t>
      </w:r>
      <w:r>
        <w:t xml:space="preserve"> a </w:t>
      </w:r>
      <w:r w:rsidRPr="00F86CA7">
        <w:t>jejich výhod</w:t>
      </w:r>
      <w:r>
        <w:t xml:space="preserve"> a </w:t>
      </w:r>
      <w:r w:rsidRPr="00F86CA7">
        <w:t>omezení</w:t>
      </w:r>
      <w:bookmarkEnd w:id="54"/>
    </w:p>
    <w:p w14:paraId="788088DD" w14:textId="77777777" w:rsidR="00E93151" w:rsidRDefault="00E93151" w:rsidP="008C286A">
      <w:pPr>
        <w:pStyle w:val="Titulek"/>
        <w:jc w:val="center"/>
      </w:pPr>
      <w:bookmarkStart w:id="55" w:name="_Toc24384743"/>
      <w:r>
        <w:t xml:space="preserve">Tabulka </w:t>
      </w:r>
      <w:r>
        <w:fldChar w:fldCharType="begin"/>
      </w:r>
      <w:r>
        <w:instrText xml:space="preserve"> SEQ Tabulka \* ARABIC </w:instrText>
      </w:r>
      <w:r>
        <w:fldChar w:fldCharType="separate"/>
      </w:r>
      <w:r>
        <w:rPr>
          <w:noProof/>
        </w:rPr>
        <w:t>17</w:t>
      </w:r>
      <w:r>
        <w:fldChar w:fldCharType="end"/>
      </w:r>
      <w:r w:rsidR="008C286A">
        <w:t>:</w:t>
      </w:r>
      <w:r>
        <w:t xml:space="preserve"> Navrhované evaluační metody a jejich výhody a omezení</w:t>
      </w:r>
      <w:bookmarkEnd w:id="55"/>
    </w:p>
    <w:tbl>
      <w:tblPr>
        <w:tblStyle w:val="ListTable3-Accent31"/>
        <w:tblW w:w="5173" w:type="pct"/>
        <w:tblBorders>
          <w:left w:val="none" w:sz="0" w:space="0" w:color="auto"/>
          <w:right w:val="none" w:sz="0" w:space="0" w:color="auto"/>
          <w:insideH w:val="single" w:sz="4" w:space="0" w:color="62B5E5" w:themeColor="accent3"/>
        </w:tblBorders>
        <w:tblLook w:val="04A0" w:firstRow="1" w:lastRow="0" w:firstColumn="1" w:lastColumn="0" w:noHBand="0" w:noVBand="1"/>
      </w:tblPr>
      <w:tblGrid>
        <w:gridCol w:w="1781"/>
        <w:gridCol w:w="4148"/>
        <w:gridCol w:w="2828"/>
        <w:gridCol w:w="2419"/>
        <w:gridCol w:w="3018"/>
      </w:tblGrid>
      <w:tr w:rsidR="00E93F30" w:rsidRPr="00957C5B" w14:paraId="4D256D97" w14:textId="77777777" w:rsidTr="00EE0921">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27" w:type="pct"/>
            <w:tcBorders>
              <w:bottom w:val="none" w:sz="0" w:space="0" w:color="auto"/>
              <w:right w:val="none" w:sz="0" w:space="0" w:color="auto"/>
            </w:tcBorders>
          </w:tcPr>
          <w:p w14:paraId="760F7720" w14:textId="77777777" w:rsidR="00E93F30" w:rsidRPr="00957C5B" w:rsidRDefault="00E93F30" w:rsidP="008C286A">
            <w:pPr>
              <w:spacing w:before="113" w:line="276" w:lineRule="auto"/>
              <w:ind w:left="-24"/>
              <w:rPr>
                <w:rFonts w:cs="Arial"/>
                <w:sz w:val="16"/>
                <w:szCs w:val="16"/>
              </w:rPr>
            </w:pPr>
            <w:r w:rsidRPr="00957C5B">
              <w:rPr>
                <w:rFonts w:eastAsia="Times New Roman" w:cs="Arial"/>
                <w:sz w:val="16"/>
                <w:szCs w:val="16"/>
              </w:rPr>
              <w:t>Název metody</w:t>
            </w:r>
          </w:p>
        </w:tc>
        <w:tc>
          <w:tcPr>
            <w:tcW w:w="1461" w:type="pct"/>
          </w:tcPr>
          <w:p w14:paraId="4A59F5BE" w14:textId="77777777" w:rsidR="00E93F30" w:rsidRPr="00957C5B" w:rsidRDefault="00E93F30" w:rsidP="00215B5A">
            <w:pPr>
              <w:spacing w:before="113" w:line="276" w:lineRule="auto"/>
              <w:cnfStyle w:val="100000000000" w:firstRow="1" w:lastRow="0" w:firstColumn="0" w:lastColumn="0" w:oddVBand="0" w:evenVBand="0" w:oddHBand="0" w:evenHBand="0" w:firstRowFirstColumn="0" w:firstRowLastColumn="0" w:lastRowFirstColumn="0" w:lastRowLastColumn="0"/>
              <w:rPr>
                <w:rFonts w:cs="Arial"/>
                <w:sz w:val="16"/>
                <w:szCs w:val="16"/>
              </w:rPr>
            </w:pPr>
            <w:r w:rsidRPr="00957C5B">
              <w:rPr>
                <w:rFonts w:eastAsia="Times New Roman" w:cs="Arial"/>
                <w:sz w:val="16"/>
                <w:szCs w:val="16"/>
              </w:rPr>
              <w:t>Popis</w:t>
            </w:r>
          </w:p>
        </w:tc>
        <w:tc>
          <w:tcPr>
            <w:tcW w:w="996" w:type="pct"/>
          </w:tcPr>
          <w:p w14:paraId="7835623F" w14:textId="77777777" w:rsidR="00E93F30" w:rsidRPr="00957C5B" w:rsidRDefault="00E93F30" w:rsidP="00215B5A">
            <w:pPr>
              <w:spacing w:before="113" w:line="276" w:lineRule="auto"/>
              <w:cnfStyle w:val="100000000000" w:firstRow="1" w:lastRow="0" w:firstColumn="0" w:lastColumn="0" w:oddVBand="0" w:evenVBand="0" w:oddHBand="0" w:evenHBand="0" w:firstRowFirstColumn="0" w:firstRowLastColumn="0" w:lastRowFirstColumn="0" w:lastRowLastColumn="0"/>
              <w:rPr>
                <w:rFonts w:cs="Arial"/>
                <w:sz w:val="16"/>
                <w:szCs w:val="16"/>
              </w:rPr>
            </w:pPr>
            <w:r w:rsidRPr="00957C5B">
              <w:rPr>
                <w:rFonts w:eastAsia="Times New Roman" w:cs="Arial"/>
                <w:sz w:val="16"/>
                <w:szCs w:val="16"/>
              </w:rPr>
              <w:t>Výhody metody</w:t>
            </w:r>
          </w:p>
        </w:tc>
        <w:tc>
          <w:tcPr>
            <w:tcW w:w="852" w:type="pct"/>
          </w:tcPr>
          <w:p w14:paraId="3306FE21" w14:textId="77777777" w:rsidR="00E93F30" w:rsidRPr="00957C5B" w:rsidRDefault="00E93F30" w:rsidP="00215B5A">
            <w:pPr>
              <w:spacing w:before="113" w:line="276" w:lineRule="auto"/>
              <w:cnfStyle w:val="100000000000" w:firstRow="1" w:lastRow="0" w:firstColumn="0" w:lastColumn="0" w:oddVBand="0" w:evenVBand="0" w:oddHBand="0" w:evenHBand="0" w:firstRowFirstColumn="0" w:firstRowLastColumn="0" w:lastRowFirstColumn="0" w:lastRowLastColumn="0"/>
              <w:rPr>
                <w:rFonts w:cs="Arial"/>
                <w:sz w:val="16"/>
                <w:szCs w:val="16"/>
              </w:rPr>
            </w:pPr>
            <w:r w:rsidRPr="00957C5B">
              <w:rPr>
                <w:rFonts w:eastAsia="Times New Roman" w:cs="Arial"/>
                <w:sz w:val="16"/>
                <w:szCs w:val="16"/>
              </w:rPr>
              <w:t>Limity a nevýhody</w:t>
            </w:r>
          </w:p>
        </w:tc>
        <w:tc>
          <w:tcPr>
            <w:tcW w:w="1063" w:type="pct"/>
          </w:tcPr>
          <w:p w14:paraId="2E4FF98D" w14:textId="77777777" w:rsidR="00E93F30" w:rsidRPr="00957C5B" w:rsidRDefault="00E93F30" w:rsidP="00215B5A">
            <w:pPr>
              <w:spacing w:before="113" w:line="276" w:lineRule="auto"/>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957C5B">
              <w:rPr>
                <w:rFonts w:eastAsia="Times New Roman" w:cs="Arial"/>
                <w:sz w:val="16"/>
                <w:szCs w:val="16"/>
              </w:rPr>
              <w:t>Opatření k eliminaci limitů</w:t>
            </w:r>
          </w:p>
        </w:tc>
      </w:tr>
      <w:tr w:rsidR="00E93F30" w:rsidRPr="00957C5B" w14:paraId="614A30CC" w14:textId="77777777" w:rsidTr="00EE0921">
        <w:trPr>
          <w:cnfStyle w:val="000000100000" w:firstRow="0" w:lastRow="0" w:firstColumn="0" w:lastColumn="0" w:oddVBand="0" w:evenVBand="0" w:oddHBand="1" w:evenHBand="0" w:firstRowFirstColumn="0" w:firstRowLastColumn="0" w:lastRowFirstColumn="0" w:lastRowLastColumn="0"/>
          <w:trHeight w:val="1909"/>
        </w:trPr>
        <w:tc>
          <w:tcPr>
            <w:cnfStyle w:val="001000000000" w:firstRow="0" w:lastRow="0" w:firstColumn="1" w:lastColumn="0" w:oddVBand="0" w:evenVBand="0" w:oddHBand="0" w:evenHBand="0" w:firstRowFirstColumn="0" w:firstRowLastColumn="0" w:lastRowFirstColumn="0" w:lastRowLastColumn="0"/>
            <w:tcW w:w="627" w:type="pct"/>
            <w:tcBorders>
              <w:top w:val="none" w:sz="0" w:space="0" w:color="auto"/>
              <w:bottom w:val="none" w:sz="0" w:space="0" w:color="auto"/>
              <w:right w:val="none" w:sz="0" w:space="0" w:color="auto"/>
            </w:tcBorders>
          </w:tcPr>
          <w:p w14:paraId="2FEA0BC1" w14:textId="77777777" w:rsidR="00E93F30" w:rsidRPr="00957C5B" w:rsidRDefault="00E93F30" w:rsidP="008C286A">
            <w:pPr>
              <w:spacing w:beforeAutospacing="1" w:line="276" w:lineRule="auto"/>
              <w:ind w:left="-24"/>
              <w:rPr>
                <w:rFonts w:cs="Arial"/>
                <w:sz w:val="16"/>
                <w:szCs w:val="16"/>
              </w:rPr>
            </w:pPr>
            <w:r w:rsidRPr="00957C5B">
              <w:rPr>
                <w:rFonts w:eastAsia="Times New Roman" w:cs="Arial"/>
                <w:sz w:val="16"/>
                <w:szCs w:val="16"/>
              </w:rPr>
              <w:t>Analýza sekundárních zdrojů a dat</w:t>
            </w:r>
          </w:p>
        </w:tc>
        <w:tc>
          <w:tcPr>
            <w:tcW w:w="1461" w:type="pct"/>
            <w:tcBorders>
              <w:top w:val="none" w:sz="0" w:space="0" w:color="auto"/>
              <w:bottom w:val="none" w:sz="0" w:space="0" w:color="auto"/>
            </w:tcBorders>
          </w:tcPr>
          <w:p w14:paraId="40D1B30B" w14:textId="77777777" w:rsidR="00E93F30" w:rsidRPr="00957C5B" w:rsidRDefault="00E93F30" w:rsidP="00DF08EE">
            <w:pPr>
              <w:spacing w:before="100" w:beforeAutospacing="1" w:line="276" w:lineRule="auto"/>
              <w:cnfStyle w:val="000000100000" w:firstRow="0" w:lastRow="0" w:firstColumn="0" w:lastColumn="0" w:oddVBand="0" w:evenVBand="0" w:oddHBand="1" w:evenHBand="0" w:firstRowFirstColumn="0" w:firstRowLastColumn="0" w:lastRowFirstColumn="0" w:lastRowLastColumn="0"/>
              <w:rPr>
                <w:rFonts w:cs="Arial"/>
                <w:bCs/>
                <w:iCs/>
                <w:sz w:val="16"/>
                <w:szCs w:val="16"/>
              </w:rPr>
            </w:pPr>
            <w:r w:rsidRPr="00957C5B">
              <w:rPr>
                <w:rFonts w:eastAsia="Times New Roman" w:cs="Arial"/>
                <w:bCs/>
                <w:iCs/>
                <w:sz w:val="16"/>
                <w:szCs w:val="16"/>
              </w:rPr>
              <w:t xml:space="preserve">Sekundární zdroje představují již zpracované dokumenty využitelné pro předmětnou evaluaci. Zejména se jedná o Operační manuál OP PIK (interní dokument Zadavatele), Metodické pokyny JMP a metodické pokyny ŘO OP PIK, vybrané relevantní evaluace, odbornou literaturu, další již zpracované analýzy a studie apod. </w:t>
            </w:r>
            <w:r w:rsidR="00DF08EE">
              <w:rPr>
                <w:rFonts w:eastAsia="Times New Roman" w:cs="Arial"/>
                <w:bCs/>
                <w:iCs/>
                <w:sz w:val="16"/>
                <w:szCs w:val="16"/>
              </w:rPr>
              <w:t>Dodavatel</w:t>
            </w:r>
            <w:r w:rsidRPr="00957C5B">
              <w:rPr>
                <w:rFonts w:eastAsia="Times New Roman" w:cs="Arial"/>
                <w:bCs/>
                <w:iCs/>
                <w:sz w:val="16"/>
                <w:szCs w:val="16"/>
              </w:rPr>
              <w:t xml:space="preserve"> na základě těchto dat vytvoří meta analýzu respektive syntézu zjištěných informací.</w:t>
            </w:r>
          </w:p>
        </w:tc>
        <w:tc>
          <w:tcPr>
            <w:tcW w:w="996" w:type="pct"/>
            <w:tcBorders>
              <w:top w:val="none" w:sz="0" w:space="0" w:color="auto"/>
              <w:bottom w:val="none" w:sz="0" w:space="0" w:color="auto"/>
            </w:tcBorders>
          </w:tcPr>
          <w:p w14:paraId="47CE9539" w14:textId="77777777" w:rsidR="00E93F30" w:rsidRPr="00957C5B" w:rsidRDefault="00E93F30" w:rsidP="000B5C4D">
            <w:pPr>
              <w:pStyle w:val="Odstavecseseznamem"/>
              <w:numPr>
                <w:ilvl w:val="0"/>
                <w:numId w:val="19"/>
              </w:numPr>
              <w:spacing w:line="276" w:lineRule="auto"/>
              <w:ind w:left="303" w:hanging="218"/>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957C5B">
              <w:rPr>
                <w:rFonts w:eastAsia="Times New Roman" w:cs="Arial"/>
                <w:sz w:val="16"/>
                <w:szCs w:val="16"/>
              </w:rPr>
              <w:t>Využití již zpracovaných analýz a studií – snížení pracnosti</w:t>
            </w:r>
          </w:p>
          <w:p w14:paraId="5B3F7895" w14:textId="77777777" w:rsidR="00E93F30" w:rsidRPr="00957C5B" w:rsidRDefault="00E93F30" w:rsidP="000B5C4D">
            <w:pPr>
              <w:pStyle w:val="Odstavecseseznamem"/>
              <w:numPr>
                <w:ilvl w:val="0"/>
                <w:numId w:val="19"/>
              </w:numPr>
              <w:spacing w:line="276" w:lineRule="auto"/>
              <w:ind w:left="303" w:hanging="218"/>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957C5B">
              <w:rPr>
                <w:rFonts w:eastAsia="Times New Roman" w:cs="Arial"/>
                <w:sz w:val="16"/>
                <w:szCs w:val="16"/>
              </w:rPr>
              <w:t xml:space="preserve">Zvýšení kvality evaluace – využití expertních poznatků </w:t>
            </w:r>
          </w:p>
        </w:tc>
        <w:tc>
          <w:tcPr>
            <w:tcW w:w="852" w:type="pct"/>
            <w:tcBorders>
              <w:top w:val="none" w:sz="0" w:space="0" w:color="auto"/>
              <w:bottom w:val="none" w:sz="0" w:space="0" w:color="auto"/>
            </w:tcBorders>
          </w:tcPr>
          <w:p w14:paraId="2D01D3E8" w14:textId="77777777" w:rsidR="00E93F30" w:rsidRPr="00957C5B" w:rsidRDefault="00DF08EE" w:rsidP="000B5C4D">
            <w:pPr>
              <w:pStyle w:val="Odstavecseseznamem"/>
              <w:numPr>
                <w:ilvl w:val="0"/>
                <w:numId w:val="20"/>
              </w:numPr>
              <w:spacing w:line="276" w:lineRule="auto"/>
              <w:ind w:left="320" w:hanging="218"/>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Pr>
                <w:rFonts w:eastAsia="Times New Roman" w:cs="Arial"/>
                <w:sz w:val="16"/>
                <w:szCs w:val="16"/>
              </w:rPr>
              <w:t>Dodavatel</w:t>
            </w:r>
            <w:r w:rsidR="00E93F30" w:rsidRPr="00957C5B">
              <w:rPr>
                <w:rFonts w:eastAsia="Times New Roman" w:cs="Arial"/>
                <w:sz w:val="16"/>
                <w:szCs w:val="16"/>
              </w:rPr>
              <w:t xml:space="preserve"> negarantuje obsah a kvalitu zpracování poskytnutých dokumentů</w:t>
            </w:r>
          </w:p>
          <w:p w14:paraId="3A2B34B6" w14:textId="77777777" w:rsidR="00E93F30" w:rsidRPr="00957C5B" w:rsidRDefault="00E93F30" w:rsidP="000B5C4D">
            <w:pPr>
              <w:pStyle w:val="Odstavecseseznamem"/>
              <w:numPr>
                <w:ilvl w:val="0"/>
                <w:numId w:val="20"/>
              </w:numPr>
              <w:spacing w:line="276" w:lineRule="auto"/>
              <w:ind w:left="320" w:hanging="218"/>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957C5B">
              <w:rPr>
                <w:rFonts w:eastAsia="Times New Roman" w:cs="Arial"/>
                <w:sz w:val="16"/>
                <w:szCs w:val="16"/>
              </w:rPr>
              <w:t>Zastaralá data, subjektivní závěry</w:t>
            </w:r>
          </w:p>
        </w:tc>
        <w:tc>
          <w:tcPr>
            <w:tcW w:w="1063" w:type="pct"/>
            <w:tcBorders>
              <w:top w:val="none" w:sz="0" w:space="0" w:color="auto"/>
              <w:bottom w:val="none" w:sz="0" w:space="0" w:color="auto"/>
            </w:tcBorders>
          </w:tcPr>
          <w:p w14:paraId="26920442" w14:textId="77777777" w:rsidR="00E93F30" w:rsidRPr="00957C5B" w:rsidRDefault="00E93F30" w:rsidP="000B5C4D">
            <w:pPr>
              <w:pStyle w:val="Odstavecseseznamem"/>
              <w:numPr>
                <w:ilvl w:val="0"/>
                <w:numId w:val="23"/>
              </w:numPr>
              <w:spacing w:before="113"/>
              <w:ind w:left="338" w:hanging="218"/>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957C5B">
              <w:rPr>
                <w:sz w:val="16"/>
                <w:szCs w:val="16"/>
              </w:rPr>
              <w:t>Triangulace evaluačních metod</w:t>
            </w:r>
          </w:p>
          <w:p w14:paraId="4ABA1F28" w14:textId="77777777" w:rsidR="00E93F30" w:rsidRPr="00957C5B" w:rsidRDefault="00E93F30" w:rsidP="000B5C4D">
            <w:pPr>
              <w:pStyle w:val="Odstavecseseznamem"/>
              <w:numPr>
                <w:ilvl w:val="0"/>
                <w:numId w:val="23"/>
              </w:numPr>
              <w:spacing w:before="113"/>
              <w:ind w:left="338" w:hanging="218"/>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957C5B">
              <w:rPr>
                <w:rFonts w:eastAsia="Times New Roman" w:cs="Arial"/>
                <w:sz w:val="16"/>
                <w:szCs w:val="16"/>
              </w:rPr>
              <w:t>Uplatnění expertní praxe Deloitte pro ověření závěrů vybraných analýz</w:t>
            </w:r>
          </w:p>
        </w:tc>
      </w:tr>
      <w:tr w:rsidR="00E93F30" w:rsidRPr="00957C5B" w14:paraId="5BDE8E39" w14:textId="77777777" w:rsidTr="00EE0921">
        <w:trPr>
          <w:trHeight w:val="2545"/>
        </w:trPr>
        <w:tc>
          <w:tcPr>
            <w:cnfStyle w:val="001000000000" w:firstRow="0" w:lastRow="0" w:firstColumn="1" w:lastColumn="0" w:oddVBand="0" w:evenVBand="0" w:oddHBand="0" w:evenHBand="0" w:firstRowFirstColumn="0" w:firstRowLastColumn="0" w:lastRowFirstColumn="0" w:lastRowLastColumn="0"/>
            <w:tcW w:w="627" w:type="pct"/>
            <w:tcBorders>
              <w:right w:val="none" w:sz="0" w:space="0" w:color="auto"/>
            </w:tcBorders>
          </w:tcPr>
          <w:p w14:paraId="763EF832" w14:textId="77777777" w:rsidR="00E93F30" w:rsidRPr="00957C5B" w:rsidRDefault="00E93F30" w:rsidP="008C286A">
            <w:pPr>
              <w:spacing w:beforeAutospacing="1" w:line="276" w:lineRule="auto"/>
              <w:ind w:left="-24"/>
              <w:rPr>
                <w:rFonts w:eastAsia="Times New Roman" w:cs="Arial"/>
                <w:sz w:val="16"/>
                <w:szCs w:val="16"/>
              </w:rPr>
            </w:pPr>
            <w:r w:rsidRPr="00957C5B">
              <w:rPr>
                <w:rFonts w:eastAsia="Times New Roman" w:cs="Arial"/>
                <w:sz w:val="16"/>
                <w:szCs w:val="16"/>
              </w:rPr>
              <w:t>Individuální</w:t>
            </w:r>
            <w:r w:rsidR="001B436F">
              <w:rPr>
                <w:rFonts w:eastAsia="Times New Roman" w:cs="Arial"/>
                <w:sz w:val="16"/>
                <w:szCs w:val="16"/>
              </w:rPr>
              <w:t xml:space="preserve"> hloubkový</w:t>
            </w:r>
            <w:r w:rsidRPr="00957C5B">
              <w:rPr>
                <w:rFonts w:eastAsia="Times New Roman" w:cs="Arial"/>
                <w:sz w:val="16"/>
                <w:szCs w:val="16"/>
              </w:rPr>
              <w:t xml:space="preserve"> rozhovor</w:t>
            </w:r>
            <w:r>
              <w:rPr>
                <w:rFonts w:eastAsia="Times New Roman" w:cs="Arial"/>
                <w:sz w:val="16"/>
                <w:szCs w:val="16"/>
              </w:rPr>
              <w:t xml:space="preserve"> (I</w:t>
            </w:r>
            <w:r w:rsidR="001B436F">
              <w:rPr>
                <w:rFonts w:eastAsia="Times New Roman" w:cs="Arial"/>
                <w:sz w:val="16"/>
                <w:szCs w:val="16"/>
              </w:rPr>
              <w:t>H</w:t>
            </w:r>
            <w:r>
              <w:rPr>
                <w:rFonts w:eastAsia="Times New Roman" w:cs="Arial"/>
                <w:sz w:val="16"/>
                <w:szCs w:val="16"/>
              </w:rPr>
              <w:t>R)</w:t>
            </w:r>
          </w:p>
        </w:tc>
        <w:tc>
          <w:tcPr>
            <w:tcW w:w="1461" w:type="pct"/>
          </w:tcPr>
          <w:p w14:paraId="68C47A31" w14:textId="77777777" w:rsidR="00E93F30" w:rsidRPr="00957C5B" w:rsidRDefault="00E93F30" w:rsidP="001B436F">
            <w:pPr>
              <w:spacing w:beforeAutospacing="1"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6"/>
              </w:rPr>
            </w:pPr>
            <w:r w:rsidRPr="00957C5B">
              <w:rPr>
                <w:rFonts w:eastAsia="Times New Roman" w:cs="Arial"/>
                <w:sz w:val="16"/>
                <w:szCs w:val="16"/>
              </w:rPr>
              <w:t xml:space="preserve">Jedná se o </w:t>
            </w:r>
            <w:r w:rsidR="001B436F">
              <w:rPr>
                <w:rFonts w:eastAsia="Times New Roman" w:cs="Arial"/>
                <w:sz w:val="16"/>
                <w:szCs w:val="16"/>
              </w:rPr>
              <w:t xml:space="preserve">polo-strukturovaný </w:t>
            </w:r>
            <w:r w:rsidRPr="00957C5B">
              <w:rPr>
                <w:rFonts w:eastAsia="Times New Roman" w:cs="Arial"/>
                <w:sz w:val="16"/>
                <w:szCs w:val="16"/>
              </w:rPr>
              <w:t>rozhovor s informátorem, jehož cílem je sběr specifických informací prostřednictvím přímého dotazování. Technika se používá ke shromáždění kvalitativních informací a názorů těch, kteří jsou např. znalí určité posuzované oblasti (administrace projektů) či přímo ovlivněni programem.</w:t>
            </w:r>
          </w:p>
        </w:tc>
        <w:tc>
          <w:tcPr>
            <w:tcW w:w="996" w:type="pct"/>
          </w:tcPr>
          <w:p w14:paraId="54909685" w14:textId="77777777" w:rsidR="00E93F30" w:rsidRPr="00957C5B" w:rsidRDefault="00E93F30" w:rsidP="000B5C4D">
            <w:pPr>
              <w:pStyle w:val="Odstavecseseznamem"/>
              <w:numPr>
                <w:ilvl w:val="0"/>
                <w:numId w:val="19"/>
              </w:numPr>
              <w:spacing w:line="276" w:lineRule="auto"/>
              <w:ind w:left="303" w:hanging="218"/>
              <w:cnfStyle w:val="000000000000" w:firstRow="0" w:lastRow="0" w:firstColumn="0" w:lastColumn="0" w:oddVBand="0" w:evenVBand="0" w:oddHBand="0" w:evenHBand="0" w:firstRowFirstColumn="0" w:firstRowLastColumn="0" w:lastRowFirstColumn="0" w:lastRowLastColumn="0"/>
              <w:rPr>
                <w:rFonts w:eastAsia="Times New Roman" w:cs="Arial"/>
                <w:sz w:val="16"/>
                <w:szCs w:val="16"/>
              </w:rPr>
            </w:pPr>
            <w:r w:rsidRPr="00957C5B">
              <w:rPr>
                <w:rFonts w:eastAsia="Times New Roman" w:cs="Arial"/>
                <w:sz w:val="16"/>
                <w:szCs w:val="16"/>
              </w:rPr>
              <w:t>Vhodné využití v případě potřeby získání nezkreslené výpovědi o skutečném stavu, zamezení externích vlivů vedoucích k deformaci názoru, např. v rámci fokusní skupiny</w:t>
            </w:r>
          </w:p>
        </w:tc>
        <w:tc>
          <w:tcPr>
            <w:tcW w:w="852" w:type="pct"/>
          </w:tcPr>
          <w:p w14:paraId="49EB5BA9" w14:textId="77777777" w:rsidR="00E93F30" w:rsidRPr="00957C5B" w:rsidRDefault="00E93F30" w:rsidP="000B5C4D">
            <w:pPr>
              <w:pStyle w:val="Odstavecseseznamem"/>
              <w:numPr>
                <w:ilvl w:val="0"/>
                <w:numId w:val="20"/>
              </w:numPr>
              <w:spacing w:line="276" w:lineRule="auto"/>
              <w:ind w:left="320" w:hanging="218"/>
              <w:cnfStyle w:val="000000000000" w:firstRow="0" w:lastRow="0" w:firstColumn="0" w:lastColumn="0" w:oddVBand="0" w:evenVBand="0" w:oddHBand="0" w:evenHBand="0" w:firstRowFirstColumn="0" w:firstRowLastColumn="0" w:lastRowFirstColumn="0" w:lastRowLastColumn="0"/>
              <w:rPr>
                <w:rFonts w:eastAsia="Times New Roman" w:cs="Arial"/>
                <w:sz w:val="16"/>
                <w:szCs w:val="16"/>
              </w:rPr>
            </w:pPr>
            <w:r w:rsidRPr="00957C5B">
              <w:rPr>
                <w:rFonts w:eastAsia="Times New Roman" w:cs="Arial"/>
                <w:sz w:val="16"/>
                <w:szCs w:val="16"/>
              </w:rPr>
              <w:t>Časová náročnost</w:t>
            </w:r>
          </w:p>
          <w:p w14:paraId="65283916" w14:textId="77777777" w:rsidR="00E93F30" w:rsidRPr="00957C5B" w:rsidRDefault="00E93F30" w:rsidP="000B5C4D">
            <w:pPr>
              <w:pStyle w:val="Odstavecseseznamem"/>
              <w:numPr>
                <w:ilvl w:val="0"/>
                <w:numId w:val="20"/>
              </w:numPr>
              <w:spacing w:line="276" w:lineRule="auto"/>
              <w:ind w:left="320" w:hanging="218"/>
              <w:cnfStyle w:val="000000000000" w:firstRow="0" w:lastRow="0" w:firstColumn="0" w:lastColumn="0" w:oddVBand="0" w:evenVBand="0" w:oddHBand="0" w:evenHBand="0" w:firstRowFirstColumn="0" w:firstRowLastColumn="0" w:lastRowFirstColumn="0" w:lastRowLastColumn="0"/>
              <w:rPr>
                <w:rFonts w:eastAsia="Times New Roman" w:cs="Arial"/>
                <w:sz w:val="16"/>
                <w:szCs w:val="16"/>
              </w:rPr>
            </w:pPr>
            <w:r w:rsidRPr="00957C5B">
              <w:rPr>
                <w:rFonts w:eastAsia="Times New Roman" w:cs="Arial"/>
                <w:sz w:val="16"/>
                <w:szCs w:val="16"/>
              </w:rPr>
              <w:t>Personifikace výsledků hodnocení</w:t>
            </w:r>
          </w:p>
        </w:tc>
        <w:tc>
          <w:tcPr>
            <w:tcW w:w="1063" w:type="pct"/>
          </w:tcPr>
          <w:p w14:paraId="5322E0E6" w14:textId="77777777" w:rsidR="00E93F30" w:rsidRPr="00957C5B" w:rsidRDefault="00E93F30" w:rsidP="000B5C4D">
            <w:pPr>
              <w:pStyle w:val="Odstavecseseznamem"/>
              <w:numPr>
                <w:ilvl w:val="0"/>
                <w:numId w:val="23"/>
              </w:numPr>
              <w:spacing w:before="113"/>
              <w:ind w:left="338" w:hanging="218"/>
              <w:cnfStyle w:val="000000000000" w:firstRow="0" w:lastRow="0" w:firstColumn="0" w:lastColumn="0" w:oddVBand="0" w:evenVBand="0" w:oddHBand="0" w:evenHBand="0" w:firstRowFirstColumn="0" w:firstRowLastColumn="0" w:lastRowFirstColumn="0" w:lastRowLastColumn="0"/>
              <w:rPr>
                <w:sz w:val="16"/>
                <w:szCs w:val="16"/>
              </w:rPr>
            </w:pPr>
            <w:r w:rsidRPr="00957C5B">
              <w:rPr>
                <w:sz w:val="16"/>
                <w:szCs w:val="16"/>
              </w:rPr>
              <w:t xml:space="preserve">Upřednostnění kontaktů </w:t>
            </w:r>
            <w:r w:rsidR="00DF08EE">
              <w:rPr>
                <w:sz w:val="16"/>
                <w:szCs w:val="16"/>
              </w:rPr>
              <w:t>Dodavatele</w:t>
            </w:r>
            <w:r w:rsidRPr="00957C5B">
              <w:rPr>
                <w:sz w:val="16"/>
                <w:szCs w:val="16"/>
              </w:rPr>
              <w:t>, se kterými má dobrou zkušenost</w:t>
            </w:r>
          </w:p>
          <w:p w14:paraId="7C1AC492" w14:textId="77777777" w:rsidR="00E93F30" w:rsidRPr="00957C5B" w:rsidRDefault="00E93F30" w:rsidP="000B5C4D">
            <w:pPr>
              <w:pStyle w:val="Odstavecseseznamem"/>
              <w:numPr>
                <w:ilvl w:val="0"/>
                <w:numId w:val="23"/>
              </w:numPr>
              <w:spacing w:before="113"/>
              <w:ind w:left="338" w:hanging="218"/>
              <w:cnfStyle w:val="000000000000" w:firstRow="0" w:lastRow="0" w:firstColumn="0" w:lastColumn="0" w:oddVBand="0" w:evenVBand="0" w:oddHBand="0" w:evenHBand="0" w:firstRowFirstColumn="0" w:firstRowLastColumn="0" w:lastRowFirstColumn="0" w:lastRowLastColumn="0"/>
              <w:rPr>
                <w:sz w:val="16"/>
                <w:szCs w:val="16"/>
              </w:rPr>
            </w:pPr>
            <w:r w:rsidRPr="00957C5B">
              <w:rPr>
                <w:sz w:val="16"/>
                <w:szCs w:val="16"/>
              </w:rPr>
              <w:t>Přistoupení k telefonickému dotazování, což nabízí možnost oslovení více respondentů</w:t>
            </w:r>
          </w:p>
          <w:p w14:paraId="29F42042" w14:textId="77777777" w:rsidR="00E93F30" w:rsidRPr="00957C5B" w:rsidRDefault="00E93F30" w:rsidP="000B5C4D">
            <w:pPr>
              <w:pStyle w:val="Odstavecseseznamem"/>
              <w:numPr>
                <w:ilvl w:val="0"/>
                <w:numId w:val="23"/>
              </w:numPr>
              <w:spacing w:before="113"/>
              <w:ind w:left="338" w:hanging="218"/>
              <w:cnfStyle w:val="000000000000" w:firstRow="0" w:lastRow="0" w:firstColumn="0" w:lastColumn="0" w:oddVBand="0" w:evenVBand="0" w:oddHBand="0" w:evenHBand="0" w:firstRowFirstColumn="0" w:firstRowLastColumn="0" w:lastRowFirstColumn="0" w:lastRowLastColumn="0"/>
              <w:rPr>
                <w:sz w:val="16"/>
                <w:szCs w:val="16"/>
              </w:rPr>
            </w:pPr>
            <w:r w:rsidRPr="00957C5B">
              <w:rPr>
                <w:sz w:val="16"/>
                <w:szCs w:val="16"/>
              </w:rPr>
              <w:t>Informování respondentů o přínosu pro nastavení OP a významu zakázky</w:t>
            </w:r>
          </w:p>
          <w:p w14:paraId="15864A56" w14:textId="77777777" w:rsidR="00E93F30" w:rsidRPr="00957C5B" w:rsidRDefault="00E93F30" w:rsidP="000B5C4D">
            <w:pPr>
              <w:pStyle w:val="Odstavecseseznamem"/>
              <w:numPr>
                <w:ilvl w:val="0"/>
                <w:numId w:val="23"/>
              </w:numPr>
              <w:spacing w:before="113"/>
              <w:ind w:left="338" w:hanging="218"/>
              <w:cnfStyle w:val="000000000000" w:firstRow="0" w:lastRow="0" w:firstColumn="0" w:lastColumn="0" w:oddVBand="0" w:evenVBand="0" w:oddHBand="0" w:evenHBand="0" w:firstRowFirstColumn="0" w:firstRowLastColumn="0" w:lastRowFirstColumn="0" w:lastRowLastColumn="0"/>
              <w:rPr>
                <w:sz w:val="16"/>
                <w:szCs w:val="16"/>
              </w:rPr>
            </w:pPr>
            <w:r w:rsidRPr="00957C5B">
              <w:rPr>
                <w:sz w:val="16"/>
                <w:szCs w:val="16"/>
              </w:rPr>
              <w:t>Scénář individuálního rozhovoru bude obsahovat otázky s účelem eliminace tohoto jevu</w:t>
            </w:r>
          </w:p>
        </w:tc>
      </w:tr>
      <w:tr w:rsidR="00E93F30" w:rsidRPr="00957C5B" w14:paraId="3831B9E2" w14:textId="77777777" w:rsidTr="00EE09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7" w:type="pct"/>
            <w:tcBorders>
              <w:top w:val="none" w:sz="0" w:space="0" w:color="auto"/>
              <w:bottom w:val="none" w:sz="0" w:space="0" w:color="auto"/>
              <w:right w:val="none" w:sz="0" w:space="0" w:color="auto"/>
            </w:tcBorders>
          </w:tcPr>
          <w:p w14:paraId="0402F767" w14:textId="77777777" w:rsidR="00E93F30" w:rsidRPr="00957C5B" w:rsidRDefault="00E93F30" w:rsidP="008C286A">
            <w:pPr>
              <w:spacing w:beforeAutospacing="1" w:line="276" w:lineRule="auto"/>
              <w:ind w:left="-24"/>
              <w:rPr>
                <w:rFonts w:cs="Arial"/>
                <w:sz w:val="16"/>
                <w:szCs w:val="16"/>
              </w:rPr>
            </w:pPr>
            <w:r w:rsidRPr="00957C5B">
              <w:rPr>
                <w:rFonts w:eastAsia="Times New Roman" w:cs="Arial"/>
                <w:sz w:val="16"/>
                <w:szCs w:val="16"/>
              </w:rPr>
              <w:t>Fokusní skupina</w:t>
            </w:r>
            <w:r>
              <w:rPr>
                <w:rFonts w:eastAsia="Times New Roman" w:cs="Arial"/>
                <w:sz w:val="16"/>
                <w:szCs w:val="16"/>
              </w:rPr>
              <w:t xml:space="preserve"> (FS)</w:t>
            </w:r>
          </w:p>
        </w:tc>
        <w:tc>
          <w:tcPr>
            <w:tcW w:w="1461" w:type="pct"/>
            <w:tcBorders>
              <w:top w:val="none" w:sz="0" w:space="0" w:color="auto"/>
              <w:bottom w:val="none" w:sz="0" w:space="0" w:color="auto"/>
            </w:tcBorders>
          </w:tcPr>
          <w:p w14:paraId="00D9E3F8" w14:textId="77777777" w:rsidR="00E93F30" w:rsidRPr="00957C5B" w:rsidRDefault="00E93F30" w:rsidP="001B436F">
            <w:pPr>
              <w:spacing w:beforeAutospacing="1" w:line="276" w:lineRule="auto"/>
              <w:cnfStyle w:val="000000100000" w:firstRow="0" w:lastRow="0" w:firstColumn="0" w:lastColumn="0" w:oddVBand="0" w:evenVBand="0" w:oddHBand="1" w:evenHBand="0" w:firstRowFirstColumn="0" w:firstRowLastColumn="0" w:lastRowFirstColumn="0" w:lastRowLastColumn="0"/>
              <w:rPr>
                <w:rFonts w:eastAsia="Times New Roman" w:cs="Arial"/>
                <w:bCs/>
                <w:iCs/>
                <w:sz w:val="16"/>
                <w:szCs w:val="16"/>
              </w:rPr>
            </w:pPr>
            <w:r w:rsidRPr="00957C5B">
              <w:rPr>
                <w:rFonts w:eastAsia="Times New Roman" w:cs="Arial"/>
                <w:bCs/>
                <w:iCs/>
                <w:sz w:val="16"/>
                <w:szCs w:val="16"/>
              </w:rPr>
              <w:t xml:space="preserve">Fokusní skupina s klienty OP PIK. Prostřednictvím řízené diskuze budou zjišťovány názory respondentů na realizované administrativní postupy a doporučení do budoucna. Technika fokusní skupiny je obzvláště hodnotná v případě komplexní problematiky, která vyžaduje důkladný průzkum. Typické provedení fokusních skupin </w:t>
            </w:r>
            <w:r w:rsidRPr="00957C5B">
              <w:rPr>
                <w:rFonts w:eastAsia="Times New Roman" w:cs="Arial"/>
                <w:bCs/>
                <w:iCs/>
                <w:sz w:val="16"/>
                <w:szCs w:val="16"/>
              </w:rPr>
              <w:lastRenderedPageBreak/>
              <w:t xml:space="preserve">zahrnuje relativně homogenní skupinu </w:t>
            </w:r>
            <w:r w:rsidR="001B436F">
              <w:rPr>
                <w:rFonts w:eastAsia="Times New Roman" w:cs="Arial"/>
                <w:bCs/>
                <w:iCs/>
                <w:sz w:val="16"/>
                <w:szCs w:val="16"/>
              </w:rPr>
              <w:t>6 - 10</w:t>
            </w:r>
            <w:r w:rsidRPr="00957C5B">
              <w:rPr>
                <w:rFonts w:eastAsia="Times New Roman" w:cs="Arial"/>
                <w:bCs/>
                <w:iCs/>
                <w:sz w:val="16"/>
                <w:szCs w:val="16"/>
              </w:rPr>
              <w:t xml:space="preserve"> lidí, kteří se účastní setkání v časovém rozsahu </w:t>
            </w:r>
            <w:r w:rsidR="001B436F">
              <w:rPr>
                <w:rFonts w:eastAsia="Times New Roman" w:cs="Arial"/>
                <w:bCs/>
                <w:iCs/>
                <w:sz w:val="16"/>
                <w:szCs w:val="16"/>
              </w:rPr>
              <w:t xml:space="preserve">1,5 </w:t>
            </w:r>
            <w:r w:rsidRPr="00957C5B">
              <w:rPr>
                <w:rFonts w:eastAsia="Times New Roman" w:cs="Arial"/>
                <w:bCs/>
                <w:iCs/>
                <w:sz w:val="16"/>
                <w:szCs w:val="16"/>
              </w:rPr>
              <w:t xml:space="preserve">až </w:t>
            </w:r>
            <w:r w:rsidR="001B436F">
              <w:rPr>
                <w:rFonts w:eastAsia="Times New Roman" w:cs="Arial"/>
                <w:bCs/>
                <w:iCs/>
                <w:sz w:val="16"/>
                <w:szCs w:val="16"/>
              </w:rPr>
              <w:t>2</w:t>
            </w:r>
            <w:r w:rsidRPr="00957C5B">
              <w:rPr>
                <w:rFonts w:eastAsia="Times New Roman" w:cs="Arial"/>
                <w:bCs/>
                <w:iCs/>
                <w:sz w:val="16"/>
                <w:szCs w:val="16"/>
              </w:rPr>
              <w:t xml:space="preserve"> hodin</w:t>
            </w:r>
            <w:r w:rsidR="001B436F">
              <w:rPr>
                <w:rFonts w:eastAsia="Times New Roman" w:cs="Arial"/>
                <w:bCs/>
                <w:iCs/>
                <w:sz w:val="16"/>
                <w:szCs w:val="16"/>
              </w:rPr>
              <w:t>y</w:t>
            </w:r>
            <w:r w:rsidRPr="00957C5B">
              <w:rPr>
                <w:rFonts w:eastAsia="Times New Roman" w:cs="Arial"/>
                <w:bCs/>
                <w:iCs/>
                <w:sz w:val="16"/>
                <w:szCs w:val="16"/>
              </w:rPr>
              <w:t xml:space="preserve">. Interakce skupiny je usnadněna moderátorem, který předloží skupině témata nebo otázky k diskusi. </w:t>
            </w:r>
          </w:p>
        </w:tc>
        <w:tc>
          <w:tcPr>
            <w:tcW w:w="996" w:type="pct"/>
            <w:tcBorders>
              <w:top w:val="none" w:sz="0" w:space="0" w:color="auto"/>
              <w:bottom w:val="none" w:sz="0" w:space="0" w:color="auto"/>
            </w:tcBorders>
          </w:tcPr>
          <w:p w14:paraId="420B4163" w14:textId="77777777" w:rsidR="00E93F30" w:rsidRPr="00957C5B" w:rsidRDefault="00E93F30" w:rsidP="000B5C4D">
            <w:pPr>
              <w:pStyle w:val="Odstavecseseznamem"/>
              <w:numPr>
                <w:ilvl w:val="0"/>
                <w:numId w:val="19"/>
              </w:numPr>
              <w:spacing w:line="276" w:lineRule="auto"/>
              <w:ind w:left="303" w:hanging="218"/>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957C5B">
              <w:rPr>
                <w:rFonts w:eastAsia="Times New Roman" w:cs="Arial"/>
                <w:sz w:val="16"/>
                <w:szCs w:val="16"/>
              </w:rPr>
              <w:lastRenderedPageBreak/>
              <w:t>Shromáždění velkého množství kvalitních informací v krátkém čase</w:t>
            </w:r>
          </w:p>
          <w:p w14:paraId="44D857D2" w14:textId="77777777" w:rsidR="00E93F30" w:rsidRPr="00957C5B" w:rsidRDefault="00E93F30" w:rsidP="000B5C4D">
            <w:pPr>
              <w:pStyle w:val="Odstavecseseznamem"/>
              <w:numPr>
                <w:ilvl w:val="0"/>
                <w:numId w:val="19"/>
              </w:numPr>
              <w:spacing w:line="276" w:lineRule="auto"/>
              <w:ind w:left="303" w:hanging="218"/>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957C5B">
              <w:rPr>
                <w:rFonts w:eastAsia="Times New Roman" w:cs="Arial"/>
                <w:sz w:val="16"/>
                <w:szCs w:val="16"/>
              </w:rPr>
              <w:t>Různé pohledy účastníků vytvářené účastí v sociální interakci</w:t>
            </w:r>
          </w:p>
          <w:p w14:paraId="3AADE4F6" w14:textId="77777777" w:rsidR="00E93F30" w:rsidRPr="00957C5B" w:rsidRDefault="00E93F30" w:rsidP="000B5C4D">
            <w:pPr>
              <w:pStyle w:val="Odstavecseseznamem"/>
              <w:numPr>
                <w:ilvl w:val="0"/>
                <w:numId w:val="19"/>
              </w:numPr>
              <w:spacing w:line="276" w:lineRule="auto"/>
              <w:ind w:left="303" w:hanging="218"/>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957C5B">
              <w:rPr>
                <w:rFonts w:eastAsia="Times New Roman" w:cs="Arial"/>
                <w:sz w:val="16"/>
                <w:szCs w:val="16"/>
              </w:rPr>
              <w:lastRenderedPageBreak/>
              <w:t>Zahrnutím klientů programu jsou závěry důvěryhodnější a snadněji akceptovatelné</w:t>
            </w:r>
          </w:p>
          <w:p w14:paraId="3C358AC2" w14:textId="77777777" w:rsidR="00E93F30" w:rsidRPr="00957C5B" w:rsidRDefault="00E93F30" w:rsidP="000B5C4D">
            <w:pPr>
              <w:pStyle w:val="Odstavecseseznamem"/>
              <w:numPr>
                <w:ilvl w:val="0"/>
                <w:numId w:val="19"/>
              </w:numPr>
              <w:spacing w:line="276" w:lineRule="auto"/>
              <w:ind w:left="303" w:hanging="218"/>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957C5B">
              <w:rPr>
                <w:rFonts w:eastAsia="Times New Roman" w:cs="Arial"/>
                <w:sz w:val="16"/>
                <w:szCs w:val="16"/>
              </w:rPr>
              <w:t xml:space="preserve">Mnohostrannost </w:t>
            </w:r>
          </w:p>
          <w:p w14:paraId="6D1902B3" w14:textId="77777777" w:rsidR="00E93F30" w:rsidRPr="00957C5B" w:rsidRDefault="00E93F30" w:rsidP="000B5C4D">
            <w:pPr>
              <w:pStyle w:val="Odstavecseseznamem"/>
              <w:numPr>
                <w:ilvl w:val="0"/>
                <w:numId w:val="19"/>
              </w:numPr>
              <w:spacing w:line="276" w:lineRule="auto"/>
              <w:ind w:left="303" w:hanging="218"/>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957C5B">
              <w:rPr>
                <w:rFonts w:eastAsia="Times New Roman" w:cs="Arial"/>
                <w:sz w:val="16"/>
                <w:szCs w:val="16"/>
              </w:rPr>
              <w:t>Možnost pracovat s různými typy respondentů</w:t>
            </w:r>
          </w:p>
          <w:p w14:paraId="73897F24" w14:textId="77777777" w:rsidR="00E93F30" w:rsidRPr="00957C5B" w:rsidRDefault="00E93F30" w:rsidP="00EE0921">
            <w:pPr>
              <w:pStyle w:val="Odstavecseseznamem"/>
              <w:numPr>
                <w:ilvl w:val="0"/>
                <w:numId w:val="19"/>
              </w:numPr>
              <w:spacing w:line="276" w:lineRule="auto"/>
              <w:ind w:left="303" w:hanging="218"/>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957C5B">
              <w:rPr>
                <w:rFonts w:eastAsia="Times New Roman" w:cs="Arial"/>
                <w:sz w:val="16"/>
                <w:szCs w:val="16"/>
              </w:rPr>
              <w:t xml:space="preserve">Možnost diskutování několika evaluačních okruhů, což zajišťuje minimalizaci zatížení pracovníků </w:t>
            </w:r>
            <w:r w:rsidR="00EE0921">
              <w:rPr>
                <w:rFonts w:eastAsia="Times New Roman" w:cs="Arial"/>
                <w:sz w:val="16"/>
                <w:szCs w:val="16"/>
              </w:rPr>
              <w:t>OP PIK</w:t>
            </w:r>
          </w:p>
        </w:tc>
        <w:tc>
          <w:tcPr>
            <w:tcW w:w="852" w:type="pct"/>
            <w:tcBorders>
              <w:top w:val="none" w:sz="0" w:space="0" w:color="auto"/>
              <w:bottom w:val="none" w:sz="0" w:space="0" w:color="auto"/>
            </w:tcBorders>
          </w:tcPr>
          <w:p w14:paraId="7CDF7A7E" w14:textId="77777777" w:rsidR="00E93F30" w:rsidRPr="00957C5B" w:rsidRDefault="00E93F30" w:rsidP="000B5C4D">
            <w:pPr>
              <w:pStyle w:val="Odstavecseseznamem"/>
              <w:numPr>
                <w:ilvl w:val="0"/>
                <w:numId w:val="20"/>
              </w:numPr>
              <w:spacing w:line="276" w:lineRule="auto"/>
              <w:ind w:left="320" w:hanging="218"/>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957C5B">
              <w:rPr>
                <w:rFonts w:eastAsia="Times New Roman" w:cs="Arial"/>
                <w:sz w:val="16"/>
                <w:szCs w:val="16"/>
              </w:rPr>
              <w:lastRenderedPageBreak/>
              <w:t xml:space="preserve">Riziko špatného výběru respondentů, kteří neodráží většinový názor cílové skupiny </w:t>
            </w:r>
          </w:p>
          <w:p w14:paraId="246B1BB3" w14:textId="77777777" w:rsidR="00E93F30" w:rsidRPr="00957C5B" w:rsidRDefault="00E93F30" w:rsidP="000B5C4D">
            <w:pPr>
              <w:pStyle w:val="Odstavecseseznamem"/>
              <w:numPr>
                <w:ilvl w:val="0"/>
                <w:numId w:val="20"/>
              </w:numPr>
              <w:spacing w:line="276" w:lineRule="auto"/>
              <w:ind w:left="320" w:hanging="218"/>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957C5B">
              <w:rPr>
                <w:rFonts w:eastAsia="Times New Roman" w:cs="Arial"/>
                <w:sz w:val="16"/>
                <w:szCs w:val="16"/>
              </w:rPr>
              <w:t>Riziko ostychu v rámci skupiny</w:t>
            </w:r>
          </w:p>
          <w:p w14:paraId="3C127978" w14:textId="77777777" w:rsidR="00E93F30" w:rsidRPr="00957C5B" w:rsidRDefault="00E93F30" w:rsidP="000B5C4D">
            <w:pPr>
              <w:pStyle w:val="Odstavecseseznamem"/>
              <w:numPr>
                <w:ilvl w:val="0"/>
                <w:numId w:val="20"/>
              </w:numPr>
              <w:spacing w:line="276" w:lineRule="auto"/>
              <w:ind w:left="320" w:hanging="218"/>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957C5B">
              <w:rPr>
                <w:rFonts w:eastAsia="Times New Roman" w:cs="Arial"/>
                <w:sz w:val="16"/>
                <w:szCs w:val="16"/>
              </w:rPr>
              <w:lastRenderedPageBreak/>
              <w:t>Zkreslování informací pod dojmem ostatních účastníků</w:t>
            </w:r>
          </w:p>
          <w:p w14:paraId="2BCAC976" w14:textId="77777777" w:rsidR="00E93F30" w:rsidRPr="00957C5B" w:rsidRDefault="00E93F30" w:rsidP="000B5C4D">
            <w:pPr>
              <w:pStyle w:val="Odstavecseseznamem"/>
              <w:numPr>
                <w:ilvl w:val="0"/>
                <w:numId w:val="20"/>
              </w:numPr>
              <w:spacing w:line="276" w:lineRule="auto"/>
              <w:ind w:left="320" w:hanging="218"/>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957C5B">
              <w:rPr>
                <w:rFonts w:eastAsia="Times New Roman" w:cs="Arial"/>
                <w:sz w:val="16"/>
                <w:szCs w:val="16"/>
              </w:rPr>
              <w:t>Riziko nezájmu o účast ve fokusní skupině</w:t>
            </w:r>
          </w:p>
          <w:p w14:paraId="1D9F77AE" w14:textId="77777777" w:rsidR="00E93F30" w:rsidRPr="00957C5B" w:rsidRDefault="00E93F30" w:rsidP="000B5C4D">
            <w:pPr>
              <w:pStyle w:val="Odstavecseseznamem"/>
              <w:numPr>
                <w:ilvl w:val="0"/>
                <w:numId w:val="20"/>
              </w:numPr>
              <w:spacing w:line="276" w:lineRule="auto"/>
              <w:ind w:left="320" w:hanging="218"/>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957C5B">
              <w:rPr>
                <w:rFonts w:eastAsia="Times New Roman" w:cs="Arial"/>
                <w:sz w:val="16"/>
                <w:szCs w:val="16"/>
              </w:rPr>
              <w:t>Riziko nedostatečného prostoru pro vyjádření všech účastníků</w:t>
            </w:r>
          </w:p>
        </w:tc>
        <w:tc>
          <w:tcPr>
            <w:tcW w:w="1063" w:type="pct"/>
            <w:tcBorders>
              <w:top w:val="none" w:sz="0" w:space="0" w:color="auto"/>
              <w:bottom w:val="none" w:sz="0" w:space="0" w:color="auto"/>
            </w:tcBorders>
          </w:tcPr>
          <w:p w14:paraId="09BF1074" w14:textId="77777777" w:rsidR="00E93F30" w:rsidRPr="00957C5B" w:rsidRDefault="00E93F30" w:rsidP="000B5C4D">
            <w:pPr>
              <w:pStyle w:val="Odstavecseseznamem"/>
              <w:numPr>
                <w:ilvl w:val="0"/>
                <w:numId w:val="23"/>
              </w:numPr>
              <w:spacing w:before="113"/>
              <w:ind w:left="338" w:hanging="218"/>
              <w:cnfStyle w:val="000000100000" w:firstRow="0" w:lastRow="0" w:firstColumn="0" w:lastColumn="0" w:oddVBand="0" w:evenVBand="0" w:oddHBand="1" w:evenHBand="0" w:firstRowFirstColumn="0" w:firstRowLastColumn="0" w:lastRowFirstColumn="0" w:lastRowLastColumn="0"/>
              <w:rPr>
                <w:sz w:val="16"/>
                <w:szCs w:val="16"/>
              </w:rPr>
            </w:pPr>
            <w:r w:rsidRPr="00957C5B">
              <w:rPr>
                <w:sz w:val="16"/>
                <w:szCs w:val="16"/>
              </w:rPr>
              <w:lastRenderedPageBreak/>
              <w:t xml:space="preserve">Využití předchozích dobrých zkušeností </w:t>
            </w:r>
            <w:r w:rsidR="00DF08EE">
              <w:rPr>
                <w:sz w:val="16"/>
                <w:szCs w:val="16"/>
              </w:rPr>
              <w:t>Dodavatele</w:t>
            </w:r>
            <w:r w:rsidRPr="00957C5B">
              <w:rPr>
                <w:sz w:val="16"/>
                <w:szCs w:val="16"/>
              </w:rPr>
              <w:t xml:space="preserve"> i Zadavatele s výběrem informátorů, respondentů</w:t>
            </w:r>
          </w:p>
          <w:p w14:paraId="01E6D523" w14:textId="77777777" w:rsidR="00E93F30" w:rsidRPr="00957C5B" w:rsidRDefault="00E93F30" w:rsidP="000B5C4D">
            <w:pPr>
              <w:pStyle w:val="Odstavecseseznamem"/>
              <w:numPr>
                <w:ilvl w:val="0"/>
                <w:numId w:val="23"/>
              </w:numPr>
              <w:spacing w:before="113"/>
              <w:ind w:left="338" w:hanging="218"/>
              <w:cnfStyle w:val="000000100000" w:firstRow="0" w:lastRow="0" w:firstColumn="0" w:lastColumn="0" w:oddVBand="0" w:evenVBand="0" w:oddHBand="1" w:evenHBand="0" w:firstRowFirstColumn="0" w:firstRowLastColumn="0" w:lastRowFirstColumn="0" w:lastRowLastColumn="0"/>
              <w:rPr>
                <w:sz w:val="16"/>
                <w:szCs w:val="16"/>
              </w:rPr>
            </w:pPr>
            <w:r w:rsidRPr="00957C5B">
              <w:rPr>
                <w:sz w:val="16"/>
                <w:szCs w:val="16"/>
              </w:rPr>
              <w:t>Kontaktování trojnásobného počtu respondentů</w:t>
            </w:r>
          </w:p>
          <w:p w14:paraId="0F8B4C86" w14:textId="77777777" w:rsidR="00E93F30" w:rsidRPr="00957C5B" w:rsidRDefault="00E93F30" w:rsidP="000B5C4D">
            <w:pPr>
              <w:pStyle w:val="Odstavecseseznamem"/>
              <w:numPr>
                <w:ilvl w:val="0"/>
                <w:numId w:val="23"/>
              </w:numPr>
              <w:spacing w:before="113"/>
              <w:ind w:left="338" w:hanging="218"/>
              <w:cnfStyle w:val="000000100000" w:firstRow="0" w:lastRow="0" w:firstColumn="0" w:lastColumn="0" w:oddVBand="0" w:evenVBand="0" w:oddHBand="1" w:evenHBand="0" w:firstRowFirstColumn="0" w:firstRowLastColumn="0" w:lastRowFirstColumn="0" w:lastRowLastColumn="0"/>
              <w:rPr>
                <w:sz w:val="16"/>
                <w:szCs w:val="16"/>
              </w:rPr>
            </w:pPr>
            <w:r w:rsidRPr="00957C5B">
              <w:rPr>
                <w:sz w:val="16"/>
                <w:szCs w:val="16"/>
              </w:rPr>
              <w:t>Přizpůsobení realizace metody dle časových možností respondentů</w:t>
            </w:r>
          </w:p>
          <w:p w14:paraId="6E037BFC" w14:textId="77777777" w:rsidR="00E93F30" w:rsidRPr="00957C5B" w:rsidRDefault="00E93F30" w:rsidP="000B5C4D">
            <w:pPr>
              <w:pStyle w:val="Odstavecseseznamem"/>
              <w:numPr>
                <w:ilvl w:val="0"/>
                <w:numId w:val="23"/>
              </w:numPr>
              <w:spacing w:before="113"/>
              <w:ind w:left="338" w:hanging="218"/>
              <w:cnfStyle w:val="000000100000" w:firstRow="0" w:lastRow="0" w:firstColumn="0" w:lastColumn="0" w:oddVBand="0" w:evenVBand="0" w:oddHBand="1" w:evenHBand="0" w:firstRowFirstColumn="0" w:firstRowLastColumn="0" w:lastRowFirstColumn="0" w:lastRowLastColumn="0"/>
              <w:rPr>
                <w:sz w:val="16"/>
                <w:szCs w:val="16"/>
              </w:rPr>
            </w:pPr>
            <w:r w:rsidRPr="00957C5B">
              <w:rPr>
                <w:sz w:val="16"/>
                <w:szCs w:val="16"/>
              </w:rPr>
              <w:lastRenderedPageBreak/>
              <w:t>Reflexe a ověření výpovědí během realizace FS sadou naváděcích otázek</w:t>
            </w:r>
          </w:p>
          <w:p w14:paraId="16B85215" w14:textId="77777777" w:rsidR="00E93F30" w:rsidRPr="00957C5B" w:rsidRDefault="00E93F30" w:rsidP="000B5C4D">
            <w:pPr>
              <w:pStyle w:val="Odstavecseseznamem"/>
              <w:numPr>
                <w:ilvl w:val="0"/>
                <w:numId w:val="23"/>
              </w:numPr>
              <w:spacing w:before="113"/>
              <w:ind w:left="338" w:hanging="218"/>
              <w:cnfStyle w:val="000000100000" w:firstRow="0" w:lastRow="0" w:firstColumn="0" w:lastColumn="0" w:oddVBand="0" w:evenVBand="0" w:oddHBand="1" w:evenHBand="0" w:firstRowFirstColumn="0" w:firstRowLastColumn="0" w:lastRowFirstColumn="0" w:lastRowLastColumn="0"/>
              <w:rPr>
                <w:sz w:val="16"/>
                <w:szCs w:val="16"/>
              </w:rPr>
            </w:pPr>
            <w:r w:rsidRPr="00957C5B">
              <w:rPr>
                <w:sz w:val="16"/>
                <w:szCs w:val="16"/>
              </w:rPr>
              <w:t>Aplikace facilitátorských metod umožňujících individuální reflexi</w:t>
            </w:r>
          </w:p>
        </w:tc>
      </w:tr>
      <w:tr w:rsidR="00E93F30" w:rsidRPr="00957C5B" w14:paraId="5D0997E6" w14:textId="77777777" w:rsidTr="00EE0921">
        <w:trPr>
          <w:trHeight w:val="20"/>
        </w:trPr>
        <w:tc>
          <w:tcPr>
            <w:cnfStyle w:val="001000000000" w:firstRow="0" w:lastRow="0" w:firstColumn="1" w:lastColumn="0" w:oddVBand="0" w:evenVBand="0" w:oddHBand="0" w:evenHBand="0" w:firstRowFirstColumn="0" w:firstRowLastColumn="0" w:lastRowFirstColumn="0" w:lastRowLastColumn="0"/>
            <w:tcW w:w="627" w:type="pct"/>
            <w:tcBorders>
              <w:right w:val="none" w:sz="0" w:space="0" w:color="auto"/>
            </w:tcBorders>
          </w:tcPr>
          <w:p w14:paraId="66B4ED2A" w14:textId="77777777" w:rsidR="00E93F30" w:rsidRPr="00957C5B" w:rsidRDefault="00E93F30" w:rsidP="008C286A">
            <w:pPr>
              <w:spacing w:beforeAutospacing="1" w:line="276" w:lineRule="auto"/>
              <w:ind w:left="-24"/>
              <w:rPr>
                <w:rFonts w:eastAsia="Times New Roman" w:cs="Arial"/>
                <w:sz w:val="16"/>
                <w:szCs w:val="16"/>
              </w:rPr>
            </w:pPr>
            <w:r w:rsidRPr="00957C5B">
              <w:rPr>
                <w:rFonts w:cs="Arial"/>
                <w:sz w:val="16"/>
                <w:szCs w:val="16"/>
              </w:rPr>
              <w:lastRenderedPageBreak/>
              <w:t>Telefonické dotazování/</w:t>
            </w:r>
            <w:r w:rsidR="00EE0921">
              <w:rPr>
                <w:rFonts w:cs="Arial"/>
                <w:sz w:val="16"/>
                <w:szCs w:val="16"/>
              </w:rPr>
              <w:t xml:space="preserve"> </w:t>
            </w:r>
            <w:r w:rsidRPr="00957C5B">
              <w:rPr>
                <w:rFonts w:cs="Arial"/>
                <w:sz w:val="16"/>
                <w:szCs w:val="16"/>
              </w:rPr>
              <w:t xml:space="preserve">šetření </w:t>
            </w:r>
          </w:p>
        </w:tc>
        <w:tc>
          <w:tcPr>
            <w:tcW w:w="1461" w:type="pct"/>
          </w:tcPr>
          <w:p w14:paraId="45FB4AD6" w14:textId="77777777" w:rsidR="00E93F30" w:rsidRPr="00957C5B" w:rsidRDefault="00E93F30" w:rsidP="00215B5A">
            <w:pPr>
              <w:spacing w:beforeAutospacing="1" w:line="276" w:lineRule="auto"/>
              <w:cnfStyle w:val="000000000000" w:firstRow="0" w:lastRow="0" w:firstColumn="0" w:lastColumn="0" w:oddVBand="0" w:evenVBand="0" w:oddHBand="0" w:evenHBand="0" w:firstRowFirstColumn="0" w:firstRowLastColumn="0" w:lastRowFirstColumn="0" w:lastRowLastColumn="0"/>
              <w:rPr>
                <w:rFonts w:cs="Arial"/>
                <w:bCs/>
                <w:iCs/>
                <w:sz w:val="16"/>
                <w:szCs w:val="16"/>
              </w:rPr>
            </w:pPr>
            <w:r w:rsidRPr="00957C5B">
              <w:rPr>
                <w:rFonts w:cs="Arial"/>
                <w:sz w:val="16"/>
                <w:szCs w:val="16"/>
              </w:rPr>
              <w:t>Telefonické dotazování spočívá v oslovení respondenta taza</w:t>
            </w:r>
            <w:r>
              <w:rPr>
                <w:rFonts w:cs="Arial"/>
                <w:sz w:val="16"/>
                <w:szCs w:val="16"/>
              </w:rPr>
              <w:t>telem přes telefon. Telefonické šetření je často velmi krátké</w:t>
            </w:r>
            <w:r w:rsidRPr="00957C5B">
              <w:rPr>
                <w:rFonts w:cs="Arial"/>
                <w:sz w:val="16"/>
                <w:szCs w:val="16"/>
              </w:rPr>
              <w:t xml:space="preserve"> a používá uzavřené otázky. Tuto metodu lze využít na provedení rozhovorů s podpořenými osobami, případně s realizátory projektů, kteří se nebudou ochotni nebo schopni účastnit</w:t>
            </w:r>
            <w:r>
              <w:rPr>
                <w:rFonts w:cs="Arial"/>
                <w:sz w:val="16"/>
                <w:szCs w:val="16"/>
              </w:rPr>
              <w:t xml:space="preserve"> </w:t>
            </w:r>
            <w:r w:rsidRPr="00957C5B">
              <w:rPr>
                <w:rFonts w:cs="Arial"/>
                <w:sz w:val="16"/>
                <w:szCs w:val="16"/>
              </w:rPr>
              <w:t>osobního rozhovoru, resp. na konzultaci zjištění z analýzy sekundárních zdrojů dat. Telefonické rozhovory mohou posloužit pro získání podnětů a témat pro diskusi ve fokusních skupinách.</w:t>
            </w:r>
          </w:p>
        </w:tc>
        <w:tc>
          <w:tcPr>
            <w:tcW w:w="996" w:type="pct"/>
          </w:tcPr>
          <w:p w14:paraId="5472C0C4" w14:textId="77777777" w:rsidR="00E93F30" w:rsidRPr="00957C5B" w:rsidRDefault="00E93F30" w:rsidP="000B5C4D">
            <w:pPr>
              <w:pStyle w:val="Odstavecseseznamem"/>
              <w:numPr>
                <w:ilvl w:val="0"/>
                <w:numId w:val="21"/>
              </w:numPr>
              <w:spacing w:line="23" w:lineRule="atLeast"/>
              <w:ind w:left="303" w:hanging="218"/>
              <w:contextualSpacing w:val="0"/>
              <w:cnfStyle w:val="000000000000" w:firstRow="0" w:lastRow="0" w:firstColumn="0" w:lastColumn="0" w:oddVBand="0" w:evenVBand="0" w:oddHBand="0" w:evenHBand="0" w:firstRowFirstColumn="0" w:firstRowLastColumn="0" w:lastRowFirstColumn="0" w:lastRowLastColumn="0"/>
              <w:rPr>
                <w:sz w:val="16"/>
                <w:szCs w:val="16"/>
              </w:rPr>
            </w:pPr>
            <w:r w:rsidRPr="00957C5B">
              <w:rPr>
                <w:sz w:val="16"/>
                <w:szCs w:val="16"/>
              </w:rPr>
              <w:t>Jednoduchý přístup ke kontaktům realizátorů prostřednictvím MS 2014+</w:t>
            </w:r>
          </w:p>
          <w:p w14:paraId="515A14EA" w14:textId="77777777" w:rsidR="00E93F30" w:rsidRPr="00957C5B" w:rsidRDefault="00E93F30" w:rsidP="000B5C4D">
            <w:pPr>
              <w:pStyle w:val="Odstavecseseznamem"/>
              <w:numPr>
                <w:ilvl w:val="0"/>
                <w:numId w:val="21"/>
              </w:numPr>
              <w:spacing w:line="23" w:lineRule="atLeast"/>
              <w:ind w:left="303" w:hanging="218"/>
              <w:contextualSpacing w:val="0"/>
              <w:cnfStyle w:val="000000000000" w:firstRow="0" w:lastRow="0" w:firstColumn="0" w:lastColumn="0" w:oddVBand="0" w:evenVBand="0" w:oddHBand="0" w:evenHBand="0" w:firstRowFirstColumn="0" w:firstRowLastColumn="0" w:lastRowFirstColumn="0" w:lastRowLastColumn="0"/>
              <w:rPr>
                <w:sz w:val="16"/>
                <w:szCs w:val="16"/>
              </w:rPr>
            </w:pPr>
            <w:r w:rsidRPr="00957C5B">
              <w:rPr>
                <w:sz w:val="16"/>
                <w:szCs w:val="16"/>
              </w:rPr>
              <w:t>Efektivně a rychle kontaktuje i geograficky rozptýlený výběr respondentů</w:t>
            </w:r>
          </w:p>
          <w:p w14:paraId="07E13C90" w14:textId="77777777" w:rsidR="00E93F30" w:rsidRPr="00957C5B" w:rsidRDefault="00E93F30" w:rsidP="000B5C4D">
            <w:pPr>
              <w:pStyle w:val="Odstavecseseznamem"/>
              <w:numPr>
                <w:ilvl w:val="0"/>
                <w:numId w:val="21"/>
              </w:numPr>
              <w:spacing w:line="23" w:lineRule="atLeast"/>
              <w:ind w:left="303" w:hanging="218"/>
              <w:contextualSpacing w:val="0"/>
              <w:cnfStyle w:val="000000000000" w:firstRow="0" w:lastRow="0" w:firstColumn="0" w:lastColumn="0" w:oddVBand="0" w:evenVBand="0" w:oddHBand="0" w:evenHBand="0" w:firstRowFirstColumn="0" w:firstRowLastColumn="0" w:lastRowFirstColumn="0" w:lastRowLastColumn="0"/>
              <w:rPr>
                <w:sz w:val="16"/>
                <w:szCs w:val="16"/>
              </w:rPr>
            </w:pPr>
            <w:r w:rsidRPr="00957C5B">
              <w:rPr>
                <w:sz w:val="16"/>
                <w:szCs w:val="16"/>
              </w:rPr>
              <w:t>Zamezení rizika vynechání odpovědi či nepochopení otázky</w:t>
            </w:r>
          </w:p>
          <w:p w14:paraId="66DD14D6" w14:textId="77777777" w:rsidR="00E93F30" w:rsidRPr="00957C5B" w:rsidRDefault="00E93F30" w:rsidP="000B5C4D">
            <w:pPr>
              <w:pStyle w:val="Odstavecseseznamem"/>
              <w:numPr>
                <w:ilvl w:val="0"/>
                <w:numId w:val="21"/>
              </w:numPr>
              <w:spacing w:line="23" w:lineRule="atLeast"/>
              <w:ind w:left="303" w:hanging="218"/>
              <w:contextualSpacing w:val="0"/>
              <w:cnfStyle w:val="000000000000" w:firstRow="0" w:lastRow="0" w:firstColumn="0" w:lastColumn="0" w:oddVBand="0" w:evenVBand="0" w:oddHBand="0" w:evenHBand="0" w:firstRowFirstColumn="0" w:firstRowLastColumn="0" w:lastRowFirstColumn="0" w:lastRowLastColumn="0"/>
              <w:rPr>
                <w:sz w:val="16"/>
                <w:szCs w:val="16"/>
              </w:rPr>
            </w:pPr>
            <w:r w:rsidRPr="00957C5B">
              <w:rPr>
                <w:sz w:val="16"/>
                <w:szCs w:val="16"/>
              </w:rPr>
              <w:t>Zvýšení důvěryhodnosti dotazování</w:t>
            </w:r>
          </w:p>
          <w:p w14:paraId="4A753C3E" w14:textId="77777777" w:rsidR="00E93F30" w:rsidRPr="00957C5B" w:rsidRDefault="00E93F30" w:rsidP="000B5C4D">
            <w:pPr>
              <w:pStyle w:val="Odstavecseseznamem"/>
              <w:numPr>
                <w:ilvl w:val="0"/>
                <w:numId w:val="21"/>
              </w:numPr>
              <w:spacing w:line="23" w:lineRule="atLeast"/>
              <w:ind w:left="303" w:hanging="218"/>
              <w:contextualSpacing w:val="0"/>
              <w:cnfStyle w:val="000000000000" w:firstRow="0" w:lastRow="0" w:firstColumn="0" w:lastColumn="0" w:oddVBand="0" w:evenVBand="0" w:oddHBand="0" w:evenHBand="0" w:firstRowFirstColumn="0" w:firstRowLastColumn="0" w:lastRowFirstColumn="0" w:lastRowLastColumn="0"/>
              <w:rPr>
                <w:sz w:val="16"/>
                <w:szCs w:val="16"/>
              </w:rPr>
            </w:pPr>
            <w:r w:rsidRPr="00957C5B">
              <w:rPr>
                <w:sz w:val="16"/>
                <w:szCs w:val="16"/>
              </w:rPr>
              <w:t>Neustálá kontrola tazatelů</w:t>
            </w:r>
          </w:p>
        </w:tc>
        <w:tc>
          <w:tcPr>
            <w:tcW w:w="852" w:type="pct"/>
          </w:tcPr>
          <w:p w14:paraId="0E9502F3" w14:textId="77777777" w:rsidR="00E93F30" w:rsidRPr="00957C5B" w:rsidRDefault="00E93F30" w:rsidP="000B5C4D">
            <w:pPr>
              <w:pStyle w:val="Odstavecseseznamem"/>
              <w:numPr>
                <w:ilvl w:val="0"/>
                <w:numId w:val="24"/>
              </w:numPr>
              <w:spacing w:line="23" w:lineRule="atLeast"/>
              <w:ind w:left="320" w:hanging="218"/>
              <w:contextualSpacing w:val="0"/>
              <w:cnfStyle w:val="000000000000" w:firstRow="0" w:lastRow="0" w:firstColumn="0" w:lastColumn="0" w:oddVBand="0" w:evenVBand="0" w:oddHBand="0" w:evenHBand="0" w:firstRowFirstColumn="0" w:firstRowLastColumn="0" w:lastRowFirstColumn="0" w:lastRowLastColumn="0"/>
              <w:rPr>
                <w:sz w:val="16"/>
                <w:szCs w:val="16"/>
              </w:rPr>
            </w:pPr>
            <w:r w:rsidRPr="00957C5B">
              <w:rPr>
                <w:sz w:val="16"/>
                <w:szCs w:val="16"/>
              </w:rPr>
              <w:t>Riziko negativní reakce osloveného</w:t>
            </w:r>
          </w:p>
          <w:p w14:paraId="059ED163" w14:textId="77777777" w:rsidR="00E93F30" w:rsidRPr="00957C5B" w:rsidRDefault="00E93F30" w:rsidP="000B5C4D">
            <w:pPr>
              <w:pStyle w:val="Odstavecseseznamem"/>
              <w:numPr>
                <w:ilvl w:val="0"/>
                <w:numId w:val="24"/>
              </w:numPr>
              <w:spacing w:line="23" w:lineRule="atLeast"/>
              <w:ind w:left="320" w:hanging="218"/>
              <w:contextualSpacing w:val="0"/>
              <w:cnfStyle w:val="000000000000" w:firstRow="0" w:lastRow="0" w:firstColumn="0" w:lastColumn="0" w:oddVBand="0" w:evenVBand="0" w:oddHBand="0" w:evenHBand="0" w:firstRowFirstColumn="0" w:firstRowLastColumn="0" w:lastRowFirstColumn="0" w:lastRowLastColumn="0"/>
              <w:rPr>
                <w:sz w:val="16"/>
                <w:szCs w:val="16"/>
              </w:rPr>
            </w:pPr>
            <w:r w:rsidRPr="00957C5B">
              <w:rPr>
                <w:sz w:val="16"/>
                <w:szCs w:val="16"/>
              </w:rPr>
              <w:t>Riziko špatného načasování, neochota věnovat čas hodnocení</w:t>
            </w:r>
          </w:p>
          <w:p w14:paraId="38D383C7" w14:textId="77777777" w:rsidR="00E93F30" w:rsidRPr="00957C5B" w:rsidRDefault="00E93F30" w:rsidP="000B5C4D">
            <w:pPr>
              <w:pStyle w:val="Odstavecseseznamem"/>
              <w:numPr>
                <w:ilvl w:val="0"/>
                <w:numId w:val="22"/>
              </w:numPr>
              <w:spacing w:line="23" w:lineRule="atLeast"/>
              <w:ind w:left="320" w:hanging="218"/>
              <w:contextualSpacing w:val="0"/>
              <w:cnfStyle w:val="000000000000" w:firstRow="0" w:lastRow="0" w:firstColumn="0" w:lastColumn="0" w:oddVBand="0" w:evenVBand="0" w:oddHBand="0" w:evenHBand="0" w:firstRowFirstColumn="0" w:firstRowLastColumn="0" w:lastRowFirstColumn="0" w:lastRowLastColumn="0"/>
              <w:rPr>
                <w:sz w:val="16"/>
                <w:szCs w:val="16"/>
              </w:rPr>
            </w:pPr>
            <w:r w:rsidRPr="00957C5B">
              <w:rPr>
                <w:sz w:val="16"/>
                <w:szCs w:val="16"/>
              </w:rPr>
              <w:t>„Omezenost“ otázek – časová i obsahová</w:t>
            </w:r>
          </w:p>
        </w:tc>
        <w:tc>
          <w:tcPr>
            <w:tcW w:w="1063" w:type="pct"/>
          </w:tcPr>
          <w:p w14:paraId="257347B4" w14:textId="77777777" w:rsidR="00E93F30" w:rsidRPr="00957C5B" w:rsidRDefault="00E93F30" w:rsidP="000B5C4D">
            <w:pPr>
              <w:pStyle w:val="Odstavecseseznamem"/>
              <w:numPr>
                <w:ilvl w:val="0"/>
                <w:numId w:val="23"/>
              </w:numPr>
              <w:spacing w:before="113"/>
              <w:ind w:left="338" w:hanging="218"/>
              <w:cnfStyle w:val="000000000000" w:firstRow="0" w:lastRow="0" w:firstColumn="0" w:lastColumn="0" w:oddVBand="0" w:evenVBand="0" w:oddHBand="0" w:evenHBand="0" w:firstRowFirstColumn="0" w:firstRowLastColumn="0" w:lastRowFirstColumn="0" w:lastRowLastColumn="0"/>
              <w:rPr>
                <w:sz w:val="16"/>
                <w:szCs w:val="16"/>
              </w:rPr>
            </w:pPr>
            <w:r w:rsidRPr="00957C5B">
              <w:rPr>
                <w:sz w:val="16"/>
                <w:szCs w:val="16"/>
              </w:rPr>
              <w:t>Dotazování na vhodnost načasování telefonátu, resp. přizpůsobení se požadavkům respondenta</w:t>
            </w:r>
          </w:p>
          <w:p w14:paraId="52929922" w14:textId="77777777" w:rsidR="00E93F30" w:rsidRPr="00957C5B" w:rsidRDefault="00E93F30" w:rsidP="000B5C4D">
            <w:pPr>
              <w:pStyle w:val="Odstavecseseznamem"/>
              <w:numPr>
                <w:ilvl w:val="0"/>
                <w:numId w:val="23"/>
              </w:numPr>
              <w:spacing w:before="113"/>
              <w:ind w:left="338" w:hanging="218"/>
              <w:cnfStyle w:val="000000000000" w:firstRow="0" w:lastRow="0" w:firstColumn="0" w:lastColumn="0" w:oddVBand="0" w:evenVBand="0" w:oddHBand="0" w:evenHBand="0" w:firstRowFirstColumn="0" w:firstRowLastColumn="0" w:lastRowFirstColumn="0" w:lastRowLastColumn="0"/>
              <w:rPr>
                <w:sz w:val="16"/>
                <w:szCs w:val="16"/>
              </w:rPr>
            </w:pPr>
            <w:r w:rsidRPr="00957C5B">
              <w:rPr>
                <w:sz w:val="16"/>
                <w:szCs w:val="16"/>
              </w:rPr>
              <w:t>Úzký okruh precizně stanovených otázek (jedná se zejména ověření předpokladů)</w:t>
            </w:r>
          </w:p>
        </w:tc>
      </w:tr>
      <w:tr w:rsidR="00E93F30" w:rsidRPr="00957C5B" w14:paraId="6102B2C5" w14:textId="77777777" w:rsidTr="00EE09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7" w:type="pct"/>
            <w:tcBorders>
              <w:right w:val="none" w:sz="0" w:space="0" w:color="auto"/>
            </w:tcBorders>
          </w:tcPr>
          <w:p w14:paraId="541537A2" w14:textId="77777777" w:rsidR="00E93F30" w:rsidRPr="00957C5B" w:rsidRDefault="00E93F30" w:rsidP="008C286A">
            <w:pPr>
              <w:spacing w:beforeAutospacing="1" w:line="276" w:lineRule="auto"/>
              <w:ind w:left="-24"/>
              <w:rPr>
                <w:rFonts w:eastAsia="Times New Roman" w:cs="Arial"/>
                <w:sz w:val="16"/>
                <w:szCs w:val="16"/>
              </w:rPr>
            </w:pPr>
            <w:r w:rsidRPr="00957C5B">
              <w:rPr>
                <w:rFonts w:cs="Arial"/>
                <w:sz w:val="16"/>
                <w:szCs w:val="16"/>
              </w:rPr>
              <w:t>Dotazníkové šetření</w:t>
            </w:r>
            <w:r>
              <w:rPr>
                <w:rFonts w:cs="Arial"/>
                <w:sz w:val="16"/>
                <w:szCs w:val="16"/>
              </w:rPr>
              <w:t xml:space="preserve"> (DŠ)</w:t>
            </w:r>
          </w:p>
        </w:tc>
        <w:tc>
          <w:tcPr>
            <w:tcW w:w="1461" w:type="pct"/>
          </w:tcPr>
          <w:p w14:paraId="4D041CF7" w14:textId="77777777" w:rsidR="00E93F30" w:rsidRPr="00957C5B" w:rsidRDefault="00E93F30" w:rsidP="00215B5A">
            <w:pPr>
              <w:spacing w:line="23" w:lineRule="atLeast"/>
              <w:cnfStyle w:val="000000100000" w:firstRow="0" w:lastRow="0" w:firstColumn="0" w:lastColumn="0" w:oddVBand="0" w:evenVBand="0" w:oddHBand="1" w:evenHBand="0" w:firstRowFirstColumn="0" w:firstRowLastColumn="0" w:lastRowFirstColumn="0" w:lastRowLastColumn="0"/>
              <w:rPr>
                <w:rFonts w:cs="Arial"/>
                <w:sz w:val="16"/>
                <w:szCs w:val="16"/>
              </w:rPr>
            </w:pPr>
            <w:r w:rsidRPr="00957C5B">
              <w:rPr>
                <w:rFonts w:cs="Arial"/>
                <w:sz w:val="16"/>
                <w:szCs w:val="16"/>
              </w:rPr>
              <w:t>Dotazníkové průzkumy jsou využívány ke sběru početných homogenních dat, která jsou posléze použita pro statistické účely. V kontextu evaluací jsou obvykle průzkumy používány v kombinaci s dalšími technikami jako prostředky odhadující četnost určitého jevu.</w:t>
            </w:r>
          </w:p>
          <w:p w14:paraId="31D804C6" w14:textId="77777777" w:rsidR="00E93F30" w:rsidRPr="00957C5B" w:rsidRDefault="00E93F30" w:rsidP="00215B5A">
            <w:pPr>
              <w:spacing w:beforeAutospacing="1" w:line="276" w:lineRule="auto"/>
              <w:cnfStyle w:val="000000100000" w:firstRow="0" w:lastRow="0" w:firstColumn="0" w:lastColumn="0" w:oddVBand="0" w:evenVBand="0" w:oddHBand="1" w:evenHBand="0" w:firstRowFirstColumn="0" w:firstRowLastColumn="0" w:lastRowFirstColumn="0" w:lastRowLastColumn="0"/>
              <w:rPr>
                <w:rFonts w:cs="Arial"/>
                <w:b/>
                <w:bCs/>
                <w:iCs/>
                <w:sz w:val="16"/>
                <w:szCs w:val="16"/>
              </w:rPr>
            </w:pPr>
            <w:r w:rsidRPr="00957C5B">
              <w:rPr>
                <w:rFonts w:cs="Arial"/>
                <w:sz w:val="16"/>
                <w:szCs w:val="16"/>
              </w:rPr>
              <w:t xml:space="preserve">Pro realizaci dotazníkového šetření disponuje </w:t>
            </w:r>
            <w:r w:rsidR="001B436F">
              <w:rPr>
                <w:rFonts w:cs="Arial"/>
                <w:sz w:val="16"/>
                <w:szCs w:val="16"/>
              </w:rPr>
              <w:t>s</w:t>
            </w:r>
            <w:r w:rsidRPr="00957C5B">
              <w:rPr>
                <w:rFonts w:cs="Arial"/>
                <w:sz w:val="16"/>
                <w:szCs w:val="16"/>
              </w:rPr>
              <w:t xml:space="preserve">polečnost Deloitte on-line nástrojem Click4survey, který umožňuje vytvořit a strukturovat varianty dotazníku, včetně šablony dotazníku (např. umístnění logolinku OP PIK, titulků apod.). Dotazník je následně umístěn na webové adrese a je přístupný prostřednictvím </w:t>
            </w:r>
            <w:r w:rsidRPr="00C62AF1">
              <w:rPr>
                <w:rFonts w:cs="Arial"/>
                <w:i/>
                <w:sz w:val="16"/>
                <w:szCs w:val="16"/>
              </w:rPr>
              <w:t>linku na tuto webovou adresu. Po vyplnění dotazní</w:t>
            </w:r>
            <w:r w:rsidRPr="00957C5B">
              <w:rPr>
                <w:rFonts w:cs="Arial"/>
                <w:sz w:val="16"/>
                <w:szCs w:val="16"/>
              </w:rPr>
              <w:t xml:space="preserve">ku respondentem jsou údaje automaticky uloženy a vyhodnocovány. Statistika eviduje počet ukončených dotazníků. </w:t>
            </w:r>
          </w:p>
        </w:tc>
        <w:tc>
          <w:tcPr>
            <w:tcW w:w="996" w:type="pct"/>
          </w:tcPr>
          <w:p w14:paraId="473BFFFD" w14:textId="77777777" w:rsidR="00E93F30" w:rsidRPr="00957C5B" w:rsidRDefault="00E93F30" w:rsidP="000B5C4D">
            <w:pPr>
              <w:pStyle w:val="Odstavecseseznamem"/>
              <w:numPr>
                <w:ilvl w:val="0"/>
                <w:numId w:val="21"/>
              </w:numPr>
              <w:spacing w:line="23" w:lineRule="atLeast"/>
              <w:ind w:left="303" w:hanging="218"/>
              <w:contextualSpacing w:val="0"/>
              <w:cnfStyle w:val="000000100000" w:firstRow="0" w:lastRow="0" w:firstColumn="0" w:lastColumn="0" w:oddVBand="0" w:evenVBand="0" w:oddHBand="1" w:evenHBand="0" w:firstRowFirstColumn="0" w:firstRowLastColumn="0" w:lastRowFirstColumn="0" w:lastRowLastColumn="0"/>
              <w:rPr>
                <w:sz w:val="16"/>
                <w:szCs w:val="16"/>
              </w:rPr>
            </w:pPr>
            <w:r w:rsidRPr="00957C5B">
              <w:rPr>
                <w:sz w:val="16"/>
                <w:szCs w:val="16"/>
              </w:rPr>
              <w:t>Pokrytí velké skupiny respondentů</w:t>
            </w:r>
          </w:p>
          <w:p w14:paraId="63D86181" w14:textId="77777777" w:rsidR="00E93F30" w:rsidRPr="00957C5B" w:rsidRDefault="00E93F30" w:rsidP="000B5C4D">
            <w:pPr>
              <w:pStyle w:val="Odstavecseseznamem"/>
              <w:numPr>
                <w:ilvl w:val="0"/>
                <w:numId w:val="21"/>
              </w:numPr>
              <w:spacing w:line="23" w:lineRule="atLeast"/>
              <w:ind w:left="303" w:hanging="218"/>
              <w:contextualSpacing w:val="0"/>
              <w:cnfStyle w:val="000000100000" w:firstRow="0" w:lastRow="0" w:firstColumn="0" w:lastColumn="0" w:oddVBand="0" w:evenVBand="0" w:oddHBand="1" w:evenHBand="0" w:firstRowFirstColumn="0" w:firstRowLastColumn="0" w:lastRowFirstColumn="0" w:lastRowLastColumn="0"/>
              <w:rPr>
                <w:sz w:val="16"/>
                <w:szCs w:val="16"/>
              </w:rPr>
            </w:pPr>
            <w:r w:rsidRPr="00957C5B">
              <w:rPr>
                <w:sz w:val="16"/>
                <w:szCs w:val="16"/>
              </w:rPr>
              <w:t>Snadný přístup k </w:t>
            </w:r>
            <w:r w:rsidRPr="00957C5B">
              <w:rPr>
                <w:sz w:val="16"/>
                <w:szCs w:val="16"/>
              </w:rPr>
              <w:br/>
              <w:t>e-mailovým adresám skrz monitorovací systém</w:t>
            </w:r>
          </w:p>
          <w:p w14:paraId="7F216E79" w14:textId="77777777" w:rsidR="00E93F30" w:rsidRPr="00957C5B" w:rsidRDefault="00E93F30" w:rsidP="000B5C4D">
            <w:pPr>
              <w:pStyle w:val="Odstavecseseznamem"/>
              <w:numPr>
                <w:ilvl w:val="0"/>
                <w:numId w:val="21"/>
              </w:numPr>
              <w:spacing w:line="23" w:lineRule="atLeast"/>
              <w:ind w:left="303" w:hanging="218"/>
              <w:contextualSpacing w:val="0"/>
              <w:cnfStyle w:val="000000100000" w:firstRow="0" w:lastRow="0" w:firstColumn="0" w:lastColumn="0" w:oddVBand="0" w:evenVBand="0" w:oddHBand="1" w:evenHBand="0" w:firstRowFirstColumn="0" w:firstRowLastColumn="0" w:lastRowFirstColumn="0" w:lastRowLastColumn="0"/>
              <w:rPr>
                <w:sz w:val="16"/>
                <w:szCs w:val="16"/>
              </w:rPr>
            </w:pPr>
            <w:r w:rsidRPr="00957C5B">
              <w:rPr>
                <w:sz w:val="16"/>
                <w:szCs w:val="16"/>
              </w:rPr>
              <w:t>Jednoduchá administrace a analýza výsledků</w:t>
            </w:r>
          </w:p>
          <w:p w14:paraId="40980547" w14:textId="77777777" w:rsidR="00E93F30" w:rsidRPr="00957C5B" w:rsidRDefault="00E93F30" w:rsidP="000B5C4D">
            <w:pPr>
              <w:pStyle w:val="Odstavecseseznamem"/>
              <w:numPr>
                <w:ilvl w:val="0"/>
                <w:numId w:val="21"/>
              </w:numPr>
              <w:spacing w:line="23" w:lineRule="atLeast"/>
              <w:ind w:left="303" w:hanging="218"/>
              <w:contextualSpacing w:val="0"/>
              <w:cnfStyle w:val="000000100000" w:firstRow="0" w:lastRow="0" w:firstColumn="0" w:lastColumn="0" w:oddVBand="0" w:evenVBand="0" w:oddHBand="1" w:evenHBand="0" w:firstRowFirstColumn="0" w:firstRowLastColumn="0" w:lastRowFirstColumn="0" w:lastRowLastColumn="0"/>
              <w:rPr>
                <w:sz w:val="16"/>
                <w:szCs w:val="16"/>
              </w:rPr>
            </w:pPr>
            <w:r w:rsidRPr="00957C5B">
              <w:rPr>
                <w:sz w:val="16"/>
                <w:szCs w:val="16"/>
              </w:rPr>
              <w:t xml:space="preserve">Obecně akceptované jako zdroj hodnocení efektivity realizovaných aktivit </w:t>
            </w:r>
          </w:p>
          <w:p w14:paraId="230F4F3C" w14:textId="77777777" w:rsidR="00E93F30" w:rsidRPr="00957C5B" w:rsidRDefault="00E93F30" w:rsidP="000B5C4D">
            <w:pPr>
              <w:pStyle w:val="Odstavecseseznamem"/>
              <w:numPr>
                <w:ilvl w:val="0"/>
                <w:numId w:val="21"/>
              </w:numPr>
              <w:spacing w:line="23" w:lineRule="atLeast"/>
              <w:ind w:left="303" w:hanging="218"/>
              <w:contextualSpacing w:val="0"/>
              <w:cnfStyle w:val="000000100000" w:firstRow="0" w:lastRow="0" w:firstColumn="0" w:lastColumn="0" w:oddVBand="0" w:evenVBand="0" w:oddHBand="1" w:evenHBand="0" w:firstRowFirstColumn="0" w:firstRowLastColumn="0" w:lastRowFirstColumn="0" w:lastRowLastColumn="0"/>
              <w:rPr>
                <w:sz w:val="16"/>
                <w:szCs w:val="16"/>
              </w:rPr>
            </w:pPr>
            <w:r w:rsidRPr="00957C5B">
              <w:rPr>
                <w:sz w:val="16"/>
                <w:szCs w:val="16"/>
              </w:rPr>
              <w:t>Možnost anonymizace vedoucí ke zvýšení objektivity</w:t>
            </w:r>
          </w:p>
          <w:p w14:paraId="1D5F6D7E" w14:textId="77777777" w:rsidR="00E93F30" w:rsidRPr="00957C5B" w:rsidRDefault="00E93F30" w:rsidP="000B5C4D">
            <w:pPr>
              <w:pStyle w:val="Odstavecseseznamem"/>
              <w:numPr>
                <w:ilvl w:val="0"/>
                <w:numId w:val="21"/>
              </w:numPr>
              <w:spacing w:line="23" w:lineRule="atLeast"/>
              <w:ind w:left="303" w:hanging="218"/>
              <w:contextualSpacing w:val="0"/>
              <w:cnfStyle w:val="000000100000" w:firstRow="0" w:lastRow="0" w:firstColumn="0" w:lastColumn="0" w:oddVBand="0" w:evenVBand="0" w:oddHBand="1" w:evenHBand="0" w:firstRowFirstColumn="0" w:firstRowLastColumn="0" w:lastRowFirstColumn="0" w:lastRowLastColumn="0"/>
              <w:rPr>
                <w:sz w:val="16"/>
                <w:szCs w:val="16"/>
              </w:rPr>
            </w:pPr>
            <w:r w:rsidRPr="00957C5B">
              <w:rPr>
                <w:sz w:val="16"/>
                <w:szCs w:val="16"/>
              </w:rPr>
              <w:t>Efektivně a rychle kontaktuje i geograficky rozptýlený výběr respondentů</w:t>
            </w:r>
          </w:p>
          <w:p w14:paraId="70F83331" w14:textId="77777777" w:rsidR="00E93F30" w:rsidRPr="00957C5B" w:rsidRDefault="00E93F30" w:rsidP="000B5C4D">
            <w:pPr>
              <w:pStyle w:val="Odstavecseseznamem"/>
              <w:numPr>
                <w:ilvl w:val="0"/>
                <w:numId w:val="21"/>
              </w:numPr>
              <w:spacing w:line="23" w:lineRule="atLeast"/>
              <w:ind w:left="303" w:hanging="218"/>
              <w:contextualSpacing w:val="0"/>
              <w:cnfStyle w:val="000000100000" w:firstRow="0" w:lastRow="0" w:firstColumn="0" w:lastColumn="0" w:oddVBand="0" w:evenVBand="0" w:oddHBand="1" w:evenHBand="0" w:firstRowFirstColumn="0" w:firstRowLastColumn="0" w:lastRowFirstColumn="0" w:lastRowLastColumn="0"/>
              <w:rPr>
                <w:sz w:val="16"/>
                <w:szCs w:val="16"/>
              </w:rPr>
            </w:pPr>
            <w:r w:rsidRPr="00957C5B">
              <w:rPr>
                <w:sz w:val="16"/>
                <w:szCs w:val="16"/>
              </w:rPr>
              <w:t>Nízká finanční náročnost</w:t>
            </w:r>
          </w:p>
          <w:p w14:paraId="7CD0D662" w14:textId="77777777" w:rsidR="00E93F30" w:rsidRPr="00957C5B" w:rsidRDefault="00E93F30" w:rsidP="000B5C4D">
            <w:pPr>
              <w:pStyle w:val="Odstavecseseznamem"/>
              <w:numPr>
                <w:ilvl w:val="0"/>
                <w:numId w:val="21"/>
              </w:numPr>
              <w:spacing w:line="23" w:lineRule="atLeast"/>
              <w:ind w:left="303" w:hanging="218"/>
              <w:contextualSpacing w:val="0"/>
              <w:cnfStyle w:val="000000100000" w:firstRow="0" w:lastRow="0" w:firstColumn="0" w:lastColumn="0" w:oddVBand="0" w:evenVBand="0" w:oddHBand="1" w:evenHBand="0" w:firstRowFirstColumn="0" w:firstRowLastColumn="0" w:lastRowFirstColumn="0" w:lastRowLastColumn="0"/>
              <w:rPr>
                <w:sz w:val="16"/>
                <w:szCs w:val="16"/>
              </w:rPr>
            </w:pPr>
            <w:r w:rsidRPr="00957C5B">
              <w:rPr>
                <w:sz w:val="16"/>
                <w:szCs w:val="16"/>
              </w:rPr>
              <w:t xml:space="preserve">Řešení umožnuje zajisti shodu s nařízením GDPR </w:t>
            </w:r>
          </w:p>
        </w:tc>
        <w:tc>
          <w:tcPr>
            <w:tcW w:w="852" w:type="pct"/>
          </w:tcPr>
          <w:p w14:paraId="72BD69E8" w14:textId="77777777" w:rsidR="00E93F30" w:rsidRPr="00957C5B" w:rsidRDefault="00E93F30" w:rsidP="000B5C4D">
            <w:pPr>
              <w:pStyle w:val="Odstavecseseznamem"/>
              <w:numPr>
                <w:ilvl w:val="0"/>
                <w:numId w:val="22"/>
              </w:numPr>
              <w:spacing w:line="23" w:lineRule="atLeast"/>
              <w:ind w:left="320" w:hanging="218"/>
              <w:contextualSpacing w:val="0"/>
              <w:cnfStyle w:val="000000100000" w:firstRow="0" w:lastRow="0" w:firstColumn="0" w:lastColumn="0" w:oddVBand="0" w:evenVBand="0" w:oddHBand="1" w:evenHBand="0" w:firstRowFirstColumn="0" w:firstRowLastColumn="0" w:lastRowFirstColumn="0" w:lastRowLastColumn="0"/>
              <w:rPr>
                <w:sz w:val="16"/>
                <w:szCs w:val="16"/>
              </w:rPr>
            </w:pPr>
            <w:r w:rsidRPr="00957C5B">
              <w:rPr>
                <w:sz w:val="16"/>
                <w:szCs w:val="16"/>
              </w:rPr>
              <w:t xml:space="preserve">Problém zabezpečení dostatečně velké databáze kontaktů k oslovení, aby byla zajištěna representativnost </w:t>
            </w:r>
          </w:p>
          <w:p w14:paraId="6794D04E" w14:textId="77777777" w:rsidR="00E93F30" w:rsidRPr="00957C5B" w:rsidRDefault="00E93F30" w:rsidP="000B5C4D">
            <w:pPr>
              <w:pStyle w:val="Odstavecseseznamem"/>
              <w:numPr>
                <w:ilvl w:val="0"/>
                <w:numId w:val="22"/>
              </w:numPr>
              <w:spacing w:line="23" w:lineRule="atLeast"/>
              <w:ind w:left="320" w:hanging="218"/>
              <w:contextualSpacing w:val="0"/>
              <w:cnfStyle w:val="000000100000" w:firstRow="0" w:lastRow="0" w:firstColumn="0" w:lastColumn="0" w:oddVBand="0" w:evenVBand="0" w:oddHBand="1" w:evenHBand="0" w:firstRowFirstColumn="0" w:firstRowLastColumn="0" w:lastRowFirstColumn="0" w:lastRowLastColumn="0"/>
              <w:rPr>
                <w:sz w:val="16"/>
                <w:szCs w:val="16"/>
              </w:rPr>
            </w:pPr>
            <w:r w:rsidRPr="00957C5B">
              <w:rPr>
                <w:sz w:val="16"/>
                <w:szCs w:val="16"/>
              </w:rPr>
              <w:t>Riziko subjektivních odpovědí, omezené možnosti validovat relevantnost a pravdivost odpovědí</w:t>
            </w:r>
          </w:p>
          <w:p w14:paraId="5308373F" w14:textId="77777777" w:rsidR="00E93F30" w:rsidRPr="00957C5B" w:rsidRDefault="00E93F30" w:rsidP="000B5C4D">
            <w:pPr>
              <w:pStyle w:val="Odstavecseseznamem"/>
              <w:numPr>
                <w:ilvl w:val="0"/>
                <w:numId w:val="22"/>
              </w:numPr>
              <w:spacing w:line="23" w:lineRule="atLeast"/>
              <w:ind w:left="320" w:hanging="218"/>
              <w:contextualSpacing w:val="0"/>
              <w:cnfStyle w:val="000000100000" w:firstRow="0" w:lastRow="0" w:firstColumn="0" w:lastColumn="0" w:oddVBand="0" w:evenVBand="0" w:oddHBand="1" w:evenHBand="0" w:firstRowFirstColumn="0" w:firstRowLastColumn="0" w:lastRowFirstColumn="0" w:lastRowLastColumn="0"/>
              <w:rPr>
                <w:sz w:val="16"/>
                <w:szCs w:val="16"/>
              </w:rPr>
            </w:pPr>
            <w:r w:rsidRPr="00957C5B">
              <w:rPr>
                <w:sz w:val="16"/>
                <w:szCs w:val="16"/>
              </w:rPr>
              <w:t>Riziko nedokončení vyplnění při příliš mnoha dotazech</w:t>
            </w:r>
          </w:p>
          <w:p w14:paraId="7D3C4FD6" w14:textId="77777777" w:rsidR="00E93F30" w:rsidRPr="00957C5B" w:rsidRDefault="00E93F30" w:rsidP="00215B5A">
            <w:pPr>
              <w:spacing w:line="23" w:lineRule="atLeast"/>
              <w:ind w:left="102"/>
              <w:cnfStyle w:val="000000100000" w:firstRow="0" w:lastRow="0" w:firstColumn="0" w:lastColumn="0" w:oddVBand="0" w:evenVBand="0" w:oddHBand="1" w:evenHBand="0" w:firstRowFirstColumn="0" w:firstRowLastColumn="0" w:lastRowFirstColumn="0" w:lastRowLastColumn="0"/>
              <w:rPr>
                <w:sz w:val="16"/>
                <w:szCs w:val="16"/>
              </w:rPr>
            </w:pPr>
          </w:p>
        </w:tc>
        <w:tc>
          <w:tcPr>
            <w:tcW w:w="1063" w:type="pct"/>
          </w:tcPr>
          <w:p w14:paraId="0DCFD0C9" w14:textId="77777777" w:rsidR="00E93F30" w:rsidRPr="00957C5B" w:rsidRDefault="00E93F30" w:rsidP="000B5C4D">
            <w:pPr>
              <w:pStyle w:val="Odstavecseseznamem"/>
              <w:numPr>
                <w:ilvl w:val="0"/>
                <w:numId w:val="23"/>
              </w:numPr>
              <w:spacing w:before="113"/>
              <w:ind w:left="338" w:hanging="218"/>
              <w:cnfStyle w:val="000000100000" w:firstRow="0" w:lastRow="0" w:firstColumn="0" w:lastColumn="0" w:oddVBand="0" w:evenVBand="0" w:oddHBand="1" w:evenHBand="0" w:firstRowFirstColumn="0" w:firstRowLastColumn="0" w:lastRowFirstColumn="0" w:lastRowLastColumn="0"/>
              <w:rPr>
                <w:sz w:val="16"/>
                <w:szCs w:val="16"/>
              </w:rPr>
            </w:pPr>
            <w:r w:rsidRPr="00957C5B">
              <w:rPr>
                <w:sz w:val="16"/>
                <w:szCs w:val="16"/>
              </w:rPr>
              <w:t>Oslovení pětinásobného počtu požadovaných respondentů</w:t>
            </w:r>
          </w:p>
          <w:p w14:paraId="78897539" w14:textId="77777777" w:rsidR="00E93F30" w:rsidRPr="00957C5B" w:rsidRDefault="00E93F30" w:rsidP="000B5C4D">
            <w:pPr>
              <w:pStyle w:val="Odstavecseseznamem"/>
              <w:numPr>
                <w:ilvl w:val="0"/>
                <w:numId w:val="23"/>
              </w:numPr>
              <w:spacing w:before="113"/>
              <w:ind w:left="338" w:hanging="218"/>
              <w:cnfStyle w:val="000000100000" w:firstRow="0" w:lastRow="0" w:firstColumn="0" w:lastColumn="0" w:oddVBand="0" w:evenVBand="0" w:oddHBand="1" w:evenHBand="0" w:firstRowFirstColumn="0" w:firstRowLastColumn="0" w:lastRowFirstColumn="0" w:lastRowLastColumn="0"/>
              <w:rPr>
                <w:sz w:val="16"/>
                <w:szCs w:val="16"/>
              </w:rPr>
            </w:pPr>
            <w:r w:rsidRPr="00957C5B">
              <w:rPr>
                <w:sz w:val="16"/>
                <w:szCs w:val="16"/>
              </w:rPr>
              <w:t>Zajištění průvodního dopisu ministerstva</w:t>
            </w:r>
          </w:p>
          <w:p w14:paraId="4C63137A" w14:textId="77777777" w:rsidR="00E93F30" w:rsidRPr="00957C5B" w:rsidRDefault="00E93F30" w:rsidP="000B5C4D">
            <w:pPr>
              <w:pStyle w:val="Odstavecseseznamem"/>
              <w:numPr>
                <w:ilvl w:val="0"/>
                <w:numId w:val="23"/>
              </w:numPr>
              <w:spacing w:before="113"/>
              <w:ind w:left="338" w:hanging="218"/>
              <w:cnfStyle w:val="000000100000" w:firstRow="0" w:lastRow="0" w:firstColumn="0" w:lastColumn="0" w:oddVBand="0" w:evenVBand="0" w:oddHBand="1" w:evenHBand="0" w:firstRowFirstColumn="0" w:firstRowLastColumn="0" w:lastRowFirstColumn="0" w:lastRowLastColumn="0"/>
              <w:rPr>
                <w:sz w:val="16"/>
                <w:szCs w:val="16"/>
              </w:rPr>
            </w:pPr>
            <w:r w:rsidRPr="00957C5B">
              <w:rPr>
                <w:sz w:val="16"/>
                <w:szCs w:val="16"/>
              </w:rPr>
              <w:t>Využití vlastní sítě kontaktů</w:t>
            </w:r>
          </w:p>
          <w:p w14:paraId="0FEF0E42" w14:textId="77777777" w:rsidR="00E93F30" w:rsidRPr="00957C5B" w:rsidRDefault="00E93F30" w:rsidP="000B5C4D">
            <w:pPr>
              <w:pStyle w:val="Odstavecseseznamem"/>
              <w:numPr>
                <w:ilvl w:val="0"/>
                <w:numId w:val="23"/>
              </w:numPr>
              <w:spacing w:before="113"/>
              <w:ind w:left="338" w:hanging="218"/>
              <w:cnfStyle w:val="000000100000" w:firstRow="0" w:lastRow="0" w:firstColumn="0" w:lastColumn="0" w:oddVBand="0" w:evenVBand="0" w:oddHBand="1" w:evenHBand="0" w:firstRowFirstColumn="0" w:firstRowLastColumn="0" w:lastRowFirstColumn="0" w:lastRowLastColumn="0"/>
              <w:rPr>
                <w:sz w:val="16"/>
                <w:szCs w:val="16"/>
              </w:rPr>
            </w:pPr>
            <w:r w:rsidRPr="00957C5B">
              <w:rPr>
                <w:sz w:val="16"/>
                <w:szCs w:val="16"/>
              </w:rPr>
              <w:t>Omezený počet otázek (max. 10-12) tak, aby respondenti nebyli časově příliš vytížení</w:t>
            </w:r>
          </w:p>
        </w:tc>
      </w:tr>
      <w:tr w:rsidR="00E93F30" w:rsidRPr="00957C5B" w14:paraId="3B8107C6" w14:textId="77777777" w:rsidTr="00EE0921">
        <w:trPr>
          <w:trHeight w:val="20"/>
        </w:trPr>
        <w:tc>
          <w:tcPr>
            <w:cnfStyle w:val="001000000000" w:firstRow="0" w:lastRow="0" w:firstColumn="1" w:lastColumn="0" w:oddVBand="0" w:evenVBand="0" w:oddHBand="0" w:evenHBand="0" w:firstRowFirstColumn="0" w:firstRowLastColumn="0" w:lastRowFirstColumn="0" w:lastRowLastColumn="0"/>
            <w:tcW w:w="627" w:type="pct"/>
            <w:tcBorders>
              <w:right w:val="none" w:sz="0" w:space="0" w:color="auto"/>
            </w:tcBorders>
          </w:tcPr>
          <w:p w14:paraId="3F9123A1" w14:textId="77777777" w:rsidR="00E93F30" w:rsidRPr="00957C5B" w:rsidRDefault="00E93F30" w:rsidP="008C286A">
            <w:pPr>
              <w:spacing w:beforeAutospacing="1" w:line="276" w:lineRule="auto"/>
              <w:ind w:left="-24"/>
              <w:rPr>
                <w:rFonts w:eastAsia="Times New Roman" w:cs="Arial"/>
                <w:sz w:val="16"/>
                <w:szCs w:val="16"/>
              </w:rPr>
            </w:pPr>
            <w:r w:rsidRPr="00957C5B">
              <w:rPr>
                <w:rFonts w:eastAsia="Times New Roman" w:cs="Arial"/>
                <w:sz w:val="16"/>
                <w:szCs w:val="16"/>
              </w:rPr>
              <w:t>Expertní panel</w:t>
            </w:r>
            <w:r>
              <w:rPr>
                <w:rFonts w:eastAsia="Times New Roman" w:cs="Arial"/>
                <w:sz w:val="16"/>
                <w:szCs w:val="16"/>
              </w:rPr>
              <w:t xml:space="preserve"> (EP)</w:t>
            </w:r>
          </w:p>
        </w:tc>
        <w:tc>
          <w:tcPr>
            <w:tcW w:w="1461" w:type="pct"/>
          </w:tcPr>
          <w:p w14:paraId="3E10BF31" w14:textId="77777777" w:rsidR="00E93F30" w:rsidRPr="00957C5B" w:rsidRDefault="00E93F30" w:rsidP="00215B5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lang w:eastAsia="cs-CZ"/>
              </w:rPr>
            </w:pPr>
            <w:r w:rsidRPr="00957C5B">
              <w:rPr>
                <w:sz w:val="16"/>
                <w:szCs w:val="16"/>
                <w:lang w:eastAsia="cs-CZ"/>
              </w:rPr>
              <w:t>Zhodnocení výstupů projektu prostřednictvím expertního panelu. Cílem je zhodnotit analýzu z hlediska:</w:t>
            </w:r>
          </w:p>
          <w:p w14:paraId="23837D44" w14:textId="77777777" w:rsidR="00E93F30" w:rsidRPr="00957C5B" w:rsidRDefault="00E93F30" w:rsidP="000B5C4D">
            <w:pPr>
              <w:pStyle w:val="Odstavecseseznamem"/>
              <w:numPr>
                <w:ilvl w:val="0"/>
                <w:numId w:val="25"/>
              </w:numPr>
              <w:ind w:left="401" w:hanging="21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lang w:eastAsia="cs-CZ"/>
              </w:rPr>
            </w:pPr>
            <w:r w:rsidRPr="00957C5B">
              <w:rPr>
                <w:b/>
                <w:bCs/>
                <w:sz w:val="16"/>
                <w:szCs w:val="16"/>
              </w:rPr>
              <w:lastRenderedPageBreak/>
              <w:t>Kvality věcného zpracování</w:t>
            </w:r>
            <w:r w:rsidRPr="00957C5B">
              <w:rPr>
                <w:sz w:val="16"/>
                <w:szCs w:val="16"/>
              </w:rPr>
              <w:t xml:space="preserve"> – Jsou výstupy zpracovány kvalitně? Postihuje výstup projektu všechny klíčové oblasti?</w:t>
            </w:r>
          </w:p>
          <w:p w14:paraId="0669519A" w14:textId="77777777" w:rsidR="00E93F30" w:rsidRPr="00957C5B" w:rsidRDefault="00E93F30" w:rsidP="000B5C4D">
            <w:pPr>
              <w:pStyle w:val="Odstavecseseznamem"/>
              <w:numPr>
                <w:ilvl w:val="0"/>
                <w:numId w:val="25"/>
              </w:numPr>
              <w:ind w:left="401" w:hanging="219"/>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57C5B">
              <w:rPr>
                <w:b/>
                <w:bCs/>
                <w:sz w:val="16"/>
                <w:szCs w:val="16"/>
              </w:rPr>
              <w:t>Srozumitelnosti a uživatelské přívětivosti</w:t>
            </w:r>
            <w:r w:rsidRPr="00957C5B">
              <w:rPr>
                <w:sz w:val="16"/>
                <w:szCs w:val="16"/>
              </w:rPr>
              <w:t xml:space="preserve"> – Je výstup projektu uživatelsky přívětivý? Mohou s výstupem projektu pracovat pracovníci ŘO/ZS samostatně, nebo je třeba další asistence ze strany realizátorů projektu?</w:t>
            </w:r>
          </w:p>
          <w:p w14:paraId="116C47C1" w14:textId="77777777" w:rsidR="00E93F30" w:rsidRPr="00957C5B" w:rsidRDefault="00E93F30" w:rsidP="00EE0921">
            <w:pPr>
              <w:pStyle w:val="Odstavecseseznamem"/>
              <w:numPr>
                <w:ilvl w:val="0"/>
                <w:numId w:val="25"/>
              </w:numPr>
              <w:ind w:left="401" w:hanging="21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57C5B">
              <w:rPr>
                <w:b/>
                <w:bCs/>
                <w:sz w:val="16"/>
                <w:szCs w:val="16"/>
              </w:rPr>
              <w:t>Aplikovatelnosti navrhovaných postupů do praxe</w:t>
            </w:r>
            <w:r w:rsidRPr="00957C5B">
              <w:rPr>
                <w:sz w:val="16"/>
                <w:szCs w:val="16"/>
              </w:rPr>
              <w:t xml:space="preserve"> - Je</w:t>
            </w:r>
            <w:r w:rsidR="00EE0921">
              <w:rPr>
                <w:sz w:val="16"/>
                <w:szCs w:val="16"/>
              </w:rPr>
              <w:t xml:space="preserve"> výstup projektu aplikovatelný?</w:t>
            </w:r>
          </w:p>
        </w:tc>
        <w:tc>
          <w:tcPr>
            <w:tcW w:w="996" w:type="pct"/>
          </w:tcPr>
          <w:p w14:paraId="0209838B" w14:textId="77777777" w:rsidR="00E93F30" w:rsidRPr="00957C5B" w:rsidRDefault="00E93F30" w:rsidP="000B5C4D">
            <w:pPr>
              <w:pStyle w:val="Odstavecseseznamem"/>
              <w:numPr>
                <w:ilvl w:val="0"/>
                <w:numId w:val="21"/>
              </w:numPr>
              <w:spacing w:line="23" w:lineRule="atLeast"/>
              <w:ind w:left="303" w:hanging="218"/>
              <w:contextualSpacing w:val="0"/>
              <w:cnfStyle w:val="000000000000" w:firstRow="0" w:lastRow="0" w:firstColumn="0" w:lastColumn="0" w:oddVBand="0" w:evenVBand="0" w:oddHBand="0" w:evenHBand="0" w:firstRowFirstColumn="0" w:firstRowLastColumn="0" w:lastRowFirstColumn="0" w:lastRowLastColumn="0"/>
              <w:rPr>
                <w:sz w:val="16"/>
                <w:szCs w:val="16"/>
              </w:rPr>
            </w:pPr>
            <w:r w:rsidRPr="00957C5B">
              <w:rPr>
                <w:sz w:val="16"/>
                <w:szCs w:val="16"/>
              </w:rPr>
              <w:lastRenderedPageBreak/>
              <w:t>Oponentura realizované analýzy</w:t>
            </w:r>
          </w:p>
          <w:p w14:paraId="42082976" w14:textId="77777777" w:rsidR="00E93F30" w:rsidRPr="00957C5B" w:rsidRDefault="00E93F30" w:rsidP="000B5C4D">
            <w:pPr>
              <w:pStyle w:val="Odstavecseseznamem"/>
              <w:numPr>
                <w:ilvl w:val="0"/>
                <w:numId w:val="21"/>
              </w:numPr>
              <w:spacing w:line="23" w:lineRule="atLeast"/>
              <w:ind w:left="303" w:hanging="218"/>
              <w:contextualSpacing w:val="0"/>
              <w:cnfStyle w:val="000000000000" w:firstRow="0" w:lastRow="0" w:firstColumn="0" w:lastColumn="0" w:oddVBand="0" w:evenVBand="0" w:oddHBand="0" w:evenHBand="0" w:firstRowFirstColumn="0" w:firstRowLastColumn="0" w:lastRowFirstColumn="0" w:lastRowLastColumn="0"/>
              <w:rPr>
                <w:sz w:val="16"/>
                <w:szCs w:val="16"/>
              </w:rPr>
            </w:pPr>
            <w:r w:rsidRPr="00957C5B">
              <w:rPr>
                <w:sz w:val="16"/>
                <w:szCs w:val="16"/>
              </w:rPr>
              <w:lastRenderedPageBreak/>
              <w:t>Shromáždění velkého množství kvalitních informací v krátkém čase</w:t>
            </w:r>
          </w:p>
          <w:p w14:paraId="4E2B7606" w14:textId="77777777" w:rsidR="00E93F30" w:rsidRPr="00957C5B" w:rsidRDefault="00E93F30" w:rsidP="000B5C4D">
            <w:pPr>
              <w:pStyle w:val="Odstavecseseznamem"/>
              <w:numPr>
                <w:ilvl w:val="0"/>
                <w:numId w:val="21"/>
              </w:numPr>
              <w:spacing w:line="23" w:lineRule="atLeast"/>
              <w:ind w:left="303" w:hanging="218"/>
              <w:contextualSpacing w:val="0"/>
              <w:cnfStyle w:val="000000000000" w:firstRow="0" w:lastRow="0" w:firstColumn="0" w:lastColumn="0" w:oddVBand="0" w:evenVBand="0" w:oddHBand="0" w:evenHBand="0" w:firstRowFirstColumn="0" w:firstRowLastColumn="0" w:lastRowFirstColumn="0" w:lastRowLastColumn="0"/>
              <w:rPr>
                <w:sz w:val="16"/>
                <w:szCs w:val="16"/>
              </w:rPr>
            </w:pPr>
            <w:r w:rsidRPr="00957C5B">
              <w:rPr>
                <w:sz w:val="16"/>
                <w:szCs w:val="16"/>
              </w:rPr>
              <w:t>Různé pohledy účastníků vytvářené účastí v sociální interakci</w:t>
            </w:r>
          </w:p>
          <w:p w14:paraId="745BB312" w14:textId="77777777" w:rsidR="00E93F30" w:rsidRPr="00957C5B" w:rsidRDefault="00E93F30" w:rsidP="000B5C4D">
            <w:pPr>
              <w:pStyle w:val="Odstavecseseznamem"/>
              <w:numPr>
                <w:ilvl w:val="0"/>
                <w:numId w:val="21"/>
              </w:numPr>
              <w:spacing w:line="23" w:lineRule="atLeast"/>
              <w:ind w:left="303" w:hanging="218"/>
              <w:contextualSpacing w:val="0"/>
              <w:cnfStyle w:val="000000000000" w:firstRow="0" w:lastRow="0" w:firstColumn="0" w:lastColumn="0" w:oddVBand="0" w:evenVBand="0" w:oddHBand="0" w:evenHBand="0" w:firstRowFirstColumn="0" w:firstRowLastColumn="0" w:lastRowFirstColumn="0" w:lastRowLastColumn="0"/>
              <w:rPr>
                <w:sz w:val="16"/>
                <w:szCs w:val="16"/>
              </w:rPr>
            </w:pPr>
            <w:r w:rsidRPr="00957C5B">
              <w:rPr>
                <w:sz w:val="16"/>
                <w:szCs w:val="16"/>
              </w:rPr>
              <w:t>Mnohostrannost</w:t>
            </w:r>
          </w:p>
        </w:tc>
        <w:tc>
          <w:tcPr>
            <w:tcW w:w="852" w:type="pct"/>
          </w:tcPr>
          <w:p w14:paraId="7CF1B325" w14:textId="77777777" w:rsidR="00E93F30" w:rsidRPr="00957C5B" w:rsidRDefault="00E93F30" w:rsidP="000B5C4D">
            <w:pPr>
              <w:pStyle w:val="Odstavecseseznamem"/>
              <w:numPr>
                <w:ilvl w:val="0"/>
                <w:numId w:val="24"/>
              </w:numPr>
              <w:spacing w:line="23" w:lineRule="atLeast"/>
              <w:ind w:left="320" w:hanging="218"/>
              <w:contextualSpacing w:val="0"/>
              <w:cnfStyle w:val="000000000000" w:firstRow="0" w:lastRow="0" w:firstColumn="0" w:lastColumn="0" w:oddVBand="0" w:evenVBand="0" w:oddHBand="0" w:evenHBand="0" w:firstRowFirstColumn="0" w:firstRowLastColumn="0" w:lastRowFirstColumn="0" w:lastRowLastColumn="0"/>
              <w:rPr>
                <w:sz w:val="16"/>
                <w:szCs w:val="16"/>
              </w:rPr>
            </w:pPr>
            <w:r w:rsidRPr="00957C5B">
              <w:rPr>
                <w:sz w:val="16"/>
                <w:szCs w:val="16"/>
              </w:rPr>
              <w:lastRenderedPageBreak/>
              <w:t>Nezájem informátorů o účast na analýze</w:t>
            </w:r>
          </w:p>
          <w:p w14:paraId="5F728B26" w14:textId="77777777" w:rsidR="00E93F30" w:rsidRPr="00957C5B" w:rsidRDefault="00E93F30" w:rsidP="000B5C4D">
            <w:pPr>
              <w:pStyle w:val="Odstavecseseznamem"/>
              <w:numPr>
                <w:ilvl w:val="0"/>
                <w:numId w:val="24"/>
              </w:numPr>
              <w:spacing w:line="23" w:lineRule="atLeast"/>
              <w:ind w:left="320" w:hanging="218"/>
              <w:contextualSpacing w:val="0"/>
              <w:cnfStyle w:val="000000000000" w:firstRow="0" w:lastRow="0" w:firstColumn="0" w:lastColumn="0" w:oddVBand="0" w:evenVBand="0" w:oddHBand="0" w:evenHBand="0" w:firstRowFirstColumn="0" w:firstRowLastColumn="0" w:lastRowFirstColumn="0" w:lastRowLastColumn="0"/>
              <w:rPr>
                <w:sz w:val="16"/>
                <w:szCs w:val="16"/>
              </w:rPr>
            </w:pPr>
            <w:r w:rsidRPr="00957C5B">
              <w:rPr>
                <w:sz w:val="16"/>
                <w:szCs w:val="16"/>
              </w:rPr>
              <w:lastRenderedPageBreak/>
              <w:t>Nedostatečná časová kapacita informátorů</w:t>
            </w:r>
          </w:p>
          <w:p w14:paraId="4851229F" w14:textId="77777777" w:rsidR="00E93F30" w:rsidRPr="00957C5B" w:rsidRDefault="00E93F30" w:rsidP="000B5C4D">
            <w:pPr>
              <w:pStyle w:val="Odstavecseseznamem"/>
              <w:numPr>
                <w:ilvl w:val="0"/>
                <w:numId w:val="24"/>
              </w:numPr>
              <w:spacing w:line="23" w:lineRule="atLeast"/>
              <w:ind w:left="320" w:hanging="218"/>
              <w:contextualSpacing w:val="0"/>
              <w:cnfStyle w:val="000000000000" w:firstRow="0" w:lastRow="0" w:firstColumn="0" w:lastColumn="0" w:oddVBand="0" w:evenVBand="0" w:oddHBand="0" w:evenHBand="0" w:firstRowFirstColumn="0" w:firstRowLastColumn="0" w:lastRowFirstColumn="0" w:lastRowLastColumn="0"/>
              <w:rPr>
                <w:sz w:val="16"/>
                <w:szCs w:val="16"/>
              </w:rPr>
            </w:pPr>
            <w:r w:rsidRPr="00957C5B">
              <w:rPr>
                <w:sz w:val="16"/>
                <w:szCs w:val="16"/>
              </w:rPr>
              <w:t xml:space="preserve">Špatný výběr informátorů </w:t>
            </w:r>
          </w:p>
          <w:p w14:paraId="6BAA043A" w14:textId="77777777" w:rsidR="00E93F30" w:rsidRPr="00957C5B" w:rsidRDefault="00E93F30" w:rsidP="000B5C4D">
            <w:pPr>
              <w:pStyle w:val="Odstavecseseznamem"/>
              <w:numPr>
                <w:ilvl w:val="0"/>
                <w:numId w:val="24"/>
              </w:numPr>
              <w:spacing w:line="23" w:lineRule="atLeast"/>
              <w:ind w:left="320" w:hanging="218"/>
              <w:contextualSpacing w:val="0"/>
              <w:cnfStyle w:val="000000000000" w:firstRow="0" w:lastRow="0" w:firstColumn="0" w:lastColumn="0" w:oddVBand="0" w:evenVBand="0" w:oddHBand="0" w:evenHBand="0" w:firstRowFirstColumn="0" w:firstRowLastColumn="0" w:lastRowFirstColumn="0" w:lastRowLastColumn="0"/>
              <w:rPr>
                <w:sz w:val="16"/>
                <w:szCs w:val="16"/>
              </w:rPr>
            </w:pPr>
            <w:r w:rsidRPr="00957C5B">
              <w:rPr>
                <w:sz w:val="16"/>
                <w:szCs w:val="16"/>
              </w:rPr>
              <w:t>Zkreslování informací pod dojmem ostatních účastníků</w:t>
            </w:r>
          </w:p>
        </w:tc>
        <w:tc>
          <w:tcPr>
            <w:tcW w:w="1063" w:type="pct"/>
          </w:tcPr>
          <w:p w14:paraId="7471166F" w14:textId="77777777" w:rsidR="00E93F30" w:rsidRPr="00957C5B" w:rsidRDefault="00E93F30" w:rsidP="000B5C4D">
            <w:pPr>
              <w:pStyle w:val="Odstavecseseznamem"/>
              <w:numPr>
                <w:ilvl w:val="0"/>
                <w:numId w:val="23"/>
              </w:numPr>
              <w:spacing w:before="113"/>
              <w:ind w:left="338" w:hanging="218"/>
              <w:cnfStyle w:val="000000000000" w:firstRow="0" w:lastRow="0" w:firstColumn="0" w:lastColumn="0" w:oddVBand="0" w:evenVBand="0" w:oddHBand="0" w:evenHBand="0" w:firstRowFirstColumn="0" w:firstRowLastColumn="0" w:lastRowFirstColumn="0" w:lastRowLastColumn="0"/>
              <w:rPr>
                <w:sz w:val="16"/>
                <w:szCs w:val="16"/>
              </w:rPr>
            </w:pPr>
            <w:r w:rsidRPr="00957C5B">
              <w:rPr>
                <w:sz w:val="16"/>
                <w:szCs w:val="16"/>
              </w:rPr>
              <w:lastRenderedPageBreak/>
              <w:t>Využití vlastních expertů Deloitte</w:t>
            </w:r>
          </w:p>
          <w:p w14:paraId="317699C9" w14:textId="77777777" w:rsidR="00E93F30" w:rsidRPr="00957C5B" w:rsidRDefault="00E93F30" w:rsidP="000B5C4D">
            <w:pPr>
              <w:pStyle w:val="Odstavecseseznamem"/>
              <w:numPr>
                <w:ilvl w:val="0"/>
                <w:numId w:val="23"/>
              </w:numPr>
              <w:spacing w:before="113"/>
              <w:ind w:left="338" w:hanging="218"/>
              <w:cnfStyle w:val="000000000000" w:firstRow="0" w:lastRow="0" w:firstColumn="0" w:lastColumn="0" w:oddVBand="0" w:evenVBand="0" w:oddHBand="0" w:evenHBand="0" w:firstRowFirstColumn="0" w:firstRowLastColumn="0" w:lastRowFirstColumn="0" w:lastRowLastColumn="0"/>
              <w:rPr>
                <w:sz w:val="16"/>
                <w:szCs w:val="16"/>
              </w:rPr>
            </w:pPr>
            <w:r w:rsidRPr="00957C5B">
              <w:rPr>
                <w:sz w:val="16"/>
                <w:szCs w:val="16"/>
              </w:rPr>
              <w:lastRenderedPageBreak/>
              <w:t>Kontaktování trojnásobného počtu informátorů</w:t>
            </w:r>
          </w:p>
          <w:p w14:paraId="2DF6786E" w14:textId="77777777" w:rsidR="00E93F30" w:rsidRPr="00957C5B" w:rsidRDefault="00E93F30" w:rsidP="000B5C4D">
            <w:pPr>
              <w:pStyle w:val="Odstavecseseznamem"/>
              <w:numPr>
                <w:ilvl w:val="0"/>
                <w:numId w:val="23"/>
              </w:numPr>
              <w:spacing w:before="113"/>
              <w:ind w:left="338" w:hanging="218"/>
              <w:cnfStyle w:val="000000000000" w:firstRow="0" w:lastRow="0" w:firstColumn="0" w:lastColumn="0" w:oddVBand="0" w:evenVBand="0" w:oddHBand="0" w:evenHBand="0" w:firstRowFirstColumn="0" w:firstRowLastColumn="0" w:lastRowFirstColumn="0" w:lastRowLastColumn="0"/>
              <w:rPr>
                <w:sz w:val="16"/>
                <w:szCs w:val="16"/>
              </w:rPr>
            </w:pPr>
            <w:r w:rsidRPr="00957C5B">
              <w:rPr>
                <w:sz w:val="16"/>
                <w:szCs w:val="16"/>
              </w:rPr>
              <w:t>Spolupráce při oslovení se Zadavatelem</w:t>
            </w:r>
          </w:p>
          <w:p w14:paraId="6376E794" w14:textId="77777777" w:rsidR="00E93F30" w:rsidRPr="00957C5B" w:rsidRDefault="00E93F30" w:rsidP="000B5C4D">
            <w:pPr>
              <w:pStyle w:val="Odstavecseseznamem"/>
              <w:numPr>
                <w:ilvl w:val="0"/>
                <w:numId w:val="23"/>
              </w:numPr>
              <w:spacing w:before="113"/>
              <w:ind w:left="338" w:hanging="218"/>
              <w:cnfStyle w:val="000000000000" w:firstRow="0" w:lastRow="0" w:firstColumn="0" w:lastColumn="0" w:oddVBand="0" w:evenVBand="0" w:oddHBand="0" w:evenHBand="0" w:firstRowFirstColumn="0" w:firstRowLastColumn="0" w:lastRowFirstColumn="0" w:lastRowLastColumn="0"/>
              <w:rPr>
                <w:sz w:val="16"/>
                <w:szCs w:val="16"/>
              </w:rPr>
            </w:pPr>
            <w:r w:rsidRPr="00957C5B">
              <w:rPr>
                <w:sz w:val="16"/>
                <w:szCs w:val="16"/>
              </w:rPr>
              <w:t>Přizpůsobení realizace metody dle časových možností respondentů</w:t>
            </w:r>
          </w:p>
          <w:p w14:paraId="639F0DE0" w14:textId="77777777" w:rsidR="00E93F30" w:rsidRPr="00957C5B" w:rsidRDefault="00E93F30" w:rsidP="000B5C4D">
            <w:pPr>
              <w:pStyle w:val="Odstavecseseznamem"/>
              <w:numPr>
                <w:ilvl w:val="0"/>
                <w:numId w:val="23"/>
              </w:numPr>
              <w:spacing w:before="113"/>
              <w:ind w:left="338" w:hanging="218"/>
              <w:cnfStyle w:val="000000000000" w:firstRow="0" w:lastRow="0" w:firstColumn="0" w:lastColumn="0" w:oddVBand="0" w:evenVBand="0" w:oddHBand="0" w:evenHBand="0" w:firstRowFirstColumn="0" w:firstRowLastColumn="0" w:lastRowFirstColumn="0" w:lastRowLastColumn="0"/>
              <w:rPr>
                <w:sz w:val="16"/>
                <w:szCs w:val="16"/>
              </w:rPr>
            </w:pPr>
            <w:r w:rsidRPr="00957C5B">
              <w:rPr>
                <w:sz w:val="16"/>
                <w:szCs w:val="16"/>
              </w:rPr>
              <w:t>Ověření splnění charakteristik respondentů pro jejich oslovování</w:t>
            </w:r>
          </w:p>
          <w:p w14:paraId="67E446E7" w14:textId="77777777" w:rsidR="00E93F30" w:rsidRPr="00957C5B" w:rsidRDefault="00E93F30" w:rsidP="000B5C4D">
            <w:pPr>
              <w:pStyle w:val="Odstavecseseznamem"/>
              <w:numPr>
                <w:ilvl w:val="0"/>
                <w:numId w:val="23"/>
              </w:numPr>
              <w:spacing w:before="113"/>
              <w:ind w:left="338" w:hanging="218"/>
              <w:cnfStyle w:val="000000000000" w:firstRow="0" w:lastRow="0" w:firstColumn="0" w:lastColumn="0" w:oddVBand="0" w:evenVBand="0" w:oddHBand="0" w:evenHBand="0" w:firstRowFirstColumn="0" w:firstRowLastColumn="0" w:lastRowFirstColumn="0" w:lastRowLastColumn="0"/>
              <w:rPr>
                <w:sz w:val="16"/>
                <w:szCs w:val="16"/>
              </w:rPr>
            </w:pPr>
            <w:r w:rsidRPr="00957C5B">
              <w:rPr>
                <w:sz w:val="16"/>
                <w:szCs w:val="16"/>
              </w:rPr>
              <w:t>Triangulace evaluačních metod pro získání dalších dat</w:t>
            </w:r>
          </w:p>
        </w:tc>
      </w:tr>
    </w:tbl>
    <w:p w14:paraId="60141A6F" w14:textId="77777777" w:rsidR="00E93F30" w:rsidRDefault="00E93F30" w:rsidP="00E93F30">
      <w:pPr>
        <w:rPr>
          <w:highlight w:val="yellow"/>
        </w:rPr>
        <w:sectPr w:rsidR="00E93F30" w:rsidSect="00E93F30">
          <w:pgSz w:w="16838" w:h="11906" w:orient="landscape" w:code="9"/>
          <w:pgMar w:top="680" w:right="1985" w:bottom="1134" w:left="1134" w:header="680" w:footer="567" w:gutter="0"/>
          <w:cols w:space="284"/>
          <w:titlePg/>
          <w:docGrid w:linePitch="360"/>
        </w:sectPr>
      </w:pPr>
    </w:p>
    <w:p w14:paraId="7E46F68D" w14:textId="6D97DA3C" w:rsidR="0092664E" w:rsidRPr="00465BC7" w:rsidRDefault="0092664E" w:rsidP="00C62AF1">
      <w:pPr>
        <w:pStyle w:val="Nadpis1"/>
        <w:numPr>
          <w:ilvl w:val="0"/>
          <w:numId w:val="0"/>
        </w:numPr>
      </w:pPr>
      <w:bookmarkStart w:id="56" w:name="_Toc20383926"/>
      <w:bookmarkStart w:id="57" w:name="_Toc25228662"/>
      <w:r>
        <w:lastRenderedPageBreak/>
        <w:t xml:space="preserve">Příloha </w:t>
      </w:r>
      <w:r w:rsidR="009B0D06">
        <w:t>4</w:t>
      </w:r>
      <w:r>
        <w:t xml:space="preserve">: </w:t>
      </w:r>
      <w:r w:rsidRPr="00465BC7">
        <w:t xml:space="preserve">Přístup pro stanovení vzorku projektů </w:t>
      </w:r>
      <w:r w:rsidR="00EE6D67">
        <w:br/>
      </w:r>
      <w:r w:rsidRPr="00465BC7">
        <w:t>k hodnocení a testování hypotéz</w:t>
      </w:r>
      <w:r>
        <w:t xml:space="preserve"> v rámci dotazníkového šetření</w:t>
      </w:r>
      <w:bookmarkEnd w:id="56"/>
      <w:bookmarkEnd w:id="57"/>
    </w:p>
    <w:p w14:paraId="036D8473" w14:textId="77777777" w:rsidR="0092664E" w:rsidRDefault="0092664E" w:rsidP="0092664E">
      <w:pPr>
        <w:spacing w:before="113" w:after="113" w:line="240" w:lineRule="auto"/>
        <w:jc w:val="both"/>
        <w:rPr>
          <w:rFonts w:asciiTheme="majorHAnsi" w:hAnsiTheme="majorHAnsi"/>
          <w:szCs w:val="18"/>
        </w:rPr>
      </w:pPr>
    </w:p>
    <w:p w14:paraId="1B7EE1C2" w14:textId="77777777" w:rsidR="0092664E" w:rsidRDefault="0092664E" w:rsidP="002B215D">
      <w:pPr>
        <w:spacing w:after="120" w:line="240" w:lineRule="auto"/>
        <w:jc w:val="both"/>
      </w:pPr>
      <w:r>
        <w:rPr>
          <w:rFonts w:asciiTheme="majorHAnsi" w:hAnsiTheme="majorHAnsi"/>
          <w:szCs w:val="18"/>
        </w:rPr>
        <w:t xml:space="preserve">Pokud z důvodu rozsahu základního souboru nebude možné provést ověření 100 % vzorku, přistoupí Deloitte k výběru reprezentativního vzorku. </w:t>
      </w:r>
      <w:r>
        <w:rPr>
          <w:rFonts w:asciiTheme="majorHAnsi" w:hAnsiTheme="majorHAnsi"/>
          <w:bCs/>
          <w:szCs w:val="18"/>
        </w:rPr>
        <w:t>Vzorek každého šetření musí splňovat základní statistické předpoklady, tj. musí být:</w:t>
      </w:r>
    </w:p>
    <w:p w14:paraId="6DA788DF" w14:textId="77777777" w:rsidR="0092664E" w:rsidRDefault="0092664E" w:rsidP="002B215D">
      <w:pPr>
        <w:pStyle w:val="Seznamsodrkami"/>
        <w:numPr>
          <w:ilvl w:val="0"/>
          <w:numId w:val="35"/>
        </w:numPr>
        <w:spacing w:after="120" w:line="240" w:lineRule="auto"/>
        <w:ind w:left="1020" w:hanging="340"/>
        <w:contextualSpacing w:val="0"/>
      </w:pPr>
      <w:r>
        <w:t>Dostatečně velký,</w:t>
      </w:r>
    </w:p>
    <w:p w14:paraId="4F3AB218" w14:textId="77777777" w:rsidR="0092664E" w:rsidRDefault="0092664E" w:rsidP="002B215D">
      <w:pPr>
        <w:pStyle w:val="Seznamsodrkami"/>
        <w:numPr>
          <w:ilvl w:val="0"/>
          <w:numId w:val="35"/>
        </w:numPr>
        <w:spacing w:after="120" w:line="240" w:lineRule="auto"/>
        <w:ind w:left="1020" w:hanging="340"/>
        <w:contextualSpacing w:val="0"/>
      </w:pPr>
      <w:r>
        <w:t>Dostatečně reprezentativní,</w:t>
      </w:r>
    </w:p>
    <w:p w14:paraId="19CF2FE4" w14:textId="77777777" w:rsidR="0092664E" w:rsidRDefault="0092664E" w:rsidP="002B215D">
      <w:pPr>
        <w:pStyle w:val="Seznamsodrkami"/>
        <w:numPr>
          <w:ilvl w:val="0"/>
          <w:numId w:val="35"/>
        </w:numPr>
        <w:spacing w:after="120" w:line="240" w:lineRule="auto"/>
        <w:ind w:left="1020" w:hanging="340"/>
        <w:contextualSpacing w:val="0"/>
      </w:pPr>
      <w:r>
        <w:t>Dostatečně náhodný,</w:t>
      </w:r>
    </w:p>
    <w:p w14:paraId="3C6D0A41" w14:textId="77777777" w:rsidR="0092664E" w:rsidRDefault="0092664E" w:rsidP="002B215D">
      <w:pPr>
        <w:pStyle w:val="Seznamsodrkami"/>
        <w:numPr>
          <w:ilvl w:val="0"/>
          <w:numId w:val="35"/>
        </w:numPr>
        <w:spacing w:after="120" w:line="240" w:lineRule="auto"/>
        <w:ind w:left="1020" w:hanging="340"/>
        <w:contextualSpacing w:val="0"/>
      </w:pPr>
      <w:r>
        <w:t>Správně vyhodnocený.</w:t>
      </w:r>
    </w:p>
    <w:p w14:paraId="3E2F43F1" w14:textId="77777777" w:rsidR="0092664E" w:rsidRDefault="0092664E" w:rsidP="002B215D">
      <w:pPr>
        <w:pStyle w:val="Seznamsodrkami"/>
        <w:numPr>
          <w:ilvl w:val="0"/>
          <w:numId w:val="0"/>
        </w:numPr>
        <w:spacing w:after="120" w:line="240" w:lineRule="auto"/>
        <w:contextualSpacing w:val="0"/>
        <w:jc w:val="both"/>
      </w:pPr>
      <w:r>
        <w:rPr>
          <w:rFonts w:asciiTheme="majorHAnsi" w:hAnsiTheme="majorHAnsi"/>
          <w:bCs/>
          <w:szCs w:val="18"/>
        </w:rPr>
        <w:t>Určení vhodné velikosti reprezentativního vzorku je zásadní pro statistické šetření. V případě, že je vzorek například příliš malý, může dojít k vychýlení vypovídací hodnoty šetření kvůli zahrnutí anomálií. Pro určení velikosti je využíván následující vzorec:</w:t>
      </w:r>
    </w:p>
    <w:p w14:paraId="364E56B5" w14:textId="77777777" w:rsidR="0092664E" w:rsidRDefault="0092664E" w:rsidP="0092664E">
      <w:pPr>
        <w:pStyle w:val="BodyText1"/>
        <w:spacing w:before="113" w:after="113" w:line="240" w:lineRule="auto"/>
        <w:ind w:left="360"/>
      </w:pPr>
      <m:oMathPara>
        <m:oMath>
          <m:r>
            <w:rPr>
              <w:rFonts w:ascii="Cambria Math" w:hAnsi="Cambria Math"/>
            </w:rPr>
            <m:t>n=</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u</m:t>
                          </m:r>
                        </m:e>
                        <m:sub>
                          <m:f>
                            <m:fPr>
                              <m:ctrlPr>
                                <w:rPr>
                                  <w:rFonts w:ascii="Cambria Math" w:hAnsi="Cambria Math"/>
                                </w:rPr>
                              </m:ctrlPr>
                            </m:fPr>
                            <m:num>
                              <m:r>
                                <w:rPr>
                                  <w:rFonts w:ascii="Cambria Math" w:hAnsi="Cambria Math"/>
                                </w:rPr>
                                <m:t>α</m:t>
                              </m:r>
                            </m:num>
                            <m:den>
                              <m:r>
                                <w:rPr>
                                  <w:rFonts w:ascii="Cambria Math" w:hAnsi="Cambria Math"/>
                                </w:rPr>
                                <m:t>2</m:t>
                              </m:r>
                            </m:den>
                          </m:f>
                        </m:sub>
                      </m:sSub>
                      <m:r>
                        <w:rPr>
                          <w:rFonts w:ascii="Cambria Math" w:hAnsi="Cambria Math"/>
                        </w:rPr>
                        <m:t>σ</m:t>
                      </m:r>
                    </m:num>
                    <m:den>
                      <m:r>
                        <w:rPr>
                          <w:rFonts w:ascii="Cambria Math" w:hAnsi="Cambria Math"/>
                        </w:rPr>
                        <m:t>E</m:t>
                      </m:r>
                    </m:den>
                  </m:f>
                </m:e>
              </m:d>
            </m:e>
            <m:sup>
              <m:r>
                <w:rPr>
                  <w:rFonts w:ascii="Cambria Math" w:hAnsi="Cambria Math"/>
                </w:rPr>
                <m:t>2</m:t>
              </m:r>
            </m:sup>
          </m:sSup>
        </m:oMath>
      </m:oMathPara>
    </w:p>
    <w:p w14:paraId="766135A4" w14:textId="77777777" w:rsidR="0092664E" w:rsidRDefault="0092664E" w:rsidP="0092664E">
      <w:pPr>
        <w:pStyle w:val="BodyText1"/>
        <w:spacing w:before="113" w:after="113" w:line="240" w:lineRule="auto"/>
      </w:pPr>
      <w:r>
        <w:rPr>
          <w:rFonts w:asciiTheme="majorHAnsi" w:hAnsiTheme="majorHAnsi"/>
          <w:bCs/>
          <w:szCs w:val="18"/>
        </w:rPr>
        <w:t>Jednotlivé proměnné jsou definovány následovně:</w:t>
      </w:r>
    </w:p>
    <w:p w14:paraId="0A53D742" w14:textId="77777777" w:rsidR="0092664E" w:rsidRDefault="0092664E" w:rsidP="0092664E">
      <w:pPr>
        <w:pStyle w:val="Titulek"/>
        <w:jc w:val="center"/>
      </w:pPr>
      <w:bookmarkStart w:id="58" w:name="_Toc24384744"/>
      <w:r>
        <w:t xml:space="preserve">Tabulka </w:t>
      </w:r>
      <w:r>
        <w:fldChar w:fldCharType="begin"/>
      </w:r>
      <w:r>
        <w:instrText xml:space="preserve"> SEQ Tabulka \* ARABIC </w:instrText>
      </w:r>
      <w:r>
        <w:fldChar w:fldCharType="separate"/>
      </w:r>
      <w:r w:rsidR="00E93151">
        <w:rPr>
          <w:noProof/>
        </w:rPr>
        <w:t>18</w:t>
      </w:r>
      <w:r>
        <w:fldChar w:fldCharType="end"/>
      </w:r>
      <w:r>
        <w:t>: Přehled proměnných a jejich definic</w:t>
      </w:r>
      <w:bookmarkEnd w:id="58"/>
    </w:p>
    <w:tbl>
      <w:tblPr>
        <w:tblStyle w:val="GridTable4-Accent11"/>
        <w:tblW w:w="5000" w:type="pct"/>
        <w:tblLook w:val="06A0" w:firstRow="1" w:lastRow="0" w:firstColumn="1" w:lastColumn="0" w:noHBand="1" w:noVBand="1"/>
      </w:tblPr>
      <w:tblGrid>
        <w:gridCol w:w="1746"/>
        <w:gridCol w:w="7316"/>
      </w:tblGrid>
      <w:tr w:rsidR="0092664E" w:rsidRPr="00547C44" w14:paraId="35BAFA33" w14:textId="77777777" w:rsidTr="0031220A">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746" w:type="dxa"/>
          </w:tcPr>
          <w:p w14:paraId="4D75AA0F" w14:textId="77777777" w:rsidR="0092664E" w:rsidRPr="00547C44" w:rsidRDefault="0092664E" w:rsidP="0031220A">
            <w:pPr>
              <w:pStyle w:val="BodyText1"/>
              <w:spacing w:after="0" w:line="240" w:lineRule="auto"/>
              <w:contextualSpacing/>
              <w:rPr>
                <w:rFonts w:asciiTheme="minorHAnsi" w:hAnsiTheme="minorHAnsi"/>
                <w:bCs w:val="0"/>
                <w:color w:val="FFFFFF" w:themeColor="background1"/>
                <w:sz w:val="16"/>
                <w:szCs w:val="16"/>
              </w:rPr>
            </w:pPr>
            <w:r w:rsidRPr="00547C44">
              <w:rPr>
                <w:rFonts w:asciiTheme="minorHAnsi" w:hAnsiTheme="minorHAnsi"/>
                <w:color w:val="FFFFFF" w:themeColor="background1"/>
                <w:sz w:val="16"/>
                <w:szCs w:val="16"/>
              </w:rPr>
              <w:t>Proměnná</w:t>
            </w:r>
          </w:p>
        </w:tc>
        <w:tc>
          <w:tcPr>
            <w:tcW w:w="7314" w:type="dxa"/>
          </w:tcPr>
          <w:p w14:paraId="3609EC4C" w14:textId="77777777" w:rsidR="0092664E" w:rsidRPr="00547C44" w:rsidRDefault="0092664E" w:rsidP="0031220A">
            <w:pPr>
              <w:pStyle w:val="BodyText1"/>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FFFFFF" w:themeColor="background1"/>
                <w:sz w:val="16"/>
                <w:szCs w:val="16"/>
              </w:rPr>
            </w:pPr>
            <w:r w:rsidRPr="00547C44">
              <w:rPr>
                <w:rFonts w:asciiTheme="minorHAnsi" w:hAnsiTheme="minorHAnsi"/>
                <w:color w:val="FFFFFF" w:themeColor="background1"/>
                <w:sz w:val="16"/>
                <w:szCs w:val="16"/>
              </w:rPr>
              <w:t>Význam</w:t>
            </w:r>
          </w:p>
        </w:tc>
      </w:tr>
      <w:tr w:rsidR="0092664E" w:rsidRPr="00547C44" w14:paraId="2A7FA447" w14:textId="77777777" w:rsidTr="0031220A">
        <w:trPr>
          <w:trHeight w:val="20"/>
        </w:trPr>
        <w:tc>
          <w:tcPr>
            <w:cnfStyle w:val="001000000000" w:firstRow="0" w:lastRow="0" w:firstColumn="1" w:lastColumn="0" w:oddVBand="0" w:evenVBand="0" w:oddHBand="0" w:evenHBand="0" w:firstRowFirstColumn="0" w:firstRowLastColumn="0" w:lastRowFirstColumn="0" w:lastRowLastColumn="0"/>
            <w:tcW w:w="1746" w:type="dxa"/>
            <w:shd w:val="clear" w:color="auto" w:fill="E7F5CF" w:themeFill="accent1" w:themeFillTint="33"/>
          </w:tcPr>
          <w:p w14:paraId="611D4127" w14:textId="77777777" w:rsidR="0092664E" w:rsidRPr="00547C44" w:rsidRDefault="00636534" w:rsidP="0031220A">
            <w:pPr>
              <w:spacing w:before="60" w:after="60"/>
              <w:jc w:val="center"/>
              <w:rPr>
                <w:b w:val="0"/>
                <w:bCs w:val="0"/>
                <w:sz w:val="16"/>
                <w:szCs w:val="16"/>
              </w:rPr>
            </w:pPr>
            <m:oMathPara>
              <m:oMath>
                <m:sSub>
                  <m:sSubPr>
                    <m:ctrlPr>
                      <w:rPr>
                        <w:rFonts w:ascii="Cambria Math" w:hAnsi="Cambria Math"/>
                        <w:b w:val="0"/>
                        <w:sz w:val="16"/>
                        <w:szCs w:val="16"/>
                      </w:rPr>
                    </m:ctrlPr>
                  </m:sSubPr>
                  <m:e>
                    <m:r>
                      <m:rPr>
                        <m:sty m:val="bi"/>
                      </m:rPr>
                      <w:rPr>
                        <w:rFonts w:ascii="Cambria Math" w:hAnsi="Cambria Math"/>
                        <w:sz w:val="16"/>
                        <w:szCs w:val="16"/>
                      </w:rPr>
                      <m:t>u</m:t>
                    </m:r>
                  </m:e>
                  <m:sub>
                    <m:f>
                      <m:fPr>
                        <m:ctrlPr>
                          <w:rPr>
                            <w:rFonts w:ascii="Cambria Math" w:hAnsi="Cambria Math"/>
                            <w:b w:val="0"/>
                            <w:sz w:val="16"/>
                            <w:szCs w:val="16"/>
                          </w:rPr>
                        </m:ctrlPr>
                      </m:fPr>
                      <m:num>
                        <m:r>
                          <m:rPr>
                            <m:sty m:val="bi"/>
                          </m:rPr>
                          <w:rPr>
                            <w:rFonts w:ascii="Cambria Math" w:hAnsi="Cambria Math"/>
                            <w:sz w:val="16"/>
                            <w:szCs w:val="16"/>
                          </w:rPr>
                          <m:t>α</m:t>
                        </m:r>
                      </m:num>
                      <m:den>
                        <m:r>
                          <m:rPr>
                            <m:sty m:val="bi"/>
                          </m:rPr>
                          <w:rPr>
                            <w:rFonts w:ascii="Cambria Math" w:hAnsi="Cambria Math"/>
                            <w:sz w:val="16"/>
                            <w:szCs w:val="16"/>
                          </w:rPr>
                          <m:t>2</m:t>
                        </m:r>
                      </m:den>
                    </m:f>
                  </m:sub>
                </m:sSub>
              </m:oMath>
            </m:oMathPara>
          </w:p>
        </w:tc>
        <w:tc>
          <w:tcPr>
            <w:tcW w:w="7314" w:type="dxa"/>
          </w:tcPr>
          <w:p w14:paraId="3A597213" w14:textId="77777777" w:rsidR="0092664E" w:rsidRPr="00547C44" w:rsidRDefault="0092664E" w:rsidP="0031220A">
            <w:pPr>
              <w:spacing w:before="60" w:after="60"/>
              <w:cnfStyle w:val="000000000000" w:firstRow="0" w:lastRow="0" w:firstColumn="0" w:lastColumn="0" w:oddVBand="0" w:evenVBand="0" w:oddHBand="0" w:evenHBand="0" w:firstRowFirstColumn="0" w:firstRowLastColumn="0" w:lastRowFirstColumn="0" w:lastRowLastColumn="0"/>
              <w:rPr>
                <w:sz w:val="16"/>
                <w:szCs w:val="16"/>
              </w:rPr>
            </w:pPr>
            <w:r w:rsidRPr="00547C44">
              <w:rPr>
                <w:rFonts w:cstheme="majorHAnsi"/>
                <w:color w:val="000000"/>
                <w:sz w:val="16"/>
                <w:szCs w:val="16"/>
              </w:rPr>
              <w:t>Jedná se o </w:t>
            </w:r>
            <w:r w:rsidRPr="00547C44">
              <w:rPr>
                <w:rFonts w:cstheme="majorHAnsi"/>
                <w:b/>
                <w:color w:val="000000"/>
                <w:sz w:val="16"/>
                <w:szCs w:val="16"/>
              </w:rPr>
              <w:t>kritickou hodnotu</w:t>
            </w:r>
            <w:r w:rsidRPr="00547C44">
              <w:rPr>
                <w:rFonts w:cstheme="majorHAnsi"/>
                <w:color w:val="000000"/>
                <w:sz w:val="16"/>
                <w:szCs w:val="16"/>
              </w:rPr>
              <w:t>, tj. hodnotu, která vymezuje kritický obor.</w:t>
            </w:r>
          </w:p>
          <w:p w14:paraId="147A14E0" w14:textId="77777777" w:rsidR="0092664E" w:rsidRPr="00547C44" w:rsidRDefault="0092664E" w:rsidP="0031220A">
            <w:pPr>
              <w:spacing w:before="60" w:after="60"/>
              <w:cnfStyle w:val="000000000000" w:firstRow="0" w:lastRow="0" w:firstColumn="0" w:lastColumn="0" w:oddVBand="0" w:evenVBand="0" w:oddHBand="0" w:evenHBand="0" w:firstRowFirstColumn="0" w:firstRowLastColumn="0" w:lastRowFirstColumn="0" w:lastRowLastColumn="0"/>
              <w:rPr>
                <w:sz w:val="16"/>
                <w:szCs w:val="16"/>
              </w:rPr>
            </w:pPr>
            <w:r w:rsidRPr="00547C44">
              <w:rPr>
                <w:rFonts w:cstheme="majorHAnsi"/>
                <w:color w:val="000000"/>
                <w:sz w:val="16"/>
                <w:szCs w:val="16"/>
              </w:rPr>
              <w:t>Kritický obor je podstatný při testování hypotéz, protože pokud do něj testovaná hodnota spadne, znamená to, že hypotéza musí být na daném intervalu spolehlivosti zamítnuta.</w:t>
            </w:r>
          </w:p>
        </w:tc>
      </w:tr>
      <w:tr w:rsidR="0092664E" w:rsidRPr="00547C44" w14:paraId="085DE226" w14:textId="77777777" w:rsidTr="0031220A">
        <w:trPr>
          <w:trHeight w:val="20"/>
        </w:trPr>
        <w:tc>
          <w:tcPr>
            <w:cnfStyle w:val="001000000000" w:firstRow="0" w:lastRow="0" w:firstColumn="1" w:lastColumn="0" w:oddVBand="0" w:evenVBand="0" w:oddHBand="0" w:evenHBand="0" w:firstRowFirstColumn="0" w:firstRowLastColumn="0" w:lastRowFirstColumn="0" w:lastRowLastColumn="0"/>
            <w:tcW w:w="1746" w:type="dxa"/>
            <w:shd w:val="clear" w:color="auto" w:fill="E7F5CF" w:themeFill="accent1" w:themeFillTint="33"/>
          </w:tcPr>
          <w:p w14:paraId="7DCDF588" w14:textId="77777777" w:rsidR="0092664E" w:rsidRPr="00547C44" w:rsidRDefault="0092664E" w:rsidP="0031220A">
            <w:pPr>
              <w:spacing w:before="60" w:after="60"/>
              <w:jc w:val="center"/>
              <w:rPr>
                <w:b w:val="0"/>
                <w:bCs w:val="0"/>
                <w:sz w:val="16"/>
                <w:szCs w:val="16"/>
              </w:rPr>
            </w:pPr>
            <m:oMathPara>
              <m:oMath>
                <m:r>
                  <m:rPr>
                    <m:sty m:val="bi"/>
                  </m:rPr>
                  <w:rPr>
                    <w:rFonts w:ascii="Cambria Math" w:hAnsi="Cambria Math"/>
                    <w:sz w:val="16"/>
                    <w:szCs w:val="16"/>
                  </w:rPr>
                  <m:t>α</m:t>
                </m:r>
              </m:oMath>
            </m:oMathPara>
          </w:p>
        </w:tc>
        <w:tc>
          <w:tcPr>
            <w:tcW w:w="7314" w:type="dxa"/>
          </w:tcPr>
          <w:p w14:paraId="61515605" w14:textId="77777777" w:rsidR="0092664E" w:rsidRPr="00547C44" w:rsidRDefault="0092664E" w:rsidP="0031220A">
            <w:pPr>
              <w:spacing w:before="60" w:after="60"/>
              <w:cnfStyle w:val="000000000000" w:firstRow="0" w:lastRow="0" w:firstColumn="0" w:lastColumn="0" w:oddVBand="0" w:evenVBand="0" w:oddHBand="0" w:evenHBand="0" w:firstRowFirstColumn="0" w:firstRowLastColumn="0" w:lastRowFirstColumn="0" w:lastRowLastColumn="0"/>
              <w:rPr>
                <w:sz w:val="16"/>
                <w:szCs w:val="16"/>
              </w:rPr>
            </w:pPr>
            <w:r w:rsidRPr="00547C44">
              <w:rPr>
                <w:rFonts w:cstheme="majorHAnsi"/>
                <w:color w:val="000000"/>
                <w:sz w:val="16"/>
                <w:szCs w:val="16"/>
              </w:rPr>
              <w:t xml:space="preserve">Jedná se o hodnotu určující </w:t>
            </w:r>
            <w:r w:rsidRPr="00547C44">
              <w:rPr>
                <w:rFonts w:cstheme="majorHAnsi"/>
                <w:b/>
                <w:color w:val="000000"/>
                <w:sz w:val="16"/>
                <w:szCs w:val="16"/>
              </w:rPr>
              <w:t>hladinu významnosti</w:t>
            </w:r>
            <w:r w:rsidRPr="00547C44">
              <w:rPr>
                <w:rFonts w:cstheme="majorHAnsi"/>
                <w:color w:val="000000"/>
                <w:sz w:val="16"/>
                <w:szCs w:val="16"/>
              </w:rPr>
              <w:t xml:space="preserve">, tj. hodnotu, která určuje pravděpodobnost tzv. chyby 1. druhu, tedy, že při testování hypotézy se stane, že je hypotéza zamítnuta, ačkoli platí. Zároveň také určuje interval spolehlivosti, který je roven </w:t>
            </w:r>
            <m:oMath>
              <m:r>
                <w:rPr>
                  <w:rFonts w:ascii="Cambria Math" w:hAnsi="Cambria Math"/>
                  <w:sz w:val="16"/>
                  <w:szCs w:val="16"/>
                </w:rPr>
                <m:t>1-α</m:t>
              </m:r>
            </m:oMath>
            <w:r w:rsidRPr="00547C44">
              <w:rPr>
                <w:rFonts w:cstheme="majorHAnsi"/>
                <w:color w:val="000000"/>
                <w:sz w:val="16"/>
                <w:szCs w:val="16"/>
              </w:rPr>
              <w:t>.</w:t>
            </w:r>
          </w:p>
        </w:tc>
      </w:tr>
      <w:tr w:rsidR="0092664E" w:rsidRPr="00547C44" w14:paraId="3DB18E45" w14:textId="77777777" w:rsidTr="0031220A">
        <w:trPr>
          <w:trHeight w:val="20"/>
        </w:trPr>
        <w:tc>
          <w:tcPr>
            <w:cnfStyle w:val="001000000000" w:firstRow="0" w:lastRow="0" w:firstColumn="1" w:lastColumn="0" w:oddVBand="0" w:evenVBand="0" w:oddHBand="0" w:evenHBand="0" w:firstRowFirstColumn="0" w:firstRowLastColumn="0" w:lastRowFirstColumn="0" w:lastRowLastColumn="0"/>
            <w:tcW w:w="1746" w:type="dxa"/>
            <w:shd w:val="clear" w:color="auto" w:fill="E7F5CF" w:themeFill="accent1" w:themeFillTint="33"/>
          </w:tcPr>
          <w:p w14:paraId="14B9879A" w14:textId="77777777" w:rsidR="0092664E" w:rsidRPr="00547C44" w:rsidRDefault="0092664E" w:rsidP="0031220A">
            <w:pPr>
              <w:spacing w:before="60" w:after="60"/>
              <w:jc w:val="center"/>
              <w:rPr>
                <w:b w:val="0"/>
                <w:bCs w:val="0"/>
                <w:sz w:val="16"/>
                <w:szCs w:val="16"/>
              </w:rPr>
            </w:pPr>
            <m:oMathPara>
              <m:oMath>
                <m:r>
                  <m:rPr>
                    <m:sty m:val="bi"/>
                  </m:rPr>
                  <w:rPr>
                    <w:rFonts w:ascii="Cambria Math" w:hAnsi="Cambria Math"/>
                    <w:sz w:val="16"/>
                    <w:szCs w:val="16"/>
                  </w:rPr>
                  <m:t>σ</m:t>
                </m:r>
              </m:oMath>
            </m:oMathPara>
          </w:p>
        </w:tc>
        <w:tc>
          <w:tcPr>
            <w:tcW w:w="7314" w:type="dxa"/>
          </w:tcPr>
          <w:p w14:paraId="2C93D079" w14:textId="77777777" w:rsidR="0092664E" w:rsidRPr="00547C44" w:rsidRDefault="0092664E" w:rsidP="0031220A">
            <w:pPr>
              <w:spacing w:before="60" w:after="60"/>
              <w:cnfStyle w:val="000000000000" w:firstRow="0" w:lastRow="0" w:firstColumn="0" w:lastColumn="0" w:oddVBand="0" w:evenVBand="0" w:oddHBand="0" w:evenHBand="0" w:firstRowFirstColumn="0" w:firstRowLastColumn="0" w:lastRowFirstColumn="0" w:lastRowLastColumn="0"/>
              <w:rPr>
                <w:sz w:val="16"/>
                <w:szCs w:val="16"/>
              </w:rPr>
            </w:pPr>
            <w:r w:rsidRPr="00547C44">
              <w:rPr>
                <w:rFonts w:cstheme="majorHAnsi"/>
                <w:color w:val="000000"/>
                <w:sz w:val="16"/>
                <w:szCs w:val="16"/>
              </w:rPr>
              <w:t>Jedná se o </w:t>
            </w:r>
            <w:r w:rsidRPr="00547C44">
              <w:rPr>
                <w:rFonts w:cstheme="majorHAnsi"/>
                <w:b/>
                <w:color w:val="000000"/>
                <w:sz w:val="16"/>
                <w:szCs w:val="16"/>
              </w:rPr>
              <w:t>směrodatnou odchylku</w:t>
            </w:r>
            <w:r w:rsidRPr="00547C44">
              <w:rPr>
                <w:rFonts w:cstheme="majorHAnsi"/>
                <w:color w:val="000000"/>
                <w:sz w:val="16"/>
                <w:szCs w:val="16"/>
              </w:rPr>
              <w:t xml:space="preserve"> v základním souboru, tj. hodnotu, která ukazuje typický rozptyl dat.</w:t>
            </w:r>
          </w:p>
        </w:tc>
      </w:tr>
      <w:tr w:rsidR="0092664E" w:rsidRPr="00547C44" w14:paraId="75D6AD46" w14:textId="77777777" w:rsidTr="0031220A">
        <w:trPr>
          <w:trHeight w:val="20"/>
        </w:trPr>
        <w:tc>
          <w:tcPr>
            <w:cnfStyle w:val="001000000000" w:firstRow="0" w:lastRow="0" w:firstColumn="1" w:lastColumn="0" w:oddVBand="0" w:evenVBand="0" w:oddHBand="0" w:evenHBand="0" w:firstRowFirstColumn="0" w:firstRowLastColumn="0" w:lastRowFirstColumn="0" w:lastRowLastColumn="0"/>
            <w:tcW w:w="1746" w:type="dxa"/>
            <w:shd w:val="clear" w:color="auto" w:fill="E7F5CF" w:themeFill="accent1" w:themeFillTint="33"/>
          </w:tcPr>
          <w:p w14:paraId="5FABBE83" w14:textId="77777777" w:rsidR="0092664E" w:rsidRPr="00547C44" w:rsidRDefault="0092664E" w:rsidP="0031220A">
            <w:pPr>
              <w:spacing w:before="60" w:after="60"/>
              <w:jc w:val="center"/>
              <w:rPr>
                <w:b w:val="0"/>
                <w:bCs w:val="0"/>
                <w:sz w:val="16"/>
                <w:szCs w:val="16"/>
              </w:rPr>
            </w:pPr>
            <m:oMathPara>
              <m:oMath>
                <m:r>
                  <m:rPr>
                    <m:sty m:val="bi"/>
                  </m:rPr>
                  <w:rPr>
                    <w:rFonts w:ascii="Cambria Math" w:hAnsi="Cambria Math"/>
                    <w:sz w:val="16"/>
                    <w:szCs w:val="16"/>
                  </w:rPr>
                  <m:t>E</m:t>
                </m:r>
              </m:oMath>
            </m:oMathPara>
          </w:p>
        </w:tc>
        <w:tc>
          <w:tcPr>
            <w:tcW w:w="7314" w:type="dxa"/>
          </w:tcPr>
          <w:p w14:paraId="5AB89270" w14:textId="77777777" w:rsidR="0092664E" w:rsidRPr="00547C44" w:rsidRDefault="0092664E" w:rsidP="0031220A">
            <w:pPr>
              <w:keepNext/>
              <w:spacing w:before="60" w:after="60"/>
              <w:cnfStyle w:val="000000000000" w:firstRow="0" w:lastRow="0" w:firstColumn="0" w:lastColumn="0" w:oddVBand="0" w:evenVBand="0" w:oddHBand="0" w:evenHBand="0" w:firstRowFirstColumn="0" w:firstRowLastColumn="0" w:lastRowFirstColumn="0" w:lastRowLastColumn="0"/>
              <w:rPr>
                <w:sz w:val="16"/>
                <w:szCs w:val="16"/>
              </w:rPr>
            </w:pPr>
            <w:r w:rsidRPr="00547C44">
              <w:rPr>
                <w:rFonts w:cstheme="majorHAnsi"/>
                <w:color w:val="000000"/>
                <w:sz w:val="16"/>
                <w:szCs w:val="16"/>
              </w:rPr>
              <w:t xml:space="preserve">Jedná se o tzv. </w:t>
            </w:r>
            <w:r w:rsidRPr="00547C44">
              <w:rPr>
                <w:rFonts w:cstheme="majorHAnsi"/>
                <w:b/>
                <w:color w:val="000000"/>
                <w:sz w:val="16"/>
                <w:szCs w:val="16"/>
              </w:rPr>
              <w:t>přípustnou chybu</w:t>
            </w:r>
            <w:r w:rsidRPr="00547C44">
              <w:rPr>
                <w:rFonts w:cstheme="majorHAnsi"/>
                <w:color w:val="000000"/>
                <w:sz w:val="16"/>
                <w:szCs w:val="16"/>
              </w:rPr>
              <w:t>, tj. hodnotu, která nám omezí rozsah možné chyby. Tedy pokud nám vyjde například, že 40 % respondentů souhlasí s hypotézou,</w:t>
            </w:r>
            <w:r w:rsidRPr="00547C44">
              <w:rPr>
                <w:rStyle w:val="Ukotvenpoznmkypodarou"/>
                <w:rFonts w:cstheme="majorHAnsi"/>
                <w:color w:val="000000"/>
                <w:sz w:val="16"/>
                <w:szCs w:val="16"/>
              </w:rPr>
              <w:footnoteReference w:id="12"/>
            </w:r>
            <w:r w:rsidRPr="00547C44">
              <w:rPr>
                <w:rFonts w:cstheme="majorHAnsi"/>
                <w:color w:val="000000"/>
                <w:sz w:val="16"/>
                <w:szCs w:val="16"/>
              </w:rPr>
              <w:t xml:space="preserve"> aplikací této proměnné můžeme říct, že 35-45 % respondentů souhlasí s hypotézou.</w:t>
            </w:r>
          </w:p>
        </w:tc>
      </w:tr>
    </w:tbl>
    <w:p w14:paraId="47C2476C" w14:textId="77777777" w:rsidR="0092664E" w:rsidRDefault="0092664E" w:rsidP="0092664E">
      <w:pPr>
        <w:pStyle w:val="BodyText1"/>
        <w:spacing w:after="0"/>
        <w:ind w:left="360"/>
        <w:contextualSpacing/>
        <w:rPr>
          <w:rFonts w:asciiTheme="majorHAnsi" w:hAnsiTheme="majorHAnsi"/>
          <w:bCs/>
          <w:szCs w:val="18"/>
        </w:rPr>
      </w:pPr>
    </w:p>
    <w:p w14:paraId="033AD0C8" w14:textId="77777777" w:rsidR="0092664E" w:rsidRDefault="0092664E" w:rsidP="002B215D">
      <w:pPr>
        <w:pStyle w:val="BodyText1"/>
        <w:spacing w:after="120" w:line="240" w:lineRule="auto"/>
        <w:jc w:val="both"/>
      </w:pPr>
      <w:r>
        <w:rPr>
          <w:rFonts w:asciiTheme="majorHAnsi" w:hAnsiTheme="majorHAnsi"/>
          <w:bCs/>
          <w:szCs w:val="18"/>
        </w:rPr>
        <w:lastRenderedPageBreak/>
        <w:t xml:space="preserve">Z pohledu reprezentativnosti je nezbytné, aby vzorek udržel charakteristické vlastnosti původního souboru dat, což by bylo problematické v případě, že by respondenti tvořili silně heterogenní skupinu. Reprezentativnost u vzorků zajišťujeme většinou dle kritérií velikosti respondentů, jejich podílu na finančním objemu nebo dodržením zásady regionální proporcionality.  </w:t>
      </w:r>
    </w:p>
    <w:p w14:paraId="02683445" w14:textId="77777777" w:rsidR="0092664E" w:rsidRPr="00FD25AD" w:rsidRDefault="0092664E" w:rsidP="002B215D">
      <w:pPr>
        <w:pStyle w:val="BodyText1"/>
        <w:spacing w:after="120" w:line="240" w:lineRule="auto"/>
        <w:jc w:val="both"/>
        <w:rPr>
          <w:rFonts w:ascii="Verdana" w:hAnsi="Verdana"/>
          <w:bCs/>
          <w:szCs w:val="18"/>
        </w:rPr>
      </w:pPr>
      <w:r>
        <w:rPr>
          <w:rFonts w:ascii="Verdana" w:hAnsi="Verdana"/>
          <w:bCs/>
          <w:szCs w:val="18"/>
        </w:rPr>
        <w:t xml:space="preserve">Pro parametr náhodnosti platí, že každý respondent musí mít stejnou šanci dostat se do výběrového vzorku se stejnou pravděpodobností. Pro splnění tohoto kritéria používá Deloitte speciální SW aplikaci pro náhodný výběr (random selection). Pro realizaci šetření využíváme statistického aparátu testování hypotéz. Jedná se o následující kroky. </w:t>
      </w:r>
    </w:p>
    <w:p w14:paraId="72A9E39A" w14:textId="77777777" w:rsidR="0092664E" w:rsidRDefault="0092664E" w:rsidP="0092664E">
      <w:pPr>
        <w:pStyle w:val="Titulek"/>
        <w:jc w:val="center"/>
      </w:pPr>
      <w:bookmarkStart w:id="59" w:name="_Toc24384745"/>
      <w:r>
        <w:t xml:space="preserve">Tabulka </w:t>
      </w:r>
      <w:r>
        <w:fldChar w:fldCharType="begin"/>
      </w:r>
      <w:r>
        <w:instrText xml:space="preserve"> SEQ Tabulka \* ARABIC </w:instrText>
      </w:r>
      <w:r>
        <w:fldChar w:fldCharType="separate"/>
      </w:r>
      <w:r w:rsidR="00E93151">
        <w:rPr>
          <w:noProof/>
        </w:rPr>
        <w:t>19</w:t>
      </w:r>
      <w:r>
        <w:fldChar w:fldCharType="end"/>
      </w:r>
      <w:r>
        <w:t>: Postup pro stanovení hypotéz</w:t>
      </w:r>
      <w:bookmarkEnd w:id="59"/>
    </w:p>
    <w:tbl>
      <w:tblPr>
        <w:tblStyle w:val="ListTable3-Accent11"/>
        <w:tblW w:w="5000" w:type="pct"/>
        <w:tblLook w:val="04A0" w:firstRow="1" w:lastRow="0" w:firstColumn="1" w:lastColumn="0" w:noHBand="0" w:noVBand="1"/>
      </w:tblPr>
      <w:tblGrid>
        <w:gridCol w:w="731"/>
        <w:gridCol w:w="2667"/>
        <w:gridCol w:w="5664"/>
      </w:tblGrid>
      <w:tr w:rsidR="0092664E" w:rsidRPr="00D1515C" w14:paraId="591AA672" w14:textId="77777777" w:rsidTr="00EE0921">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731" w:type="dxa"/>
          </w:tcPr>
          <w:p w14:paraId="7A8D860B" w14:textId="77777777" w:rsidR="0092664E" w:rsidRPr="00D1515C" w:rsidRDefault="0092664E" w:rsidP="0031220A">
            <w:pPr>
              <w:contextualSpacing/>
              <w:rPr>
                <w:bCs w:val="0"/>
                <w:szCs w:val="18"/>
              </w:rPr>
            </w:pPr>
            <w:r w:rsidRPr="00D1515C">
              <w:rPr>
                <w:szCs w:val="18"/>
              </w:rPr>
              <w:t>Krok</w:t>
            </w:r>
          </w:p>
        </w:tc>
        <w:tc>
          <w:tcPr>
            <w:tcW w:w="2666" w:type="dxa"/>
          </w:tcPr>
          <w:p w14:paraId="225C5D57" w14:textId="77777777" w:rsidR="0092664E" w:rsidRPr="00D1515C" w:rsidRDefault="0092664E" w:rsidP="00EE0921">
            <w:pPr>
              <w:contextualSpacing/>
              <w:cnfStyle w:val="100000000000" w:firstRow="1" w:lastRow="0" w:firstColumn="0" w:lastColumn="0" w:oddVBand="0" w:evenVBand="0" w:oddHBand="0" w:evenHBand="0" w:firstRowFirstColumn="0" w:firstRowLastColumn="0" w:lastRowFirstColumn="0" w:lastRowLastColumn="0"/>
              <w:rPr>
                <w:bCs w:val="0"/>
                <w:szCs w:val="18"/>
              </w:rPr>
            </w:pPr>
            <w:r w:rsidRPr="00D1515C">
              <w:rPr>
                <w:szCs w:val="18"/>
              </w:rPr>
              <w:t>Název</w:t>
            </w:r>
          </w:p>
        </w:tc>
        <w:tc>
          <w:tcPr>
            <w:tcW w:w="5663" w:type="dxa"/>
          </w:tcPr>
          <w:p w14:paraId="4C75AA7F" w14:textId="77777777" w:rsidR="0092664E" w:rsidRPr="00D1515C" w:rsidRDefault="0092664E" w:rsidP="0031220A">
            <w:pPr>
              <w:contextualSpacing/>
              <w:cnfStyle w:val="100000000000" w:firstRow="1" w:lastRow="0" w:firstColumn="0" w:lastColumn="0" w:oddVBand="0" w:evenVBand="0" w:oddHBand="0" w:evenHBand="0" w:firstRowFirstColumn="0" w:firstRowLastColumn="0" w:lastRowFirstColumn="0" w:lastRowLastColumn="0"/>
              <w:rPr>
                <w:bCs w:val="0"/>
                <w:szCs w:val="18"/>
              </w:rPr>
            </w:pPr>
            <w:r w:rsidRPr="00D1515C">
              <w:rPr>
                <w:szCs w:val="18"/>
              </w:rPr>
              <w:t>Popis</w:t>
            </w:r>
          </w:p>
        </w:tc>
      </w:tr>
      <w:tr w:rsidR="0092664E" w:rsidRPr="002359DC" w14:paraId="5E0F46B7" w14:textId="77777777" w:rsidTr="0031220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1" w:type="dxa"/>
          </w:tcPr>
          <w:p w14:paraId="6E705B39" w14:textId="77777777" w:rsidR="0092664E" w:rsidRPr="00FD25AD" w:rsidRDefault="0092664E" w:rsidP="0031220A">
            <w:pPr>
              <w:contextualSpacing/>
              <w:rPr>
                <w:b w:val="0"/>
                <w:bCs w:val="0"/>
                <w:szCs w:val="18"/>
              </w:rPr>
            </w:pPr>
            <w:r w:rsidRPr="00FD25AD">
              <w:rPr>
                <w:rFonts w:cstheme="majorHAnsi"/>
                <w:szCs w:val="18"/>
              </w:rPr>
              <w:t>1</w:t>
            </w:r>
          </w:p>
        </w:tc>
        <w:tc>
          <w:tcPr>
            <w:tcW w:w="2666" w:type="dxa"/>
          </w:tcPr>
          <w:p w14:paraId="6768848D" w14:textId="77777777" w:rsidR="0092664E" w:rsidRPr="0086689A" w:rsidRDefault="0092664E" w:rsidP="0031220A">
            <w:pPr>
              <w:contextualSpacing/>
              <w:cnfStyle w:val="000000100000" w:firstRow="0" w:lastRow="0" w:firstColumn="0" w:lastColumn="0" w:oddVBand="0" w:evenVBand="0" w:oddHBand="1" w:evenHBand="0" w:firstRowFirstColumn="0" w:firstRowLastColumn="0" w:lastRowFirstColumn="0" w:lastRowLastColumn="0"/>
              <w:rPr>
                <w:szCs w:val="18"/>
              </w:rPr>
            </w:pPr>
            <w:r w:rsidRPr="00FD25AD">
              <w:rPr>
                <w:rFonts w:cstheme="majorHAnsi"/>
                <w:szCs w:val="18"/>
              </w:rPr>
              <w:t>Stanovení hypotézy</w:t>
            </w:r>
          </w:p>
        </w:tc>
        <w:tc>
          <w:tcPr>
            <w:tcW w:w="5663" w:type="dxa"/>
          </w:tcPr>
          <w:p w14:paraId="2FB21653" w14:textId="77777777" w:rsidR="0092664E" w:rsidRPr="0086689A" w:rsidRDefault="0092664E" w:rsidP="0031220A">
            <w:pPr>
              <w:contextualSpacing/>
              <w:cnfStyle w:val="000000100000" w:firstRow="0" w:lastRow="0" w:firstColumn="0" w:lastColumn="0" w:oddVBand="0" w:evenVBand="0" w:oddHBand="1" w:evenHBand="0" w:firstRowFirstColumn="0" w:firstRowLastColumn="0" w:lastRowFirstColumn="0" w:lastRowLastColumn="0"/>
              <w:rPr>
                <w:szCs w:val="18"/>
              </w:rPr>
            </w:pPr>
            <w:r w:rsidRPr="00FD25AD">
              <w:rPr>
                <w:rFonts w:cstheme="majorHAnsi"/>
                <w:szCs w:val="18"/>
              </w:rPr>
              <w:t>Budeme vybírat jednu ze stanovených hypotéz.</w:t>
            </w:r>
          </w:p>
        </w:tc>
      </w:tr>
      <w:tr w:rsidR="0092664E" w:rsidRPr="002359DC" w14:paraId="6ED6F9CA" w14:textId="77777777" w:rsidTr="0031220A">
        <w:trPr>
          <w:trHeight w:val="20"/>
        </w:trPr>
        <w:tc>
          <w:tcPr>
            <w:cnfStyle w:val="001000000000" w:firstRow="0" w:lastRow="0" w:firstColumn="1" w:lastColumn="0" w:oddVBand="0" w:evenVBand="0" w:oddHBand="0" w:evenHBand="0" w:firstRowFirstColumn="0" w:firstRowLastColumn="0" w:lastRowFirstColumn="0" w:lastRowLastColumn="0"/>
            <w:tcW w:w="731" w:type="dxa"/>
          </w:tcPr>
          <w:p w14:paraId="0B18CF26" w14:textId="77777777" w:rsidR="0092664E" w:rsidRPr="00FD25AD" w:rsidRDefault="0092664E" w:rsidP="0031220A">
            <w:pPr>
              <w:contextualSpacing/>
              <w:rPr>
                <w:b w:val="0"/>
                <w:bCs w:val="0"/>
                <w:szCs w:val="18"/>
              </w:rPr>
            </w:pPr>
            <w:r w:rsidRPr="00FD25AD">
              <w:rPr>
                <w:rFonts w:cstheme="majorHAnsi"/>
                <w:szCs w:val="18"/>
              </w:rPr>
              <w:t>2</w:t>
            </w:r>
          </w:p>
        </w:tc>
        <w:tc>
          <w:tcPr>
            <w:tcW w:w="2666" w:type="dxa"/>
          </w:tcPr>
          <w:p w14:paraId="51CF9129" w14:textId="77777777" w:rsidR="0092664E" w:rsidRPr="0086689A" w:rsidRDefault="0092664E" w:rsidP="0031220A">
            <w:pPr>
              <w:contextualSpacing/>
              <w:cnfStyle w:val="000000000000" w:firstRow="0" w:lastRow="0" w:firstColumn="0" w:lastColumn="0" w:oddVBand="0" w:evenVBand="0" w:oddHBand="0" w:evenHBand="0" w:firstRowFirstColumn="0" w:firstRowLastColumn="0" w:lastRowFirstColumn="0" w:lastRowLastColumn="0"/>
              <w:rPr>
                <w:szCs w:val="18"/>
              </w:rPr>
            </w:pPr>
            <w:r w:rsidRPr="00FD25AD">
              <w:rPr>
                <w:rFonts w:cstheme="majorHAnsi"/>
                <w:szCs w:val="18"/>
              </w:rPr>
              <w:t>Stanovení hladiny významnosti</w:t>
            </w:r>
          </w:p>
        </w:tc>
        <w:tc>
          <w:tcPr>
            <w:tcW w:w="5663" w:type="dxa"/>
          </w:tcPr>
          <w:p w14:paraId="2300C01E" w14:textId="77777777" w:rsidR="0092664E" w:rsidRPr="0086689A" w:rsidRDefault="0092664E" w:rsidP="0031220A">
            <w:pPr>
              <w:contextualSpacing/>
              <w:cnfStyle w:val="000000000000" w:firstRow="0" w:lastRow="0" w:firstColumn="0" w:lastColumn="0" w:oddVBand="0" w:evenVBand="0" w:oddHBand="0" w:evenHBand="0" w:firstRowFirstColumn="0" w:firstRowLastColumn="0" w:lastRowFirstColumn="0" w:lastRowLastColumn="0"/>
              <w:rPr>
                <w:szCs w:val="18"/>
              </w:rPr>
            </w:pPr>
            <w:r w:rsidRPr="00FD25AD">
              <w:rPr>
                <w:rFonts w:cstheme="majorHAnsi"/>
                <w:szCs w:val="18"/>
              </w:rPr>
              <w:t xml:space="preserve">Typicky je používána hodnota 1 nebo 5 %, v našem případě i s ohledem na stejnou aplikaci při určení vzorku aplikujeme 5 %. Tedy maximální přípustná pravděpodobnost, že bychom zamítli nulovou hypotézu, ačkoli platí, je 5 %. </w:t>
            </w:r>
          </w:p>
        </w:tc>
      </w:tr>
      <w:tr w:rsidR="0092664E" w:rsidRPr="002359DC" w14:paraId="0B5918B2" w14:textId="77777777" w:rsidTr="0031220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1" w:type="dxa"/>
          </w:tcPr>
          <w:p w14:paraId="4839B1BE" w14:textId="77777777" w:rsidR="0092664E" w:rsidRPr="00FD25AD" w:rsidRDefault="0092664E" w:rsidP="0031220A">
            <w:pPr>
              <w:contextualSpacing/>
              <w:rPr>
                <w:b w:val="0"/>
                <w:bCs w:val="0"/>
                <w:szCs w:val="18"/>
              </w:rPr>
            </w:pPr>
            <w:r w:rsidRPr="00FD25AD">
              <w:rPr>
                <w:rFonts w:cstheme="majorHAnsi"/>
                <w:szCs w:val="18"/>
              </w:rPr>
              <w:t>3</w:t>
            </w:r>
          </w:p>
        </w:tc>
        <w:tc>
          <w:tcPr>
            <w:tcW w:w="2666" w:type="dxa"/>
          </w:tcPr>
          <w:p w14:paraId="6864AD7F" w14:textId="77777777" w:rsidR="0092664E" w:rsidRPr="0086689A" w:rsidRDefault="0092664E" w:rsidP="0031220A">
            <w:pPr>
              <w:contextualSpacing/>
              <w:cnfStyle w:val="000000100000" w:firstRow="0" w:lastRow="0" w:firstColumn="0" w:lastColumn="0" w:oddVBand="0" w:evenVBand="0" w:oddHBand="1" w:evenHBand="0" w:firstRowFirstColumn="0" w:firstRowLastColumn="0" w:lastRowFirstColumn="0" w:lastRowLastColumn="0"/>
              <w:rPr>
                <w:szCs w:val="18"/>
              </w:rPr>
            </w:pPr>
            <w:r w:rsidRPr="00FD25AD">
              <w:rPr>
                <w:rFonts w:cstheme="majorHAnsi"/>
                <w:szCs w:val="18"/>
              </w:rPr>
              <w:t>Určení intervalu spolehlivosti</w:t>
            </w:r>
          </w:p>
        </w:tc>
        <w:tc>
          <w:tcPr>
            <w:tcW w:w="5663" w:type="dxa"/>
          </w:tcPr>
          <w:p w14:paraId="7960DB6B" w14:textId="77777777" w:rsidR="0092664E" w:rsidRPr="0086689A" w:rsidRDefault="0092664E" w:rsidP="0031220A">
            <w:pPr>
              <w:contextualSpacing/>
              <w:cnfStyle w:val="000000100000" w:firstRow="0" w:lastRow="0" w:firstColumn="0" w:lastColumn="0" w:oddVBand="0" w:evenVBand="0" w:oddHBand="1" w:evenHBand="0" w:firstRowFirstColumn="0" w:firstRowLastColumn="0" w:lastRowFirstColumn="0" w:lastRowLastColumn="0"/>
              <w:rPr>
                <w:szCs w:val="18"/>
              </w:rPr>
            </w:pPr>
            <w:r w:rsidRPr="00FD25AD">
              <w:rPr>
                <w:rFonts w:cstheme="majorHAnsi"/>
                <w:szCs w:val="18"/>
              </w:rPr>
              <w:t>Interval spolehlivosti je určen prostřednictvím následujícího vzorce:</w:t>
            </w:r>
          </w:p>
          <w:p w14:paraId="13CE827F" w14:textId="77777777" w:rsidR="0092664E" w:rsidRPr="0086689A" w:rsidRDefault="0092664E" w:rsidP="0031220A">
            <w:pPr>
              <w:contextualSpacing/>
              <w:cnfStyle w:val="000000100000" w:firstRow="0" w:lastRow="0" w:firstColumn="0" w:lastColumn="0" w:oddVBand="0" w:evenVBand="0" w:oddHBand="1" w:evenHBand="0" w:firstRowFirstColumn="0" w:firstRowLastColumn="0" w:lastRowFirstColumn="0" w:lastRowLastColumn="0"/>
              <w:rPr>
                <w:szCs w:val="18"/>
              </w:rPr>
            </w:pPr>
            <m:oMathPara>
              <m:oMath>
                <m:r>
                  <w:rPr>
                    <w:rFonts w:ascii="Cambria Math" w:hAnsi="Cambria Math"/>
                    <w:szCs w:val="18"/>
                  </w:rPr>
                  <m:t>h-</m:t>
                </m:r>
                <m:f>
                  <m:fPr>
                    <m:ctrlPr>
                      <w:rPr>
                        <w:rFonts w:ascii="Cambria Math" w:hAnsi="Cambria Math"/>
                        <w:szCs w:val="18"/>
                      </w:rPr>
                    </m:ctrlPr>
                  </m:fPr>
                  <m:num>
                    <m:r>
                      <w:rPr>
                        <w:rFonts w:ascii="Cambria Math" w:hAnsi="Cambria Math"/>
                        <w:szCs w:val="18"/>
                      </w:rPr>
                      <m:t>1</m:t>
                    </m:r>
                  </m:num>
                  <m:den>
                    <m:r>
                      <w:rPr>
                        <w:rFonts w:ascii="Cambria Math" w:hAnsi="Cambria Math"/>
                        <w:szCs w:val="18"/>
                      </w:rPr>
                      <m:t>2n</m:t>
                    </m:r>
                  </m:den>
                </m:f>
                <m:r>
                  <w:rPr>
                    <w:rFonts w:ascii="Cambria Math" w:hAnsi="Cambria Math"/>
                    <w:szCs w:val="18"/>
                  </w:rPr>
                  <m:t>-</m:t>
                </m:r>
                <m:sSub>
                  <m:sSubPr>
                    <m:ctrlPr>
                      <w:rPr>
                        <w:rFonts w:ascii="Cambria Math" w:hAnsi="Cambria Math"/>
                        <w:szCs w:val="18"/>
                      </w:rPr>
                    </m:ctrlPr>
                  </m:sSubPr>
                  <m:e>
                    <m:r>
                      <w:rPr>
                        <w:rFonts w:ascii="Cambria Math" w:hAnsi="Cambria Math"/>
                        <w:szCs w:val="18"/>
                      </w:rPr>
                      <m:t>u</m:t>
                    </m:r>
                  </m:e>
                  <m:sub>
                    <m:r>
                      <w:rPr>
                        <w:rFonts w:ascii="Cambria Math" w:hAnsi="Cambria Math"/>
                        <w:szCs w:val="18"/>
                      </w:rPr>
                      <m:t>1-</m:t>
                    </m:r>
                    <m:f>
                      <m:fPr>
                        <m:ctrlPr>
                          <w:rPr>
                            <w:rFonts w:ascii="Cambria Math" w:hAnsi="Cambria Math"/>
                            <w:szCs w:val="18"/>
                          </w:rPr>
                        </m:ctrlPr>
                      </m:fPr>
                      <m:num>
                        <m:r>
                          <w:rPr>
                            <w:rFonts w:ascii="Cambria Math" w:hAnsi="Cambria Math"/>
                            <w:szCs w:val="18"/>
                          </w:rPr>
                          <m:t>α</m:t>
                        </m:r>
                      </m:num>
                      <m:den>
                        <m:r>
                          <w:rPr>
                            <w:rFonts w:ascii="Cambria Math" w:hAnsi="Cambria Math"/>
                            <w:szCs w:val="18"/>
                          </w:rPr>
                          <m:t>2</m:t>
                        </m:r>
                      </m:den>
                    </m:f>
                  </m:sub>
                </m:sSub>
                <m:rad>
                  <m:radPr>
                    <m:degHide m:val="1"/>
                    <m:ctrlPr>
                      <w:rPr>
                        <w:rFonts w:ascii="Cambria Math" w:hAnsi="Cambria Math"/>
                        <w:szCs w:val="18"/>
                      </w:rPr>
                    </m:ctrlPr>
                  </m:radPr>
                  <m:deg/>
                  <m:e>
                    <m:f>
                      <m:fPr>
                        <m:ctrlPr>
                          <w:rPr>
                            <w:rFonts w:ascii="Cambria Math" w:hAnsi="Cambria Math"/>
                            <w:szCs w:val="18"/>
                          </w:rPr>
                        </m:ctrlPr>
                      </m:fPr>
                      <m:num>
                        <m:r>
                          <w:rPr>
                            <w:rFonts w:ascii="Cambria Math" w:hAnsi="Cambria Math"/>
                            <w:szCs w:val="18"/>
                          </w:rPr>
                          <m:t>h</m:t>
                        </m:r>
                        <m:d>
                          <m:dPr>
                            <m:ctrlPr>
                              <w:rPr>
                                <w:rFonts w:ascii="Cambria Math" w:hAnsi="Cambria Math"/>
                                <w:szCs w:val="18"/>
                              </w:rPr>
                            </m:ctrlPr>
                          </m:dPr>
                          <m:e>
                            <m:r>
                              <w:rPr>
                                <w:rFonts w:ascii="Cambria Math" w:hAnsi="Cambria Math"/>
                                <w:szCs w:val="18"/>
                              </w:rPr>
                              <m:t>1-</m:t>
                            </m:r>
                            <m:r>
                              <w:rPr>
                                <w:rFonts w:ascii="Cambria Math" w:hAnsi="Cambria Math"/>
                                <w:szCs w:val="18"/>
                              </w:rPr>
                              <m:t>h</m:t>
                            </m:r>
                          </m:e>
                        </m:d>
                      </m:num>
                      <m:den>
                        <m:r>
                          <w:rPr>
                            <w:rFonts w:ascii="Cambria Math" w:hAnsi="Cambria Math"/>
                            <w:szCs w:val="18"/>
                          </w:rPr>
                          <m:t>n</m:t>
                        </m:r>
                      </m:den>
                    </m:f>
                  </m:e>
                </m:rad>
                <m:r>
                  <w:rPr>
                    <w:rFonts w:ascii="Cambria Math" w:hAnsi="Cambria Math"/>
                    <w:szCs w:val="18"/>
                  </w:rPr>
                  <m:t>&lt;p&lt;h+</m:t>
                </m:r>
                <m:f>
                  <m:fPr>
                    <m:ctrlPr>
                      <w:rPr>
                        <w:rFonts w:ascii="Cambria Math" w:hAnsi="Cambria Math"/>
                        <w:szCs w:val="18"/>
                      </w:rPr>
                    </m:ctrlPr>
                  </m:fPr>
                  <m:num>
                    <m:r>
                      <w:rPr>
                        <w:rFonts w:ascii="Cambria Math" w:hAnsi="Cambria Math"/>
                        <w:szCs w:val="18"/>
                      </w:rPr>
                      <m:t>1</m:t>
                    </m:r>
                  </m:num>
                  <m:den>
                    <m:r>
                      <w:rPr>
                        <w:rFonts w:ascii="Cambria Math" w:hAnsi="Cambria Math"/>
                        <w:szCs w:val="18"/>
                      </w:rPr>
                      <m:t>2n</m:t>
                    </m:r>
                  </m:den>
                </m:f>
                <m:r>
                  <w:rPr>
                    <w:rFonts w:ascii="Cambria Math" w:hAnsi="Cambria Math"/>
                    <w:szCs w:val="18"/>
                  </w:rPr>
                  <m:t>+</m:t>
                </m:r>
                <m:sSub>
                  <m:sSubPr>
                    <m:ctrlPr>
                      <w:rPr>
                        <w:rFonts w:ascii="Cambria Math" w:hAnsi="Cambria Math"/>
                        <w:szCs w:val="18"/>
                      </w:rPr>
                    </m:ctrlPr>
                  </m:sSubPr>
                  <m:e>
                    <m:r>
                      <w:rPr>
                        <w:rFonts w:ascii="Cambria Math" w:hAnsi="Cambria Math"/>
                        <w:szCs w:val="18"/>
                      </w:rPr>
                      <m:t>u</m:t>
                    </m:r>
                  </m:e>
                  <m:sub>
                    <m:f>
                      <m:fPr>
                        <m:ctrlPr>
                          <w:rPr>
                            <w:rFonts w:ascii="Cambria Math" w:hAnsi="Cambria Math"/>
                            <w:szCs w:val="18"/>
                          </w:rPr>
                        </m:ctrlPr>
                      </m:fPr>
                      <m:num>
                        <m:r>
                          <w:rPr>
                            <w:rFonts w:ascii="Cambria Math" w:hAnsi="Cambria Math"/>
                            <w:szCs w:val="18"/>
                          </w:rPr>
                          <m:t>1-α</m:t>
                        </m:r>
                      </m:num>
                      <m:den>
                        <m:r>
                          <w:rPr>
                            <w:rFonts w:ascii="Cambria Math" w:hAnsi="Cambria Math"/>
                            <w:szCs w:val="18"/>
                          </w:rPr>
                          <m:t>2</m:t>
                        </m:r>
                      </m:den>
                    </m:f>
                  </m:sub>
                </m:sSub>
                <m:rad>
                  <m:radPr>
                    <m:degHide m:val="1"/>
                    <m:ctrlPr>
                      <w:rPr>
                        <w:rFonts w:ascii="Cambria Math" w:hAnsi="Cambria Math"/>
                        <w:szCs w:val="18"/>
                      </w:rPr>
                    </m:ctrlPr>
                  </m:radPr>
                  <m:deg/>
                  <m:e>
                    <m:f>
                      <m:fPr>
                        <m:ctrlPr>
                          <w:rPr>
                            <w:rFonts w:ascii="Cambria Math" w:hAnsi="Cambria Math"/>
                            <w:szCs w:val="18"/>
                          </w:rPr>
                        </m:ctrlPr>
                      </m:fPr>
                      <m:num>
                        <m:r>
                          <w:rPr>
                            <w:rFonts w:ascii="Cambria Math" w:hAnsi="Cambria Math"/>
                            <w:szCs w:val="18"/>
                          </w:rPr>
                          <m:t>h</m:t>
                        </m:r>
                        <m:d>
                          <m:dPr>
                            <m:ctrlPr>
                              <w:rPr>
                                <w:rFonts w:ascii="Cambria Math" w:hAnsi="Cambria Math"/>
                                <w:szCs w:val="18"/>
                              </w:rPr>
                            </m:ctrlPr>
                          </m:dPr>
                          <m:e>
                            <m:r>
                              <w:rPr>
                                <w:rFonts w:ascii="Cambria Math" w:hAnsi="Cambria Math"/>
                                <w:szCs w:val="18"/>
                              </w:rPr>
                              <m:t>1-</m:t>
                            </m:r>
                            <m:r>
                              <w:rPr>
                                <w:rFonts w:ascii="Cambria Math" w:hAnsi="Cambria Math"/>
                                <w:szCs w:val="18"/>
                              </w:rPr>
                              <m:t>h</m:t>
                            </m:r>
                          </m:e>
                        </m:d>
                      </m:num>
                      <m:den>
                        <m:r>
                          <w:rPr>
                            <w:rFonts w:ascii="Cambria Math" w:hAnsi="Cambria Math"/>
                            <w:szCs w:val="18"/>
                          </w:rPr>
                          <m:t>n</m:t>
                        </m:r>
                      </m:den>
                    </m:f>
                  </m:e>
                </m:rad>
              </m:oMath>
            </m:oMathPara>
          </w:p>
          <w:p w14:paraId="747107E4" w14:textId="77777777" w:rsidR="0092664E" w:rsidRPr="0086689A" w:rsidRDefault="0092664E" w:rsidP="0031220A">
            <w:pPr>
              <w:contextualSpacing/>
              <w:cnfStyle w:val="000000100000" w:firstRow="0" w:lastRow="0" w:firstColumn="0" w:lastColumn="0" w:oddVBand="0" w:evenVBand="0" w:oddHBand="1" w:evenHBand="0" w:firstRowFirstColumn="0" w:firstRowLastColumn="0" w:lastRowFirstColumn="0" w:lastRowLastColumn="0"/>
              <w:rPr>
                <w:szCs w:val="18"/>
              </w:rPr>
            </w:pPr>
            <w:r w:rsidRPr="00FD25AD">
              <w:rPr>
                <w:rFonts w:cstheme="majorHAnsi"/>
                <w:szCs w:val="18"/>
              </w:rPr>
              <w:t>kde</w:t>
            </w:r>
          </w:p>
          <w:p w14:paraId="2F48BA27" w14:textId="77777777" w:rsidR="0092664E" w:rsidRPr="0086689A" w:rsidRDefault="0092664E" w:rsidP="0031220A">
            <w:pPr>
              <w:ind w:left="357" w:hanging="357"/>
              <w:contextualSpacing/>
              <w:cnfStyle w:val="000000100000" w:firstRow="0" w:lastRow="0" w:firstColumn="0" w:lastColumn="0" w:oddVBand="0" w:evenVBand="0" w:oddHBand="1" w:evenHBand="0" w:firstRowFirstColumn="0" w:firstRowLastColumn="0" w:lastRowFirstColumn="0" w:lastRowLastColumn="0"/>
              <w:rPr>
                <w:szCs w:val="18"/>
              </w:rPr>
            </w:pPr>
            <m:oMath>
              <m:r>
                <w:rPr>
                  <w:rFonts w:ascii="Cambria Math" w:hAnsi="Cambria Math"/>
                  <w:szCs w:val="18"/>
                </w:rPr>
                <m:t>h</m:t>
              </m:r>
            </m:oMath>
            <w:r w:rsidRPr="00FD25AD">
              <w:rPr>
                <w:rFonts w:eastAsia="Times" w:cstheme="majorHAnsi"/>
                <w:color w:val="000000"/>
                <w:szCs w:val="18"/>
              </w:rPr>
              <w:t xml:space="preserve"> značí relativní četnost (tj. počet odpovědí ano dělenou celkovým počtem odpovědí vzorku)</w:t>
            </w:r>
          </w:p>
          <w:p w14:paraId="141A3B9E" w14:textId="77777777" w:rsidR="0092664E" w:rsidRPr="0086689A" w:rsidRDefault="0092664E" w:rsidP="0031220A">
            <w:pPr>
              <w:ind w:left="357" w:hanging="357"/>
              <w:contextualSpacing/>
              <w:cnfStyle w:val="000000100000" w:firstRow="0" w:lastRow="0" w:firstColumn="0" w:lastColumn="0" w:oddVBand="0" w:evenVBand="0" w:oddHBand="1" w:evenHBand="0" w:firstRowFirstColumn="0" w:firstRowLastColumn="0" w:lastRowFirstColumn="0" w:lastRowLastColumn="0"/>
              <w:rPr>
                <w:szCs w:val="18"/>
              </w:rPr>
            </w:pPr>
            <w:r w:rsidRPr="00FD25AD">
              <w:rPr>
                <w:rFonts w:eastAsia="Times" w:cstheme="majorHAnsi"/>
                <w:color w:val="000000"/>
                <w:szCs w:val="18"/>
              </w:rPr>
              <w:t xml:space="preserve"> </w:t>
            </w:r>
            <m:oMath>
              <m:r>
                <w:rPr>
                  <w:rFonts w:ascii="Cambria Math" w:hAnsi="Cambria Math"/>
                  <w:szCs w:val="18"/>
                </w:rPr>
                <m:t>n</m:t>
              </m:r>
            </m:oMath>
            <w:r w:rsidRPr="00FD25AD">
              <w:rPr>
                <w:rFonts w:eastAsia="Times" w:cstheme="majorHAnsi"/>
                <w:color w:val="000000"/>
                <w:szCs w:val="18"/>
              </w:rPr>
              <w:t xml:space="preserve"> je celkový počet odpovědí vzorku</w:t>
            </w:r>
          </w:p>
          <w:p w14:paraId="4D6DE0E2" w14:textId="77777777" w:rsidR="0092664E" w:rsidRPr="0086689A" w:rsidRDefault="0092664E" w:rsidP="0031220A">
            <w:pPr>
              <w:ind w:left="357" w:hanging="357"/>
              <w:contextualSpacing/>
              <w:cnfStyle w:val="000000100000" w:firstRow="0" w:lastRow="0" w:firstColumn="0" w:lastColumn="0" w:oddVBand="0" w:evenVBand="0" w:oddHBand="1" w:evenHBand="0" w:firstRowFirstColumn="0" w:firstRowLastColumn="0" w:lastRowFirstColumn="0" w:lastRowLastColumn="0"/>
              <w:rPr>
                <w:szCs w:val="18"/>
              </w:rPr>
            </w:pPr>
            <w:r w:rsidRPr="00FD25AD">
              <w:rPr>
                <w:rFonts w:eastAsia="Times" w:cstheme="majorHAnsi"/>
                <w:color w:val="000000"/>
                <w:szCs w:val="18"/>
              </w:rPr>
              <w:t xml:space="preserve"> </w:t>
            </w:r>
            <m:oMath>
              <m:sSub>
                <m:sSubPr>
                  <m:ctrlPr>
                    <w:rPr>
                      <w:rFonts w:ascii="Cambria Math" w:hAnsi="Cambria Math"/>
                      <w:szCs w:val="18"/>
                    </w:rPr>
                  </m:ctrlPr>
                </m:sSubPr>
                <m:e>
                  <m:r>
                    <w:rPr>
                      <w:rFonts w:ascii="Cambria Math" w:hAnsi="Cambria Math"/>
                      <w:szCs w:val="18"/>
                    </w:rPr>
                    <m:t>u</m:t>
                  </m:r>
                </m:e>
                <m:sub>
                  <m:r>
                    <w:rPr>
                      <w:rFonts w:ascii="Cambria Math" w:hAnsi="Cambria Math"/>
                      <w:szCs w:val="18"/>
                    </w:rPr>
                    <m:t>1-</m:t>
                  </m:r>
                  <m:f>
                    <m:fPr>
                      <m:ctrlPr>
                        <w:rPr>
                          <w:rFonts w:ascii="Cambria Math" w:hAnsi="Cambria Math"/>
                          <w:szCs w:val="18"/>
                        </w:rPr>
                      </m:ctrlPr>
                    </m:fPr>
                    <m:num>
                      <m:r>
                        <w:rPr>
                          <w:rFonts w:ascii="Cambria Math" w:hAnsi="Cambria Math"/>
                          <w:szCs w:val="18"/>
                        </w:rPr>
                        <m:t>α</m:t>
                      </m:r>
                    </m:num>
                    <m:den>
                      <m:r>
                        <w:rPr>
                          <w:rFonts w:ascii="Cambria Math" w:hAnsi="Cambria Math"/>
                          <w:szCs w:val="18"/>
                        </w:rPr>
                        <m:t>2</m:t>
                      </m:r>
                    </m:den>
                  </m:f>
                </m:sub>
              </m:sSub>
            </m:oMath>
            <w:r w:rsidRPr="00FD25AD">
              <w:rPr>
                <w:rFonts w:eastAsia="Times" w:cstheme="majorHAnsi"/>
                <w:color w:val="000000"/>
                <w:szCs w:val="18"/>
              </w:rPr>
              <w:t xml:space="preserve"> je tabulková hodnota aproximace normálního rozdělení</w:t>
            </w:r>
          </w:p>
        </w:tc>
      </w:tr>
      <w:tr w:rsidR="0092664E" w:rsidRPr="002359DC" w14:paraId="0D9E1B04" w14:textId="77777777" w:rsidTr="0031220A">
        <w:trPr>
          <w:trHeight w:val="20"/>
        </w:trPr>
        <w:tc>
          <w:tcPr>
            <w:cnfStyle w:val="001000000000" w:firstRow="0" w:lastRow="0" w:firstColumn="1" w:lastColumn="0" w:oddVBand="0" w:evenVBand="0" w:oddHBand="0" w:evenHBand="0" w:firstRowFirstColumn="0" w:firstRowLastColumn="0" w:lastRowFirstColumn="0" w:lastRowLastColumn="0"/>
            <w:tcW w:w="731" w:type="dxa"/>
          </w:tcPr>
          <w:p w14:paraId="741508ED" w14:textId="77777777" w:rsidR="0092664E" w:rsidRPr="00FD25AD" w:rsidRDefault="0092664E" w:rsidP="0031220A">
            <w:pPr>
              <w:contextualSpacing/>
              <w:rPr>
                <w:b w:val="0"/>
                <w:bCs w:val="0"/>
                <w:szCs w:val="18"/>
              </w:rPr>
            </w:pPr>
            <w:r w:rsidRPr="00FD25AD">
              <w:rPr>
                <w:rFonts w:cstheme="majorHAnsi"/>
                <w:szCs w:val="18"/>
              </w:rPr>
              <w:t>4</w:t>
            </w:r>
          </w:p>
        </w:tc>
        <w:tc>
          <w:tcPr>
            <w:tcW w:w="2666" w:type="dxa"/>
          </w:tcPr>
          <w:p w14:paraId="66046900" w14:textId="77777777" w:rsidR="0092664E" w:rsidRPr="0086689A" w:rsidRDefault="0092664E" w:rsidP="0031220A">
            <w:pPr>
              <w:contextualSpacing/>
              <w:cnfStyle w:val="000000000000" w:firstRow="0" w:lastRow="0" w:firstColumn="0" w:lastColumn="0" w:oddVBand="0" w:evenVBand="0" w:oddHBand="0" w:evenHBand="0" w:firstRowFirstColumn="0" w:firstRowLastColumn="0" w:lastRowFirstColumn="0" w:lastRowLastColumn="0"/>
              <w:rPr>
                <w:szCs w:val="18"/>
              </w:rPr>
            </w:pPr>
            <w:r w:rsidRPr="00FD25AD">
              <w:rPr>
                <w:rFonts w:cstheme="majorHAnsi"/>
                <w:szCs w:val="18"/>
              </w:rPr>
              <w:t>Formulace výsledku</w:t>
            </w:r>
          </w:p>
        </w:tc>
        <w:tc>
          <w:tcPr>
            <w:tcW w:w="5663" w:type="dxa"/>
          </w:tcPr>
          <w:p w14:paraId="523D1D69" w14:textId="77777777" w:rsidR="0092664E" w:rsidRPr="0086689A" w:rsidRDefault="0092664E" w:rsidP="0031220A">
            <w:pPr>
              <w:keepNext/>
              <w:contextualSpacing/>
              <w:cnfStyle w:val="000000000000" w:firstRow="0" w:lastRow="0" w:firstColumn="0" w:lastColumn="0" w:oddVBand="0" w:evenVBand="0" w:oddHBand="0" w:evenHBand="0" w:firstRowFirstColumn="0" w:firstRowLastColumn="0" w:lastRowFirstColumn="0" w:lastRowLastColumn="0"/>
              <w:rPr>
                <w:szCs w:val="18"/>
              </w:rPr>
            </w:pPr>
            <w:r w:rsidRPr="00FD25AD">
              <w:rPr>
                <w:rFonts w:cstheme="majorHAnsi"/>
                <w:szCs w:val="18"/>
              </w:rPr>
              <w:t>„Se spolehlivostí 95 % můžeme usuzovat, že podíl podnikatelů, kteří souhlasí s danou hypotézou, se pohybuje mezi …….“</w:t>
            </w:r>
          </w:p>
        </w:tc>
      </w:tr>
    </w:tbl>
    <w:p w14:paraId="057F2214" w14:textId="77777777" w:rsidR="0092664E" w:rsidRDefault="0092664E" w:rsidP="0092664E">
      <w:pPr>
        <w:spacing w:before="113" w:after="113" w:line="240" w:lineRule="auto"/>
        <w:rPr>
          <w:rFonts w:asciiTheme="majorHAnsi" w:hAnsiTheme="majorHAnsi"/>
          <w:b/>
          <w:color w:val="000000"/>
          <w:szCs w:val="18"/>
        </w:rPr>
      </w:pPr>
    </w:p>
    <w:p w14:paraId="794B0086" w14:textId="77777777" w:rsidR="0092664E" w:rsidRDefault="0092664E" w:rsidP="002B215D">
      <w:pPr>
        <w:spacing w:after="120" w:line="240" w:lineRule="auto"/>
      </w:pPr>
      <w:r>
        <w:rPr>
          <w:rFonts w:asciiTheme="majorHAnsi" w:hAnsiTheme="majorHAnsi"/>
          <w:b/>
          <w:color w:val="000000"/>
          <w:szCs w:val="18"/>
        </w:rPr>
        <w:t>Statistický dopočet vzorku na základní soubor</w:t>
      </w:r>
      <w:r>
        <w:rPr>
          <w:rFonts w:asciiTheme="majorHAnsi" w:hAnsiTheme="majorHAnsi"/>
          <w:b/>
          <w:color w:val="00A1DE"/>
          <w:szCs w:val="18"/>
        </w:rPr>
        <w:t xml:space="preserve"> </w:t>
      </w:r>
    </w:p>
    <w:p w14:paraId="4D601BC6" w14:textId="77777777" w:rsidR="0092664E" w:rsidRDefault="0092664E" w:rsidP="002B215D">
      <w:pPr>
        <w:spacing w:after="120" w:line="240" w:lineRule="auto"/>
        <w:jc w:val="both"/>
      </w:pPr>
      <w:r>
        <w:rPr>
          <w:rFonts w:asciiTheme="majorHAnsi" w:hAnsiTheme="majorHAnsi"/>
          <w:szCs w:val="18"/>
        </w:rPr>
        <w:t xml:space="preserve">Pro potřeby zpětného dopočtu vzorku vybraného </w:t>
      </w:r>
      <w:r w:rsidR="00DF08EE">
        <w:rPr>
          <w:rFonts w:asciiTheme="majorHAnsi" w:hAnsiTheme="majorHAnsi"/>
          <w:szCs w:val="18"/>
        </w:rPr>
        <w:t>Dodavatelem</w:t>
      </w:r>
      <w:r>
        <w:rPr>
          <w:rFonts w:asciiTheme="majorHAnsi" w:hAnsiTheme="majorHAnsi"/>
          <w:szCs w:val="18"/>
        </w:rPr>
        <w:t xml:space="preserve"> na základní soubor bude použito reverzních vzorců (ke vzorcům definovaným výše). </w:t>
      </w:r>
    </w:p>
    <w:p w14:paraId="7B1667F2" w14:textId="77777777" w:rsidR="0092664E" w:rsidRDefault="0092664E" w:rsidP="002B215D">
      <w:pPr>
        <w:spacing w:after="120" w:line="240" w:lineRule="auto"/>
        <w:jc w:val="both"/>
        <w:rPr>
          <w:rFonts w:asciiTheme="majorHAnsi" w:hAnsiTheme="majorHAnsi"/>
          <w:szCs w:val="18"/>
        </w:rPr>
      </w:pPr>
      <w:r>
        <w:rPr>
          <w:rFonts w:asciiTheme="majorHAnsi" w:hAnsiTheme="majorHAnsi"/>
          <w:szCs w:val="18"/>
        </w:rPr>
        <w:t xml:space="preserve">Pro zpracování výsledků na nedefinovaném vzorku (např. dotazníkové šetření) bude využita metoda statistického usuzování neboli indukce, která představuje proces zobecňování z výběrového souboru (n) na celý základní soubor, resp. populaci (N). Touto metodou lze ze zjištěných dat vyvodit zobecnitelná tvrzení s udáním intervalu spolehlivosti - jde tedy o snahu objektivizovat pozorování a zbavit se subjektivního vlivu pozorovatele. Při této objektivizaci počítá </w:t>
      </w:r>
      <w:r w:rsidR="00DF08EE">
        <w:rPr>
          <w:rFonts w:asciiTheme="majorHAnsi" w:hAnsiTheme="majorHAnsi"/>
          <w:szCs w:val="18"/>
        </w:rPr>
        <w:t>Dodavatel</w:t>
      </w:r>
      <w:r>
        <w:rPr>
          <w:rFonts w:asciiTheme="majorHAnsi" w:hAnsiTheme="majorHAnsi"/>
          <w:szCs w:val="18"/>
        </w:rPr>
        <w:t xml:space="preserve"> se součinností Zadavatele.</w:t>
      </w:r>
    </w:p>
    <w:p w14:paraId="259EBA22" w14:textId="77777777" w:rsidR="0092664E" w:rsidRDefault="0092664E" w:rsidP="0092664E">
      <w:r>
        <w:br w:type="page"/>
      </w:r>
    </w:p>
    <w:p w14:paraId="555770B5" w14:textId="77777777" w:rsidR="0092664E" w:rsidRDefault="0092664E" w:rsidP="0092664E">
      <w:pPr>
        <w:jc w:val="both"/>
        <w:rPr>
          <w:rFonts w:asciiTheme="majorHAnsi" w:eastAsiaTheme="majorEastAsia" w:hAnsiTheme="majorHAnsi" w:cstheme="majorBidi"/>
          <w:b/>
          <w:bCs/>
          <w:color w:val="62B5E5" w:themeColor="accent3"/>
          <w:szCs w:val="28"/>
        </w:rPr>
      </w:pPr>
    </w:p>
    <w:p w14:paraId="168BBF1A" w14:textId="77777777" w:rsidR="00E8149F" w:rsidRPr="00E93F30" w:rsidRDefault="00E8149F" w:rsidP="00E93F30">
      <w:pPr>
        <w:rPr>
          <w:highlight w:val="yellow"/>
        </w:rPr>
      </w:pPr>
    </w:p>
    <w:p w14:paraId="0A2EF8C7" w14:textId="77777777" w:rsidR="00125136" w:rsidRPr="001C351B" w:rsidRDefault="00125136">
      <w:pPr>
        <w:rPr>
          <w:rFonts w:asciiTheme="majorHAnsi" w:hAnsiTheme="majorHAnsi"/>
          <w:highlight w:val="yellow"/>
        </w:rPr>
      </w:pPr>
    </w:p>
    <w:p w14:paraId="470AA3D6" w14:textId="77777777" w:rsidR="002E114E" w:rsidRPr="001C351B" w:rsidRDefault="002E114E">
      <w:pPr>
        <w:rPr>
          <w:rFonts w:asciiTheme="majorHAnsi" w:hAnsiTheme="majorHAnsi"/>
          <w:sz w:val="60"/>
          <w:highlight w:val="yellow"/>
        </w:rPr>
      </w:pPr>
    </w:p>
    <w:bookmarkEnd w:id="2"/>
    <w:p w14:paraId="7E3C35C2" w14:textId="0ECA2A14" w:rsidR="00BF6F8B" w:rsidRPr="001C351B" w:rsidRDefault="00BF6F8B" w:rsidP="009B139F">
      <w:pPr>
        <w:rPr>
          <w:rFonts w:asciiTheme="majorHAnsi" w:hAnsiTheme="majorHAnsi"/>
        </w:rPr>
      </w:pPr>
      <w:r w:rsidRPr="001C351B">
        <w:rPr>
          <w:rFonts w:asciiTheme="majorHAnsi" w:hAnsiTheme="majorHAnsi"/>
          <w:noProof/>
          <w:lang w:eastAsia="cs-CZ"/>
        </w:rPr>
        <mc:AlternateContent>
          <mc:Choice Requires="wps">
            <w:drawing>
              <wp:anchor distT="0" distB="0" distL="114300" distR="114300" simplePos="0" relativeHeight="251664384" behindDoc="1" locked="1" layoutInCell="1" allowOverlap="1" wp14:anchorId="78F3A8D5" wp14:editId="36A0FBF9">
                <wp:simplePos x="0" y="0"/>
                <wp:positionH relativeFrom="page">
                  <wp:posOffset>0</wp:posOffset>
                </wp:positionH>
                <wp:positionV relativeFrom="page">
                  <wp:posOffset>0</wp:posOffset>
                </wp:positionV>
                <wp:extent cx="7596000" cy="10728000"/>
                <wp:effectExtent l="0" t="0" r="5080" b="0"/>
                <wp:wrapNone/>
                <wp:docPr id="2" name="Rectangle 2"/>
                <wp:cNvGraphicFramePr/>
                <a:graphic xmlns:a="http://schemas.openxmlformats.org/drawingml/2006/main">
                  <a:graphicData uri="http://schemas.microsoft.com/office/word/2010/wordprocessingShape">
                    <wps:wsp>
                      <wps:cNvSpPr/>
                      <wps:spPr>
                        <a:xfrm>
                          <a:off x="0" y="0"/>
                          <a:ext cx="7596000" cy="1072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B4FD70" w14:textId="77777777" w:rsidR="00405DA8" w:rsidRPr="00E373D2" w:rsidRDefault="00405DA8" w:rsidP="00BF6F8B">
                            <w:pPr>
                              <w:pStyle w:val="Legaltext"/>
                              <w:rPr>
                                <w:color w:val="000000" w:themeColor="text1"/>
                              </w:rPr>
                            </w:pPr>
                            <w:r w:rsidRPr="00E373D2">
                              <w:rPr>
                                <w:noProof/>
                                <w:lang w:eastAsia="cs-CZ"/>
                              </w:rPr>
                              <w:drawing>
                                <wp:inline distT="0" distB="0" distL="0" distR="0" wp14:anchorId="0800A2C7" wp14:editId="1B7169BD">
                                  <wp:extent cx="1831975" cy="345440"/>
                                  <wp:effectExtent l="0" t="0" r="0" b="0"/>
                                  <wp:docPr id="178" name="Picture 178"/>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1975" cy="345440"/>
                                          </a:xfrm>
                                          <a:prstGeom prst="rect">
                                            <a:avLst/>
                                          </a:prstGeom>
                                        </pic:spPr>
                                      </pic:pic>
                                    </a:graphicData>
                                  </a:graphic>
                                </wp:inline>
                              </w:drawing>
                            </w:r>
                          </w:p>
                          <w:p w14:paraId="0F6B9007" w14:textId="77777777" w:rsidR="00405DA8" w:rsidRPr="00E373D2" w:rsidRDefault="00405DA8" w:rsidP="00BF6F8B">
                            <w:pPr>
                              <w:pStyle w:val="Legaltext"/>
                              <w:rPr>
                                <w:color w:val="000000" w:themeColor="text1"/>
                              </w:rPr>
                            </w:pPr>
                          </w:p>
                          <w:p w14:paraId="2C8103F5" w14:textId="77777777" w:rsidR="00405DA8" w:rsidRPr="00E373D2" w:rsidRDefault="00405DA8" w:rsidP="00BF6F8B">
                            <w:pPr>
                              <w:pStyle w:val="Legaltext"/>
                              <w:rPr>
                                <w:color w:val="000000" w:themeColor="text1"/>
                              </w:rPr>
                            </w:pPr>
                          </w:p>
                          <w:p w14:paraId="6C81964F" w14:textId="77777777" w:rsidR="00405DA8" w:rsidRPr="00E373D2" w:rsidRDefault="00405DA8" w:rsidP="000A41D8">
                            <w:pPr>
                              <w:pStyle w:val="Legaltext"/>
                              <w:ind w:right="4909"/>
                              <w:rPr>
                                <w:color w:val="000000" w:themeColor="text1"/>
                              </w:rPr>
                            </w:pPr>
                          </w:p>
                          <w:p w14:paraId="42703967" w14:textId="77777777" w:rsidR="00405DA8" w:rsidRDefault="00405DA8" w:rsidP="007309F5">
                            <w:pPr>
                              <w:pStyle w:val="Legaltext"/>
                              <w:ind w:right="4890"/>
                              <w:rPr>
                                <w:color w:val="000000" w:themeColor="text1"/>
                              </w:rPr>
                            </w:pPr>
                            <w:r w:rsidRPr="007263EA">
                              <w:rPr>
                                <w:color w:val="000000" w:themeColor="text1"/>
                              </w:rPr>
                              <w:t>Deloitte označuje jednu či více společností Deloitte Touche Tohmatsu Limited, britské privátní společnosti s ručením omezeným zárukou („DTTL“), síť jejích členských firem a jejich spřízněných subjektů. Společnost DTTL a každá z jejích členských firem představuje samostatný a nezávislý právní subjekt. Společnost DTTL (rovněž označovaná jako „Deloitte Global“) služby klientům neposkytuje. Více informací o naší globální síti členských firem je uvedeno na adrese www.deloitte.com/cz/onas.</w:t>
                            </w:r>
                          </w:p>
                          <w:p w14:paraId="6657030D" w14:textId="77777777" w:rsidR="00405DA8" w:rsidRPr="00745BE8" w:rsidRDefault="00405DA8" w:rsidP="007309F5">
                            <w:pPr>
                              <w:pStyle w:val="Legaltext"/>
                              <w:ind w:right="4890"/>
                              <w:rPr>
                                <w:color w:val="000000" w:themeColor="text1"/>
                              </w:rPr>
                            </w:pPr>
                          </w:p>
                          <w:p w14:paraId="331CF35F" w14:textId="77777777" w:rsidR="00405DA8" w:rsidRPr="00745BE8" w:rsidRDefault="00405DA8" w:rsidP="007309F5">
                            <w:pPr>
                              <w:pStyle w:val="Legaltext"/>
                              <w:ind w:right="4890"/>
                              <w:rPr>
                                <w:color w:val="000000" w:themeColor="text1"/>
                              </w:rPr>
                            </w:pPr>
                            <w:r w:rsidRPr="00745BE8">
                              <w:rPr>
                                <w:color w:val="000000" w:themeColor="text1"/>
                              </w:rPr>
                              <w:t>Společnost Deloitte poskytuje služby v oblasti auditu, poradenství, právního a</w:t>
                            </w:r>
                            <w:r>
                              <w:rPr>
                                <w:color w:val="000000" w:themeColor="text1"/>
                              </w:rPr>
                              <w:t> </w:t>
                            </w:r>
                            <w:r w:rsidRPr="00745BE8">
                              <w:rPr>
                                <w:color w:val="000000" w:themeColor="text1"/>
                              </w:rPr>
                              <w:t xml:space="preserve">finančního poradenství, poradenství v oblasti rizik a daní a související služby klientům v celé řadě odvětví veřejného a soukromého sektoru. Díky globálně propojené síti členských firem ve více než 150 zemích a teritoriích má společnost Deloitte světové možnosti a poznatky a poskytuje svým klientům, mezi něž patří čtyři z pěti společností figurujících v žebříčku Fortune Global 500 ®, vysoce kvalitní služby v oblastech, ve kterých klienti řeší své nejkomplexnější podnikatelské výzvy. Chcete-li se dozvědět více o způsobu, jakým zhruba </w:t>
                            </w:r>
                            <w:r>
                              <w:rPr>
                                <w:color w:val="000000" w:themeColor="text1"/>
                              </w:rPr>
                              <w:t>245</w:t>
                            </w:r>
                            <w:r w:rsidRPr="00745BE8">
                              <w:rPr>
                                <w:color w:val="000000" w:themeColor="text1"/>
                              </w:rPr>
                              <w:t xml:space="preserve"> 000 odborníků dělá to, co má pro klienty smysl, kontaktujte ná</w:t>
                            </w:r>
                            <w:r>
                              <w:rPr>
                                <w:color w:val="000000" w:themeColor="text1"/>
                              </w:rPr>
                              <w:t>s</w:t>
                            </w:r>
                            <w:r w:rsidRPr="00745BE8">
                              <w:rPr>
                                <w:color w:val="000000" w:themeColor="text1"/>
                              </w:rPr>
                              <w:t xml:space="preserve"> prostřednictvím sociálních sítí Facebook, LinkedIn či Twitter. </w:t>
                            </w:r>
                          </w:p>
                          <w:p w14:paraId="78B161B2" w14:textId="77777777" w:rsidR="00405DA8" w:rsidRPr="00745BE8" w:rsidRDefault="00405DA8" w:rsidP="007309F5">
                            <w:pPr>
                              <w:pStyle w:val="Legaltext"/>
                              <w:ind w:right="4890"/>
                              <w:rPr>
                                <w:color w:val="000000" w:themeColor="text1"/>
                              </w:rPr>
                            </w:pPr>
                          </w:p>
                          <w:p w14:paraId="47FDCFDE" w14:textId="77777777" w:rsidR="00405DA8" w:rsidRPr="00745BE8" w:rsidRDefault="00405DA8" w:rsidP="007309F5">
                            <w:pPr>
                              <w:pStyle w:val="Legaltext"/>
                              <w:ind w:right="4890"/>
                              <w:rPr>
                                <w:color w:val="000000" w:themeColor="text1"/>
                              </w:rPr>
                            </w:pPr>
                            <w:r w:rsidRPr="00745BE8">
                              <w:rPr>
                                <w:color w:val="000000" w:themeColor="text1"/>
                              </w:rPr>
                              <w:t xml:space="preserve">Společnost Deloitte ve střední Evropě je regionální organizací subjektů sdružených ve společnosti Deloitte Central Europe Holdings Limited, která je členskou firmou sdružení Deloitte Touche Tohmatsu Limited ve střední Evropě. Odborné služby poskytují dceřiné a přidružené podniky společnosti Deloitte Central Europe Holdings Limited, které jsou samostatnými a nezávislými právními subjekty. Dceřiné a přidružené podniky společnosti Deloitte Central Europe Holdings Limited patří ve středoevropském regionu k předním firmám poskytujícím služby prostřednictvím </w:t>
                            </w:r>
                            <w:r>
                              <w:rPr>
                                <w:color w:val="000000" w:themeColor="text1"/>
                              </w:rPr>
                              <w:t>více než</w:t>
                            </w:r>
                            <w:r w:rsidRPr="00745BE8">
                              <w:rPr>
                                <w:color w:val="000000" w:themeColor="text1"/>
                              </w:rPr>
                              <w:t xml:space="preserve"> 6 000 zaměstnanců ze</w:t>
                            </w:r>
                            <w:r>
                              <w:rPr>
                                <w:color w:val="000000" w:themeColor="text1"/>
                              </w:rPr>
                              <w:t> </w:t>
                            </w:r>
                            <w:r w:rsidRPr="00745BE8">
                              <w:rPr>
                                <w:color w:val="000000" w:themeColor="text1"/>
                              </w:rPr>
                              <w:t>4</w:t>
                            </w:r>
                            <w:r>
                              <w:rPr>
                                <w:color w:val="000000" w:themeColor="text1"/>
                              </w:rPr>
                              <w:t>4 </w:t>
                            </w:r>
                            <w:r w:rsidRPr="00745BE8">
                              <w:rPr>
                                <w:color w:val="000000" w:themeColor="text1"/>
                              </w:rPr>
                              <w:t>pracovišť v 18 zemích.</w:t>
                            </w:r>
                          </w:p>
                          <w:p w14:paraId="6F1C4832" w14:textId="77777777" w:rsidR="00405DA8" w:rsidRPr="00745BE8" w:rsidRDefault="00405DA8" w:rsidP="007309F5">
                            <w:pPr>
                              <w:pStyle w:val="Legaltext"/>
                              <w:ind w:right="4890"/>
                              <w:rPr>
                                <w:color w:val="000000" w:themeColor="text1"/>
                              </w:rPr>
                            </w:pPr>
                          </w:p>
                          <w:p w14:paraId="2B0A8A1F" w14:textId="77777777" w:rsidR="00405DA8" w:rsidRPr="00E373D2" w:rsidRDefault="00405DA8" w:rsidP="007309F5">
                            <w:pPr>
                              <w:pStyle w:val="Legaltext"/>
                              <w:ind w:right="4890"/>
                              <w:rPr>
                                <w:color w:val="000000" w:themeColor="text1"/>
                              </w:rPr>
                            </w:pPr>
                            <w:r w:rsidRPr="00745BE8">
                              <w:rPr>
                                <w:color w:val="000000" w:themeColor="text1"/>
                              </w:rPr>
                              <w:t>© 201</w:t>
                            </w:r>
                            <w:r>
                              <w:rPr>
                                <w:color w:val="000000" w:themeColor="text1"/>
                              </w:rPr>
                              <w:t>9</w:t>
                            </w:r>
                            <w:r w:rsidRPr="00745BE8">
                              <w:rPr>
                                <w:color w:val="000000" w:themeColor="text1"/>
                              </w:rPr>
                              <w:t xml:space="preserve"> Pro více informací kontaktujte Deloitte Česká republika</w:t>
                            </w:r>
                            <w:r w:rsidRPr="00E373D2">
                              <w:rPr>
                                <w:color w:val="000000" w:themeColor="text1"/>
                              </w:rPr>
                              <w:t>.</w:t>
                            </w:r>
                          </w:p>
                        </w:txbxContent>
                      </wps:txbx>
                      <wps:bodyPr rot="0" spcFirstLastPara="0" vertOverflow="overflow" horzOverflow="overflow" vert="horz" wrap="square" lIns="432000" tIns="432000" rIns="432000" bIns="43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8F3A8D5" id="Rectangle 2" o:spid="_x0000_s1026" style="position:absolute;margin-left:0;margin-top:0;width:598.1pt;height:844.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" fillcolor="white [3212]" stroked="f" strokeweight="2pt">
                <v:textbox inset="12mm,12mm,12mm,12mm">
                  <w:txbxContent>
                    <w:p w14:paraId="59B4FD70" w14:textId="77777777" w:rsidR="00405DA8" w:rsidRPr="00E373D2" w:rsidRDefault="00405DA8" w:rsidP="00BF6F8B">
                      <w:pPr>
                        <w:pStyle w:val="Legaltext"/>
                        <w:rPr>
                          <w:color w:val="000000" w:themeColor="text1"/>
                        </w:rPr>
                      </w:pPr>
                      <w:r w:rsidRPr="00E373D2">
                        <w:rPr>
                          <w:noProof/>
                          <w:lang w:eastAsia="cs-CZ"/>
                        </w:rPr>
                        <w:drawing>
                          <wp:inline distT="0" distB="0" distL="0" distR="0" wp14:anchorId="0800A2C7" wp14:editId="1B7169BD">
                            <wp:extent cx="1831975" cy="345440"/>
                            <wp:effectExtent l="0" t="0" r="0" b="0"/>
                            <wp:docPr id="178" name="Picture 178"/>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31975" cy="345440"/>
                                    </a:xfrm>
                                    <a:prstGeom prst="rect">
                                      <a:avLst/>
                                    </a:prstGeom>
                                  </pic:spPr>
                                </pic:pic>
                              </a:graphicData>
                            </a:graphic>
                          </wp:inline>
                        </w:drawing>
                      </w:r>
                    </w:p>
                    <w:p w14:paraId="0F6B9007" w14:textId="77777777" w:rsidR="00405DA8" w:rsidRPr="00E373D2" w:rsidRDefault="00405DA8" w:rsidP="00BF6F8B">
                      <w:pPr>
                        <w:pStyle w:val="Legaltext"/>
                        <w:rPr>
                          <w:color w:val="000000" w:themeColor="text1"/>
                        </w:rPr>
                      </w:pPr>
                    </w:p>
                    <w:p w14:paraId="2C8103F5" w14:textId="77777777" w:rsidR="00405DA8" w:rsidRPr="00E373D2" w:rsidRDefault="00405DA8" w:rsidP="00BF6F8B">
                      <w:pPr>
                        <w:pStyle w:val="Legaltext"/>
                        <w:rPr>
                          <w:color w:val="000000" w:themeColor="text1"/>
                        </w:rPr>
                      </w:pPr>
                    </w:p>
                    <w:p w14:paraId="6C81964F" w14:textId="77777777" w:rsidR="00405DA8" w:rsidRPr="00E373D2" w:rsidRDefault="00405DA8" w:rsidP="000A41D8">
                      <w:pPr>
                        <w:pStyle w:val="Legaltext"/>
                        <w:ind w:right="4909"/>
                        <w:rPr>
                          <w:color w:val="000000" w:themeColor="text1"/>
                        </w:rPr>
                      </w:pPr>
                    </w:p>
                    <w:p w14:paraId="42703967" w14:textId="77777777" w:rsidR="00405DA8" w:rsidRDefault="00405DA8" w:rsidP="007309F5">
                      <w:pPr>
                        <w:pStyle w:val="Legaltext"/>
                        <w:ind w:right="4890"/>
                        <w:rPr>
                          <w:color w:val="000000" w:themeColor="text1"/>
                        </w:rPr>
                      </w:pPr>
                      <w:r w:rsidRPr="007263EA">
                        <w:rPr>
                          <w:color w:val="000000" w:themeColor="text1"/>
                        </w:rPr>
                        <w:t>Deloitte označuje jednu či více společností Deloitte Touche Tohmatsu Limited, britské privátní společnosti s ručením omezeným zárukou („DTTL“), síť jejích členských firem a jejich spřízněných subjektů. Společnost DTTL a každá z jejích členských firem představuje samostatný a nezávislý právní subjekt. Společnost DTTL (rovněž označovaná jako „Deloitte Global“) služby klientům neposkytuje. Více informací o naší globální síti členských firem je uvedeno na adrese www.deloitte.com/cz/onas.</w:t>
                      </w:r>
                    </w:p>
                    <w:p w14:paraId="6657030D" w14:textId="77777777" w:rsidR="00405DA8" w:rsidRPr="00745BE8" w:rsidRDefault="00405DA8" w:rsidP="007309F5">
                      <w:pPr>
                        <w:pStyle w:val="Legaltext"/>
                        <w:ind w:right="4890"/>
                        <w:rPr>
                          <w:color w:val="000000" w:themeColor="text1"/>
                        </w:rPr>
                      </w:pPr>
                    </w:p>
                    <w:p w14:paraId="331CF35F" w14:textId="77777777" w:rsidR="00405DA8" w:rsidRPr="00745BE8" w:rsidRDefault="00405DA8" w:rsidP="007309F5">
                      <w:pPr>
                        <w:pStyle w:val="Legaltext"/>
                        <w:ind w:right="4890"/>
                        <w:rPr>
                          <w:color w:val="000000" w:themeColor="text1"/>
                        </w:rPr>
                      </w:pPr>
                      <w:r w:rsidRPr="00745BE8">
                        <w:rPr>
                          <w:color w:val="000000" w:themeColor="text1"/>
                        </w:rPr>
                        <w:t>Společnost Deloitte poskytuje služby v oblasti auditu, poradenství, právního a</w:t>
                      </w:r>
                      <w:r>
                        <w:rPr>
                          <w:color w:val="000000" w:themeColor="text1"/>
                        </w:rPr>
                        <w:t> </w:t>
                      </w:r>
                      <w:r w:rsidRPr="00745BE8">
                        <w:rPr>
                          <w:color w:val="000000" w:themeColor="text1"/>
                        </w:rPr>
                        <w:t xml:space="preserve">finančního poradenství, poradenství v oblasti rizik a daní a související služby klientům v celé řadě odvětví veřejného a soukromého sektoru. Díky globálně propojené síti členských firem ve více než 150 zemích a teritoriích má společnost Deloitte světové možnosti a poznatky a poskytuje svým klientům, mezi něž patří čtyři z pěti společností figurujících v žebříčku Fortune Global 500 ®, vysoce kvalitní služby v oblastech, ve kterých klienti řeší své nejkomplexnější podnikatelské výzvy. Chcete-li se dozvědět více o způsobu, jakým zhruba </w:t>
                      </w:r>
                      <w:r>
                        <w:rPr>
                          <w:color w:val="000000" w:themeColor="text1"/>
                        </w:rPr>
                        <w:t>245</w:t>
                      </w:r>
                      <w:r w:rsidRPr="00745BE8">
                        <w:rPr>
                          <w:color w:val="000000" w:themeColor="text1"/>
                        </w:rPr>
                        <w:t xml:space="preserve"> 000 odborníků dělá to, co má pro klienty smysl, kontaktujte ná</w:t>
                      </w:r>
                      <w:r>
                        <w:rPr>
                          <w:color w:val="000000" w:themeColor="text1"/>
                        </w:rPr>
                        <w:t>s</w:t>
                      </w:r>
                      <w:r w:rsidRPr="00745BE8">
                        <w:rPr>
                          <w:color w:val="000000" w:themeColor="text1"/>
                        </w:rPr>
                        <w:t xml:space="preserve"> prostřednictvím sociálních sítí Facebook, LinkedIn či Twitter. </w:t>
                      </w:r>
                    </w:p>
                    <w:p w14:paraId="78B161B2" w14:textId="77777777" w:rsidR="00405DA8" w:rsidRPr="00745BE8" w:rsidRDefault="00405DA8" w:rsidP="007309F5">
                      <w:pPr>
                        <w:pStyle w:val="Legaltext"/>
                        <w:ind w:right="4890"/>
                        <w:rPr>
                          <w:color w:val="000000" w:themeColor="text1"/>
                        </w:rPr>
                      </w:pPr>
                    </w:p>
                    <w:p w14:paraId="47FDCFDE" w14:textId="77777777" w:rsidR="00405DA8" w:rsidRPr="00745BE8" w:rsidRDefault="00405DA8" w:rsidP="007309F5">
                      <w:pPr>
                        <w:pStyle w:val="Legaltext"/>
                        <w:ind w:right="4890"/>
                        <w:rPr>
                          <w:color w:val="000000" w:themeColor="text1"/>
                        </w:rPr>
                      </w:pPr>
                      <w:r w:rsidRPr="00745BE8">
                        <w:rPr>
                          <w:color w:val="000000" w:themeColor="text1"/>
                        </w:rPr>
                        <w:t xml:space="preserve">Společnost Deloitte ve střední Evropě je regionální organizací subjektů sdružených ve společnosti Deloitte Central Europe Holdings Limited, která je členskou firmou sdružení Deloitte Touche Tohmatsu Limited ve střední Evropě. Odborné služby poskytují dceřiné a přidružené podniky společnosti Deloitte Central Europe Holdings Limited, které jsou samostatnými a nezávislými právními subjekty. Dceřiné a přidružené podniky společnosti Deloitte Central Europe Holdings Limited patří ve středoevropském regionu k předním firmám poskytujícím služby prostřednictvím </w:t>
                      </w:r>
                      <w:r>
                        <w:rPr>
                          <w:color w:val="000000" w:themeColor="text1"/>
                        </w:rPr>
                        <w:t>více než</w:t>
                      </w:r>
                      <w:r w:rsidRPr="00745BE8">
                        <w:rPr>
                          <w:color w:val="000000" w:themeColor="text1"/>
                        </w:rPr>
                        <w:t xml:space="preserve"> 6 000 zaměstnanců ze</w:t>
                      </w:r>
                      <w:r>
                        <w:rPr>
                          <w:color w:val="000000" w:themeColor="text1"/>
                        </w:rPr>
                        <w:t> </w:t>
                      </w:r>
                      <w:r w:rsidRPr="00745BE8">
                        <w:rPr>
                          <w:color w:val="000000" w:themeColor="text1"/>
                        </w:rPr>
                        <w:t>4</w:t>
                      </w:r>
                      <w:r>
                        <w:rPr>
                          <w:color w:val="000000" w:themeColor="text1"/>
                        </w:rPr>
                        <w:t>4 </w:t>
                      </w:r>
                      <w:r w:rsidRPr="00745BE8">
                        <w:rPr>
                          <w:color w:val="000000" w:themeColor="text1"/>
                        </w:rPr>
                        <w:t>pracovišť v 18 zemích.</w:t>
                      </w:r>
                    </w:p>
                    <w:p w14:paraId="6F1C4832" w14:textId="77777777" w:rsidR="00405DA8" w:rsidRPr="00745BE8" w:rsidRDefault="00405DA8" w:rsidP="007309F5">
                      <w:pPr>
                        <w:pStyle w:val="Legaltext"/>
                        <w:ind w:right="4890"/>
                        <w:rPr>
                          <w:color w:val="000000" w:themeColor="text1"/>
                        </w:rPr>
                      </w:pPr>
                    </w:p>
                    <w:p w14:paraId="2B0A8A1F" w14:textId="77777777" w:rsidR="00405DA8" w:rsidRPr="00E373D2" w:rsidRDefault="00405DA8" w:rsidP="007309F5">
                      <w:pPr>
                        <w:pStyle w:val="Legaltext"/>
                        <w:ind w:right="4890"/>
                        <w:rPr>
                          <w:color w:val="000000" w:themeColor="text1"/>
                        </w:rPr>
                      </w:pPr>
                      <w:r w:rsidRPr="00745BE8">
                        <w:rPr>
                          <w:color w:val="000000" w:themeColor="text1"/>
                        </w:rPr>
                        <w:t>© 201</w:t>
                      </w:r>
                      <w:r>
                        <w:rPr>
                          <w:color w:val="000000" w:themeColor="text1"/>
                        </w:rPr>
                        <w:t>9</w:t>
                      </w:r>
                      <w:r w:rsidRPr="00745BE8">
                        <w:rPr>
                          <w:color w:val="000000" w:themeColor="text1"/>
                        </w:rPr>
                        <w:t xml:space="preserve"> Pro více informací kontaktujte Deloitte Česká republika</w:t>
                      </w:r>
                      <w:r w:rsidRPr="00E373D2">
                        <w:rPr>
                          <w:color w:val="000000" w:themeColor="text1"/>
                        </w:rPr>
                        <w:t>.</w:t>
                      </w:r>
                    </w:p>
                  </w:txbxContent>
                </v:textbox>
                <w10:wrap anchorx="page" anchory="page"/>
                <w10:anchorlock/>
              </v:rect>
            </w:pict>
          </mc:Fallback>
        </mc:AlternateContent>
      </w:r>
    </w:p>
    <w:sectPr w:rsidR="00BF6F8B" w:rsidRPr="001C351B" w:rsidSect="000276B9">
      <w:pgSz w:w="11906" w:h="16838" w:code="9"/>
      <w:pgMar w:top="1417" w:right="1417" w:bottom="1417" w:left="1417" w:header="680" w:footer="567" w:gutter="0"/>
      <w:cols w:space="284"/>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D06C24" w16cid:durableId="21744FED"/>
  <w16cid:commentId w16cid:paraId="0A164739" w16cid:durableId="217447F9"/>
  <w16cid:commentId w16cid:paraId="79FFC4B0" w16cid:durableId="217CF4CF"/>
  <w16cid:commentId w16cid:paraId="7B55E846" w16cid:durableId="21747165"/>
  <w16cid:commentId w16cid:paraId="74F4814C" w16cid:durableId="217466C6"/>
  <w16cid:commentId w16cid:paraId="29B01724" w16cid:durableId="21745877"/>
  <w16cid:commentId w16cid:paraId="7FD48209" w16cid:durableId="217462EE"/>
  <w16cid:commentId w16cid:paraId="23D67599" w16cid:durableId="21746B29"/>
  <w16cid:commentId w16cid:paraId="59223054" w16cid:durableId="217CF5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F393A" w14:textId="77777777" w:rsidR="00636534" w:rsidRDefault="00636534" w:rsidP="00C702C7">
      <w:pPr>
        <w:spacing w:after="0" w:line="240" w:lineRule="auto"/>
      </w:pPr>
      <w:r>
        <w:separator/>
      </w:r>
    </w:p>
    <w:p w14:paraId="2B135664" w14:textId="77777777" w:rsidR="00636534" w:rsidRDefault="00636534"/>
  </w:endnote>
  <w:endnote w:type="continuationSeparator" w:id="0">
    <w:p w14:paraId="547BD703" w14:textId="77777777" w:rsidR="00636534" w:rsidRDefault="00636534" w:rsidP="00C702C7">
      <w:pPr>
        <w:spacing w:after="0" w:line="240" w:lineRule="auto"/>
      </w:pPr>
      <w:r>
        <w:continuationSeparator/>
      </w:r>
    </w:p>
    <w:p w14:paraId="2DF47FFB" w14:textId="77777777" w:rsidR="00636534" w:rsidRDefault="006365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1"/>
    <w:family w:val="auto"/>
    <w:pitch w:val="default"/>
  </w:font>
  <w:font w:name="Verdana">
    <w:panose1 w:val="020B0604030504040204"/>
    <w:charset w:val="EE"/>
    <w:family w:val="swiss"/>
    <w:pitch w:val="variable"/>
    <w:sig w:usb0="A00006FF" w:usb1="4000205B" w:usb2="00000010" w:usb3="00000000" w:csb0="0000019F" w:csb1="00000000"/>
  </w:font>
  <w:font w:name="MingLiU">
    <w:altName w:val="細明體"/>
    <w:panose1 w:val="02010609000101010101"/>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216161"/>
      <w:docPartObj>
        <w:docPartGallery w:val="Page Numbers (Bottom of Page)"/>
        <w:docPartUnique/>
      </w:docPartObj>
    </w:sdtPr>
    <w:sdtEndPr>
      <w:rPr>
        <w:noProof/>
      </w:rPr>
    </w:sdtEndPr>
    <w:sdtContent>
      <w:p w14:paraId="533321EE" w14:textId="796B91D9" w:rsidR="00405DA8" w:rsidRDefault="00405DA8">
        <w:pPr>
          <w:pStyle w:val="Zpat"/>
          <w:jc w:val="right"/>
        </w:pPr>
        <w:r>
          <w:fldChar w:fldCharType="begin"/>
        </w:r>
        <w:r>
          <w:instrText xml:space="preserve"> PAGE   \* MERGEFORMAT </w:instrText>
        </w:r>
        <w:r>
          <w:fldChar w:fldCharType="separate"/>
        </w:r>
        <w:r w:rsidR="002D0AE9">
          <w:rPr>
            <w:noProof/>
          </w:rPr>
          <w:t>31</w:t>
        </w:r>
        <w:r>
          <w:rPr>
            <w:noProof/>
          </w:rPr>
          <w:fldChar w:fldCharType="end"/>
        </w:r>
      </w:p>
    </w:sdtContent>
  </w:sdt>
  <w:p w14:paraId="6BA97A2E" w14:textId="77777777" w:rsidR="00405DA8" w:rsidRPr="00904097" w:rsidRDefault="00405DA8" w:rsidP="00904097">
    <w:pPr>
      <w:pStyle w:val="Zpat"/>
      <w:spacing w:line="240" w:lineRule="auto"/>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4372"/>
      <w:docPartObj>
        <w:docPartGallery w:val="Page Numbers (Bottom of Page)"/>
        <w:docPartUnique/>
      </w:docPartObj>
    </w:sdtPr>
    <w:sdtEndPr>
      <w:rPr>
        <w:noProof/>
      </w:rPr>
    </w:sdtEndPr>
    <w:sdtContent>
      <w:p w14:paraId="39735766" w14:textId="69ACD193" w:rsidR="00405DA8" w:rsidRDefault="00405DA8">
        <w:pPr>
          <w:pStyle w:val="Zpat"/>
          <w:jc w:val="right"/>
        </w:pPr>
        <w:r>
          <w:fldChar w:fldCharType="begin"/>
        </w:r>
        <w:r>
          <w:instrText xml:space="preserve"> PAGE   \* MERGEFORMAT </w:instrText>
        </w:r>
        <w:r>
          <w:fldChar w:fldCharType="separate"/>
        </w:r>
        <w:r w:rsidR="002D0AE9">
          <w:rPr>
            <w:noProof/>
          </w:rPr>
          <w:t>35</w:t>
        </w:r>
        <w:r>
          <w:rPr>
            <w:noProof/>
          </w:rPr>
          <w:fldChar w:fldCharType="end"/>
        </w:r>
      </w:p>
    </w:sdtContent>
  </w:sdt>
  <w:p w14:paraId="18ECB162" w14:textId="77777777" w:rsidR="00405DA8" w:rsidRPr="00904097" w:rsidRDefault="00405DA8" w:rsidP="00904097">
    <w:pPr>
      <w:pStyle w:val="Zpat"/>
      <w:spacing w:line="240" w:lineRule="auto"/>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877C2" w14:textId="77777777" w:rsidR="00636534" w:rsidRDefault="00636534" w:rsidP="00C702C7">
      <w:pPr>
        <w:spacing w:after="0" w:line="240" w:lineRule="auto"/>
      </w:pPr>
      <w:r>
        <w:separator/>
      </w:r>
    </w:p>
    <w:p w14:paraId="6C773A58" w14:textId="77777777" w:rsidR="00636534" w:rsidRDefault="00636534"/>
  </w:footnote>
  <w:footnote w:type="continuationSeparator" w:id="0">
    <w:p w14:paraId="4BB548B3" w14:textId="77777777" w:rsidR="00636534" w:rsidRDefault="00636534" w:rsidP="00C702C7">
      <w:pPr>
        <w:spacing w:after="0" w:line="240" w:lineRule="auto"/>
      </w:pPr>
      <w:r>
        <w:continuationSeparator/>
      </w:r>
    </w:p>
    <w:p w14:paraId="04B2DBB0" w14:textId="77777777" w:rsidR="00636534" w:rsidRDefault="00636534"/>
  </w:footnote>
  <w:footnote w:id="1">
    <w:p w14:paraId="601E8736" w14:textId="77777777" w:rsidR="00405DA8" w:rsidRDefault="00405DA8" w:rsidP="0028578A">
      <w:pPr>
        <w:pStyle w:val="Textpoznpodarou"/>
      </w:pPr>
      <w:r>
        <w:rPr>
          <w:rStyle w:val="Znakapoznpodarou"/>
        </w:rPr>
        <w:footnoteRef/>
      </w:r>
      <w:r>
        <w:t xml:space="preserve"> Projekt se v souladu se zadáním Zadavatele nezaměřuje na </w:t>
      </w:r>
      <w:r w:rsidRPr="0030284C">
        <w:t>zprostředkující subjekty ITI</w:t>
      </w:r>
      <w:r>
        <w:t>.</w:t>
      </w:r>
    </w:p>
  </w:footnote>
  <w:footnote w:id="2">
    <w:p w14:paraId="0E35FB09" w14:textId="77777777" w:rsidR="00405DA8" w:rsidRPr="00763B00" w:rsidRDefault="00405DA8" w:rsidP="0028578A">
      <w:pPr>
        <w:pStyle w:val="Textpoznpodarou"/>
      </w:pPr>
      <w:r>
        <w:rPr>
          <w:rStyle w:val="Znakapoznpodarou"/>
        </w:rPr>
        <w:footnoteRef/>
      </w:r>
      <w:r>
        <w:t xml:space="preserve"> Metodický dokument </w:t>
      </w:r>
      <w:r w:rsidRPr="00763B00">
        <w:rPr>
          <w:i/>
        </w:rPr>
        <w:t>Průvodce procesní evaluací</w:t>
      </w:r>
      <w:r>
        <w:t xml:space="preserve"> rozlišuje dva hlavní typy klientů ESIF, občany ČR coby konečné klienty služeb ŘO a podpořené podnikatelské subjekty.</w:t>
      </w:r>
    </w:p>
  </w:footnote>
  <w:footnote w:id="3">
    <w:p w14:paraId="47EC48A2" w14:textId="77777777" w:rsidR="00405DA8" w:rsidRDefault="00405DA8" w:rsidP="004016AA">
      <w:pPr>
        <w:pStyle w:val="Textpoznpodarou"/>
      </w:pPr>
      <w:r>
        <w:rPr>
          <w:rStyle w:val="Znakapoznpodarou"/>
        </w:rPr>
        <w:footnoteRef/>
      </w:r>
      <w:r>
        <w:t xml:space="preserve"> Přesné znění: „</w:t>
      </w:r>
      <w:r w:rsidRPr="00E93B7B">
        <w:t>Odpovídá skutečná realizace procesů postupům uvedeným v metodických dokumentech?</w:t>
      </w:r>
      <w:r>
        <w:t>“</w:t>
      </w:r>
    </w:p>
  </w:footnote>
  <w:footnote w:id="4">
    <w:p w14:paraId="4EAB49D0" w14:textId="77777777" w:rsidR="00405DA8" w:rsidRDefault="00405DA8" w:rsidP="00E532C2">
      <w:pPr>
        <w:pStyle w:val="Textpoznpodarou"/>
      </w:pPr>
      <w:r>
        <w:rPr>
          <w:rStyle w:val="Znakapoznpodarou"/>
        </w:rPr>
        <w:footnoteRef/>
      </w:r>
      <w:r>
        <w:t xml:space="preserve"> Transakční bod je definován metodou Vanguard jako místo, přes které klienti poptávají reakci organizace. </w:t>
      </w:r>
    </w:p>
  </w:footnote>
  <w:footnote w:id="5">
    <w:p w14:paraId="1C3B9E09" w14:textId="77777777" w:rsidR="00405DA8" w:rsidRDefault="00405DA8" w:rsidP="00933261">
      <w:pPr>
        <w:pStyle w:val="Textpoznpodarou"/>
      </w:pPr>
      <w:r>
        <w:rPr>
          <w:rStyle w:val="Znakapoznpodarou"/>
        </w:rPr>
        <w:footnoteRef/>
      </w:r>
      <w:r>
        <w:t xml:space="preserve"> Může jít např. o činnosti s nízkou přidanou hodnotou a vysokou zátěží pro jejich vykonavatele (zejména žadatele/příjemci, ale i pracovníky implementační struktury), o práci vykonávanou znovu, protože napoprvé nebyla vykonána správně, duplicitní činnosti vykonávané více lidmi, řešení problémů místo příčin, organizování a navštěvování nepotřebných jednání apod.</w:t>
      </w:r>
    </w:p>
  </w:footnote>
  <w:footnote w:id="6">
    <w:p w14:paraId="362A8135" w14:textId="77777777" w:rsidR="00405DA8" w:rsidRDefault="00405DA8" w:rsidP="00933261">
      <w:pPr>
        <w:pStyle w:val="Textpoznpodarou"/>
        <w:jc w:val="both"/>
      </w:pPr>
      <w:r>
        <w:rPr>
          <w:rStyle w:val="Znakapoznpodarou"/>
        </w:rPr>
        <w:footnoteRef/>
      </w:r>
      <w:r>
        <w:t xml:space="preserve"> Dodavatel může k této části využít poznatky z analýzy </w:t>
      </w:r>
      <w:hyperlink r:id="rId1" w:history="1">
        <w:r w:rsidRPr="00DB5368">
          <w:rPr>
            <w:rStyle w:val="Hypertextovodkaz"/>
            <w:i/>
          </w:rPr>
          <w:t>Doba trvání proplácení žádostí o platbu vybraných OP v Česku</w:t>
        </w:r>
      </w:hyperlink>
      <w:r w:rsidRPr="00610C32">
        <w:t xml:space="preserve"> </w:t>
      </w:r>
      <w:r>
        <w:t>realizované Ministerstvem pro místní rozvoj (dále jen „MMR“) v r. 2018.</w:t>
      </w:r>
    </w:p>
  </w:footnote>
  <w:footnote w:id="7">
    <w:p w14:paraId="17ABA21A" w14:textId="77777777" w:rsidR="00405DA8" w:rsidRDefault="00405DA8" w:rsidP="00933261">
      <w:pPr>
        <w:pStyle w:val="Textpoznpodarou"/>
        <w:jc w:val="both"/>
      </w:pPr>
      <w:r>
        <w:rPr>
          <w:rStyle w:val="Znakapoznpodarou"/>
          <w:rFonts w:eastAsiaTheme="majorEastAsia"/>
        </w:rPr>
        <w:footnoteRef/>
      </w:r>
      <w:r>
        <w:t xml:space="preserve"> Dodavatel může k této části využít poznatky z </w:t>
      </w:r>
      <w:r w:rsidRPr="00DB5368">
        <w:rPr>
          <w:i/>
        </w:rPr>
        <w:t>Evaluace metodického prostředí z pohledu implementační struktury</w:t>
      </w:r>
      <w:r>
        <w:t xml:space="preserve"> realizované </w:t>
      </w:r>
      <w:r w:rsidRPr="00DB5368">
        <w:t>MMR</w:t>
      </w:r>
      <w:r>
        <w:t xml:space="preserve"> v r.</w:t>
      </w:r>
      <w:r w:rsidRPr="00DB5368">
        <w:t xml:space="preserve"> 2019 (dostupné na vyžádání)</w:t>
      </w:r>
      <w:r>
        <w:t>.</w:t>
      </w:r>
    </w:p>
  </w:footnote>
  <w:footnote w:id="8">
    <w:p w14:paraId="2E767CBD" w14:textId="77777777" w:rsidR="00405DA8" w:rsidRDefault="00405DA8" w:rsidP="00860359">
      <w:pPr>
        <w:pStyle w:val="Textpoznpodarou"/>
      </w:pPr>
      <w:r>
        <w:rPr>
          <w:rStyle w:val="Znakapoznpodarou"/>
        </w:rPr>
        <w:footnoteRef/>
      </w:r>
      <w:r>
        <w:t xml:space="preserve"> Počty pracovníků implementační struktury jsou orientační na základě dostupných interních a veřejných zdrojů dat MPO, API a ČMZRB. Finální počet celkového počtu pracovníků implementační struktury a tím pádem i reprezentativního vzorku bude upraven s ohledem na výběr příslušných oddělení a odborů v rámci validace se Zadavatelem, API a ČMZRB. </w:t>
      </w:r>
    </w:p>
  </w:footnote>
  <w:footnote w:id="9">
    <w:p w14:paraId="129C2878" w14:textId="77777777" w:rsidR="00405DA8" w:rsidRDefault="00405DA8" w:rsidP="0028578A">
      <w:pPr>
        <w:pStyle w:val="Textpoznpodarou"/>
      </w:pPr>
      <w:r>
        <w:rPr>
          <w:rStyle w:val="Znakapoznpodarou"/>
        </w:rPr>
        <w:footnoteRef/>
      </w:r>
      <w:r>
        <w:t xml:space="preserve"> Počítáno s odchylkou </w:t>
      </w:r>
      <w:r w:rsidRPr="00AC4A07">
        <w:t>5 %.</w:t>
      </w:r>
      <w:r>
        <w:t xml:space="preserve"> </w:t>
      </w:r>
    </w:p>
  </w:footnote>
  <w:footnote w:id="10">
    <w:p w14:paraId="0BC933DA" w14:textId="77777777" w:rsidR="00405DA8" w:rsidRDefault="00405DA8">
      <w:pPr>
        <w:pStyle w:val="Textpoznpodarou"/>
      </w:pPr>
      <w:r>
        <w:rPr>
          <w:rStyle w:val="Znakapoznpodarou"/>
        </w:rPr>
        <w:footnoteRef/>
      </w:r>
      <w:r>
        <w:t xml:space="preserve"> V závislosti od skutečného termínu akceptace výstupu předchozí fáze. </w:t>
      </w:r>
    </w:p>
  </w:footnote>
  <w:footnote w:id="11">
    <w:p w14:paraId="40D6E4C6" w14:textId="77777777" w:rsidR="00405DA8" w:rsidRDefault="00405DA8" w:rsidP="000E5FC1">
      <w:pPr>
        <w:pStyle w:val="Textpoznpodarou"/>
      </w:pPr>
      <w:r>
        <w:rPr>
          <w:rStyle w:val="Znakapoznpodarou"/>
        </w:rPr>
        <w:footnoteRef/>
      </w:r>
      <w:r>
        <w:t xml:space="preserve"> V závislosti od skutečného termínu akceptace výstupu předchozí fáze. </w:t>
      </w:r>
    </w:p>
  </w:footnote>
  <w:footnote w:id="12">
    <w:p w14:paraId="1715C25D" w14:textId="77777777" w:rsidR="00405DA8" w:rsidRDefault="00405DA8" w:rsidP="0092664E">
      <w:pPr>
        <w:pStyle w:val="Textpoznpodarou"/>
      </w:pPr>
      <w:r>
        <w:rPr>
          <w:rStyle w:val="Znakapoznpodarou"/>
        </w:rPr>
        <w:footnoteRef/>
      </w:r>
      <w:r>
        <w:rPr>
          <w:rStyle w:val="Znakapoznpodarou"/>
        </w:rPr>
        <w:tab/>
      </w:r>
      <w:r>
        <w:t xml:space="preserve"> Hypotézy budou odvozené z evaluačních otázek validovaných Zadavatelem.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E8354" w14:textId="2D5B203D" w:rsidR="00405DA8" w:rsidRPr="00D36E73" w:rsidRDefault="00405DA8">
    <w:pPr>
      <w:pStyle w:val="Zhlav"/>
      <w:rPr>
        <w:b w:val="0"/>
      </w:rPr>
    </w:pPr>
    <w:r>
      <w:rPr>
        <w:noProof/>
      </w:rPr>
      <w:fldChar w:fldCharType="begin"/>
    </w:r>
    <w:r>
      <w:rPr>
        <w:noProof/>
      </w:rPr>
      <w:instrText xml:space="preserve"> STYLEREF  "Document title"  \* MERGEFORMAT </w:instrText>
    </w:r>
    <w:r>
      <w:rPr>
        <w:noProof/>
      </w:rPr>
      <w:fldChar w:fldCharType="separate"/>
    </w:r>
    <w:r w:rsidR="002D0AE9">
      <w:rPr>
        <w:noProof/>
      </w:rPr>
      <w:t>Evaluace administrativních postupů implementační struktury OP PIK</w:t>
    </w:r>
    <w:r>
      <w:rPr>
        <w:noProof/>
      </w:rPr>
      <w:fldChar w:fldCharType="end"/>
    </w:r>
    <w:r w:rsidRPr="00D36E73">
      <w:rPr>
        <w:b w:val="0"/>
      </w:rPr>
      <w:t xml:space="preserve"> | </w:t>
    </w:r>
    <w:r w:rsidRPr="00EE6D67">
      <w:rPr>
        <w:b w:val="0"/>
        <w:lang w:val="cs-CZ"/>
      </w:rPr>
      <w:t>Vstupní zpráva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29FCC" w14:textId="2BBA6AE0" w:rsidR="00405DA8" w:rsidRPr="008962D0" w:rsidRDefault="00405DA8">
    <w:pPr>
      <w:pStyle w:val="Zhlav"/>
      <w:rPr>
        <w:b w:val="0"/>
      </w:rPr>
    </w:pPr>
    <w:r>
      <w:rPr>
        <w:noProof/>
      </w:rPr>
      <w:fldChar w:fldCharType="begin"/>
    </w:r>
    <w:r>
      <w:rPr>
        <w:noProof/>
      </w:rPr>
      <w:instrText xml:space="preserve"> STYLEREF  "Document title"  \* MERGEFORMAT </w:instrText>
    </w:r>
    <w:r>
      <w:rPr>
        <w:noProof/>
      </w:rPr>
      <w:fldChar w:fldCharType="separate"/>
    </w:r>
    <w:r w:rsidR="002D0AE9">
      <w:rPr>
        <w:noProof/>
      </w:rPr>
      <w:t>Evaluace administrativních postupů implementační struktury OP PIK</w:t>
    </w:r>
    <w:r>
      <w:rPr>
        <w:noProof/>
      </w:rPr>
      <w:fldChar w:fldCharType="end"/>
    </w:r>
    <w:r w:rsidRPr="00D36E73">
      <w:rPr>
        <w:b w:val="0"/>
      </w:rPr>
      <w:t xml:space="preserve"> | </w:t>
    </w:r>
    <w:r w:rsidRPr="00EE6D67">
      <w:rPr>
        <w:b w:val="0"/>
        <w:lang w:val="cs-CZ"/>
      </w:rPr>
      <w:t>Vstupní zpráva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w14:anchorId="66E75EB1" id="_x0000_i1030" style="width:8.25pt;height:8.25pt" coordsize="" o:spt="100" o:bullet="t" adj="0,,0" path="" stroked="f">
        <v:stroke joinstyle="miter"/>
        <v:imagedata r:id="rId1" o:title=""/>
        <v:formulas/>
        <v:path o:connecttype="segments"/>
      </v:shape>
    </w:pict>
  </w:numPicBullet>
  <w:numPicBullet w:numPicBulletId="1">
    <w:pict>
      <v:shape id="_x0000_i1031" style="width:8.25pt;height:8.25pt" coordsize="" o:spt="100" o:bullet="t" adj="0,,0" path="" stroked="f">
        <v:stroke joinstyle="miter"/>
        <v:imagedata r:id="rId2" o:title=""/>
        <v:formulas/>
        <v:path o:connecttype="segments"/>
      </v:shape>
    </w:pict>
  </w:numPicBullet>
  <w:numPicBullet w:numPicBulletI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94.75pt;height:294.75pt" o:bullet="t">
        <v:imagedata r:id="rId3" o:title="fajfka2"/>
      </v:shape>
    </w:pict>
  </w:numPicBullet>
  <w:numPicBullet w:numPicBulletId="3">
    <w:pict>
      <v:shape w14:anchorId="1183442A" id="_x0000_i1033" type="#_x0000_t75" style="width:22.5pt;height:21pt" o:bullet="t">
        <v:imagedata r:id="rId4" o:title="kriz"/>
      </v:shape>
    </w:pict>
  </w:numPicBullet>
  <w:abstractNum w:abstractNumId="0" w15:restartNumberingAfterBreak="0">
    <w:nsid w:val="FFFFFF7F"/>
    <w:multiLevelType w:val="singleLevel"/>
    <w:tmpl w:val="1DA8222E"/>
    <w:lvl w:ilvl="0">
      <w:start w:val="1"/>
      <w:numFmt w:val="lowerLetter"/>
      <w:pStyle w:val="slovanseznam2"/>
      <w:lvlText w:val="%1."/>
      <w:lvlJc w:val="left"/>
      <w:pPr>
        <w:ind w:left="10000" w:hanging="360"/>
      </w:pPr>
    </w:lvl>
  </w:abstractNum>
  <w:abstractNum w:abstractNumId="1" w15:restartNumberingAfterBreak="0">
    <w:nsid w:val="FFFFFF83"/>
    <w:multiLevelType w:val="singleLevel"/>
    <w:tmpl w:val="8EAA911C"/>
    <w:lvl w:ilvl="0">
      <w:start w:val="1"/>
      <w:numFmt w:val="bullet"/>
      <w:pStyle w:val="Seznamsodrkami2"/>
      <w:lvlText w:val="‒"/>
      <w:lvlJc w:val="left"/>
      <w:pPr>
        <w:ind w:left="587" w:hanging="360"/>
      </w:pPr>
      <w:rPr>
        <w:rFonts w:ascii="Calibri" w:hAnsi="Calibri" w:hint="default"/>
      </w:rPr>
    </w:lvl>
  </w:abstractNum>
  <w:abstractNum w:abstractNumId="2" w15:restartNumberingAfterBreak="0">
    <w:nsid w:val="FFFFFF88"/>
    <w:multiLevelType w:val="singleLevel"/>
    <w:tmpl w:val="F716B3DA"/>
    <w:lvl w:ilvl="0">
      <w:start w:val="1"/>
      <w:numFmt w:val="decimal"/>
      <w:pStyle w:val="slovanseznam"/>
      <w:lvlText w:val="%1."/>
      <w:lvlJc w:val="left"/>
      <w:pPr>
        <w:tabs>
          <w:tab w:val="num" w:pos="360"/>
        </w:tabs>
        <w:ind w:left="360" w:hanging="360"/>
      </w:pPr>
    </w:lvl>
  </w:abstractNum>
  <w:abstractNum w:abstractNumId="3" w15:restartNumberingAfterBreak="0">
    <w:nsid w:val="FFFFFF89"/>
    <w:multiLevelType w:val="singleLevel"/>
    <w:tmpl w:val="2A4026B0"/>
    <w:lvl w:ilvl="0">
      <w:start w:val="1"/>
      <w:numFmt w:val="bullet"/>
      <w:pStyle w:val="Seznamsodrkami"/>
      <w:lvlText w:val=""/>
      <w:lvlJc w:val="left"/>
      <w:pPr>
        <w:tabs>
          <w:tab w:val="num" w:pos="360"/>
        </w:tabs>
        <w:ind w:left="360" w:hanging="360"/>
      </w:pPr>
      <w:rPr>
        <w:rFonts w:ascii="Symbol" w:hAnsi="Symbol" w:hint="default"/>
      </w:rPr>
    </w:lvl>
  </w:abstractNum>
  <w:abstractNum w:abstractNumId="4" w15:restartNumberingAfterBreak="0">
    <w:nsid w:val="001D7D6D"/>
    <w:multiLevelType w:val="hybridMultilevel"/>
    <w:tmpl w:val="AE0ED892"/>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13459AB"/>
    <w:multiLevelType w:val="hybridMultilevel"/>
    <w:tmpl w:val="6574A6A2"/>
    <w:lvl w:ilvl="0" w:tplc="D0CA4B2A">
      <w:start w:val="1"/>
      <w:numFmt w:val="decimal"/>
      <w:pStyle w:val="Table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1D9150F"/>
    <w:multiLevelType w:val="multilevel"/>
    <w:tmpl w:val="075E155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49B6739"/>
    <w:multiLevelType w:val="hybridMultilevel"/>
    <w:tmpl w:val="980EFA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6AD50B7"/>
    <w:multiLevelType w:val="multilevel"/>
    <w:tmpl w:val="6B3441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7393D3C"/>
    <w:multiLevelType w:val="hybridMultilevel"/>
    <w:tmpl w:val="E76CA024"/>
    <w:lvl w:ilvl="0" w:tplc="0405000F">
      <w:start w:val="1"/>
      <w:numFmt w:val="decimal"/>
      <w:lvlText w:val="%1."/>
      <w:lvlJc w:val="left"/>
      <w:pPr>
        <w:ind w:left="783" w:hanging="360"/>
      </w:p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10" w15:restartNumberingAfterBreak="0">
    <w:nsid w:val="07934654"/>
    <w:multiLevelType w:val="hybridMultilevel"/>
    <w:tmpl w:val="8DB838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87E722C"/>
    <w:multiLevelType w:val="hybridMultilevel"/>
    <w:tmpl w:val="BAA84A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9AC2BE0"/>
    <w:multiLevelType w:val="hybridMultilevel"/>
    <w:tmpl w:val="49E2D7F6"/>
    <w:lvl w:ilvl="0" w:tplc="6014505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E550660"/>
    <w:multiLevelType w:val="hybridMultilevel"/>
    <w:tmpl w:val="166ECADA"/>
    <w:lvl w:ilvl="0" w:tplc="60145056">
      <w:start w:val="1"/>
      <w:numFmt w:val="upperRoman"/>
      <w:lvlText w:val="%1."/>
      <w:lvlJc w:val="left"/>
      <w:pPr>
        <w:ind w:left="3839"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FB12388"/>
    <w:multiLevelType w:val="hybridMultilevel"/>
    <w:tmpl w:val="9C76CF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0A7084A"/>
    <w:multiLevelType w:val="hybridMultilevel"/>
    <w:tmpl w:val="4CE09CF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1CB33EDA"/>
    <w:multiLevelType w:val="hybridMultilevel"/>
    <w:tmpl w:val="C1EAD0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0D009A1"/>
    <w:multiLevelType w:val="hybridMultilevel"/>
    <w:tmpl w:val="476AFD3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20E65F97"/>
    <w:multiLevelType w:val="multilevel"/>
    <w:tmpl w:val="F1E8EC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44C2508"/>
    <w:multiLevelType w:val="multilevel"/>
    <w:tmpl w:val="B0BA817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90F70A9"/>
    <w:multiLevelType w:val="hybridMultilevel"/>
    <w:tmpl w:val="A60814B8"/>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C322531"/>
    <w:multiLevelType w:val="hybridMultilevel"/>
    <w:tmpl w:val="F3EA04D2"/>
    <w:lvl w:ilvl="0" w:tplc="9114353C">
      <w:start w:val="1"/>
      <w:numFmt w:val="bullet"/>
      <w:lvlText w:val=""/>
      <w:lvlPicBulletId w:val="2"/>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C323810"/>
    <w:multiLevelType w:val="hybridMultilevel"/>
    <w:tmpl w:val="0B76FF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D636952"/>
    <w:multiLevelType w:val="hybridMultilevel"/>
    <w:tmpl w:val="772658F2"/>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2E901260"/>
    <w:multiLevelType w:val="hybridMultilevel"/>
    <w:tmpl w:val="22B6E338"/>
    <w:lvl w:ilvl="0" w:tplc="04050001">
      <w:start w:val="1"/>
      <w:numFmt w:val="bullet"/>
      <w:lvlText w:val=""/>
      <w:lvlJc w:val="left"/>
      <w:pPr>
        <w:ind w:left="783" w:hanging="360"/>
      </w:pPr>
      <w:rPr>
        <w:rFonts w:ascii="Symbol" w:hAnsi="Symbol"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25" w15:restartNumberingAfterBreak="0">
    <w:nsid w:val="30C0727D"/>
    <w:multiLevelType w:val="multilevel"/>
    <w:tmpl w:val="D8F856A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335A4293"/>
    <w:multiLevelType w:val="multilevel"/>
    <w:tmpl w:val="A398A810"/>
    <w:lvl w:ilvl="0">
      <w:start w:val="1"/>
      <w:numFmt w:val="bullet"/>
      <w:lvlText w:val="•"/>
      <w:lvlPicBulletId w:val="0"/>
      <w:lvlJc w:val="left"/>
      <w:pPr>
        <w:ind w:left="720" w:hanging="360"/>
      </w:pPr>
      <w:rPr>
        <w:rFonts w:ascii="Symbol" w:hAnsi="Symbol" w:cs="Symbol" w:hint="default"/>
        <w:color w:val="00000A"/>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34FE2DDD"/>
    <w:multiLevelType w:val="hybridMultilevel"/>
    <w:tmpl w:val="CA628A0A"/>
    <w:lvl w:ilvl="0" w:tplc="0BAC49B2">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AE431C"/>
    <w:multiLevelType w:val="hybridMultilevel"/>
    <w:tmpl w:val="7E7869BC"/>
    <w:lvl w:ilvl="0" w:tplc="4724977C">
      <w:start w:val="1"/>
      <w:numFmt w:val="bullet"/>
      <w:lvlText w:val=""/>
      <w:lvlPicBulletId w:val="3"/>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2836189"/>
    <w:multiLevelType w:val="hybridMultilevel"/>
    <w:tmpl w:val="C2109074"/>
    <w:lvl w:ilvl="0" w:tplc="6014505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9E81A17"/>
    <w:multiLevelType w:val="hybridMultilevel"/>
    <w:tmpl w:val="21DC38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B705EB5"/>
    <w:multiLevelType w:val="hybridMultilevel"/>
    <w:tmpl w:val="199267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2316950"/>
    <w:multiLevelType w:val="hybridMultilevel"/>
    <w:tmpl w:val="FEF820CA"/>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5B4D6275"/>
    <w:multiLevelType w:val="hybridMultilevel"/>
    <w:tmpl w:val="C69CF754"/>
    <w:lvl w:ilvl="0" w:tplc="4724977C">
      <w:start w:val="1"/>
      <w:numFmt w:val="bullet"/>
      <w:lvlText w:val=""/>
      <w:lvlPicBulletId w:val="3"/>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CB60A69"/>
    <w:multiLevelType w:val="hybridMultilevel"/>
    <w:tmpl w:val="7F4612E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5" w15:restartNumberingAfterBreak="0">
    <w:nsid w:val="5E1506F5"/>
    <w:multiLevelType w:val="hybridMultilevel"/>
    <w:tmpl w:val="0DCEED08"/>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6" w15:restartNumberingAfterBreak="0">
    <w:nsid w:val="60957C3F"/>
    <w:multiLevelType w:val="multilevel"/>
    <w:tmpl w:val="9B941C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617873B4"/>
    <w:multiLevelType w:val="hybridMultilevel"/>
    <w:tmpl w:val="D9B6BF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4985716"/>
    <w:multiLevelType w:val="hybridMultilevel"/>
    <w:tmpl w:val="4718DE62"/>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9" w15:restartNumberingAfterBreak="0">
    <w:nsid w:val="655416EC"/>
    <w:multiLevelType w:val="hybridMultilevel"/>
    <w:tmpl w:val="B29ED518"/>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15:restartNumberingAfterBreak="0">
    <w:nsid w:val="679E6840"/>
    <w:multiLevelType w:val="hybridMultilevel"/>
    <w:tmpl w:val="67FE19F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1" w15:restartNumberingAfterBreak="0">
    <w:nsid w:val="680A1587"/>
    <w:multiLevelType w:val="hybridMultilevel"/>
    <w:tmpl w:val="193429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94552C4"/>
    <w:multiLevelType w:val="hybridMultilevel"/>
    <w:tmpl w:val="CBA65D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E853C6F"/>
    <w:multiLevelType w:val="hybridMultilevel"/>
    <w:tmpl w:val="818AFD28"/>
    <w:lvl w:ilvl="0" w:tplc="7BDAE84E">
      <w:start w:val="19"/>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3A12D67"/>
    <w:multiLevelType w:val="hybridMultilevel"/>
    <w:tmpl w:val="1C345AE6"/>
    <w:lvl w:ilvl="0" w:tplc="04050001">
      <w:start w:val="1"/>
      <w:numFmt w:val="bullet"/>
      <w:lvlText w:val=""/>
      <w:lvlJc w:val="left"/>
      <w:pPr>
        <w:ind w:left="783" w:hanging="360"/>
      </w:pPr>
      <w:rPr>
        <w:rFonts w:ascii="Symbol" w:hAnsi="Symbol" w:hint="default"/>
      </w:rPr>
    </w:lvl>
    <w:lvl w:ilvl="1" w:tplc="04050003">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45" w15:restartNumberingAfterBreak="0">
    <w:nsid w:val="77721648"/>
    <w:multiLevelType w:val="multilevel"/>
    <w:tmpl w:val="1BE2043A"/>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20" w:hanging="360"/>
      </w:pPr>
      <w:rPr>
        <w:rFonts w:hint="default"/>
      </w:rPr>
    </w:lvl>
    <w:lvl w:ilvl="2">
      <w:start w:val="1"/>
      <w:numFmt w:val="decimal"/>
      <w:pStyle w:val="Nadpis3"/>
      <w:lvlText w:val="%1.%2.%3"/>
      <w:lvlJc w:val="left"/>
      <w:pPr>
        <w:ind w:left="1080" w:hanging="360"/>
      </w:pPr>
      <w:rPr>
        <w:rFonts w:hint="default"/>
      </w:rPr>
    </w:lvl>
    <w:lvl w:ilvl="3">
      <w:start w:val="1"/>
      <w:numFmt w:val="decimal"/>
      <w:pStyle w:val="Nadpis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AE318DC"/>
    <w:multiLevelType w:val="multilevel"/>
    <w:tmpl w:val="D834EDD4"/>
    <w:lvl w:ilvl="0">
      <w:start w:val="1"/>
      <w:numFmt w:val="bullet"/>
      <w:lvlText w:val="•"/>
      <w:lvlPicBulletId w:val="1"/>
      <w:lvlJc w:val="left"/>
      <w:pPr>
        <w:ind w:left="720" w:hanging="360"/>
      </w:pPr>
      <w:rPr>
        <w:rFonts w:ascii="Symbol" w:hAnsi="Symbol" w:cs="Symbol" w:hint="default"/>
        <w:color w:val="00000A"/>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7D1C602E"/>
    <w:multiLevelType w:val="hybridMultilevel"/>
    <w:tmpl w:val="2D52F3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F471C8E"/>
    <w:multiLevelType w:val="hybridMultilevel"/>
    <w:tmpl w:val="810E7F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27"/>
  </w:num>
  <w:num w:numId="6">
    <w:abstractNumId w:val="5"/>
  </w:num>
  <w:num w:numId="7">
    <w:abstractNumId w:val="45"/>
  </w:num>
  <w:num w:numId="8">
    <w:abstractNumId w:val="13"/>
  </w:num>
  <w:num w:numId="9">
    <w:abstractNumId w:val="25"/>
  </w:num>
  <w:num w:numId="10">
    <w:abstractNumId w:val="19"/>
  </w:num>
  <w:num w:numId="11">
    <w:abstractNumId w:val="18"/>
  </w:num>
  <w:num w:numId="12">
    <w:abstractNumId w:val="4"/>
  </w:num>
  <w:num w:numId="13">
    <w:abstractNumId w:val="23"/>
  </w:num>
  <w:num w:numId="14">
    <w:abstractNumId w:val="34"/>
  </w:num>
  <w:num w:numId="15">
    <w:abstractNumId w:val="35"/>
  </w:num>
  <w:num w:numId="16">
    <w:abstractNumId w:val="38"/>
  </w:num>
  <w:num w:numId="17">
    <w:abstractNumId w:val="39"/>
  </w:num>
  <w:num w:numId="18">
    <w:abstractNumId w:val="43"/>
  </w:num>
  <w:num w:numId="19">
    <w:abstractNumId w:val="26"/>
  </w:num>
  <w:num w:numId="20">
    <w:abstractNumId w:val="46"/>
  </w:num>
  <w:num w:numId="21">
    <w:abstractNumId w:val="21"/>
  </w:num>
  <w:num w:numId="22">
    <w:abstractNumId w:val="33"/>
  </w:num>
  <w:num w:numId="23">
    <w:abstractNumId w:val="31"/>
  </w:num>
  <w:num w:numId="24">
    <w:abstractNumId w:val="28"/>
  </w:num>
  <w:num w:numId="25">
    <w:abstractNumId w:val="36"/>
  </w:num>
  <w:num w:numId="26">
    <w:abstractNumId w:val="48"/>
  </w:num>
  <w:num w:numId="27">
    <w:abstractNumId w:val="32"/>
  </w:num>
  <w:num w:numId="28">
    <w:abstractNumId w:val="16"/>
  </w:num>
  <w:num w:numId="29">
    <w:abstractNumId w:val="15"/>
  </w:num>
  <w:num w:numId="30">
    <w:abstractNumId w:val="9"/>
  </w:num>
  <w:num w:numId="31">
    <w:abstractNumId w:val="14"/>
  </w:num>
  <w:num w:numId="32">
    <w:abstractNumId w:val="30"/>
  </w:num>
  <w:num w:numId="33">
    <w:abstractNumId w:val="12"/>
  </w:num>
  <w:num w:numId="34">
    <w:abstractNumId w:val="8"/>
  </w:num>
  <w:num w:numId="35">
    <w:abstractNumId w:val="6"/>
  </w:num>
  <w:num w:numId="36">
    <w:abstractNumId w:val="37"/>
  </w:num>
  <w:num w:numId="37">
    <w:abstractNumId w:val="22"/>
  </w:num>
  <w:num w:numId="38">
    <w:abstractNumId w:val="20"/>
  </w:num>
  <w:num w:numId="39">
    <w:abstractNumId w:val="45"/>
  </w:num>
  <w:num w:numId="40">
    <w:abstractNumId w:val="45"/>
  </w:num>
  <w:num w:numId="41">
    <w:abstractNumId w:val="45"/>
  </w:num>
  <w:num w:numId="42">
    <w:abstractNumId w:val="45"/>
  </w:num>
  <w:num w:numId="43">
    <w:abstractNumId w:val="45"/>
  </w:num>
  <w:num w:numId="44">
    <w:abstractNumId w:val="45"/>
  </w:num>
  <w:num w:numId="45">
    <w:abstractNumId w:val="45"/>
  </w:num>
  <w:num w:numId="46">
    <w:abstractNumId w:val="45"/>
  </w:num>
  <w:num w:numId="47">
    <w:abstractNumId w:val="17"/>
  </w:num>
  <w:num w:numId="48">
    <w:abstractNumId w:val="45"/>
  </w:num>
  <w:num w:numId="49">
    <w:abstractNumId w:val="45"/>
  </w:num>
  <w:num w:numId="50">
    <w:abstractNumId w:val="45"/>
  </w:num>
  <w:num w:numId="51">
    <w:abstractNumId w:val="45"/>
  </w:num>
  <w:num w:numId="52">
    <w:abstractNumId w:val="45"/>
  </w:num>
  <w:num w:numId="53">
    <w:abstractNumId w:val="45"/>
  </w:num>
  <w:num w:numId="54">
    <w:abstractNumId w:val="24"/>
  </w:num>
  <w:num w:numId="55">
    <w:abstractNumId w:val="45"/>
  </w:num>
  <w:num w:numId="56">
    <w:abstractNumId w:val="40"/>
  </w:num>
  <w:num w:numId="57">
    <w:abstractNumId w:val="7"/>
  </w:num>
  <w:num w:numId="58">
    <w:abstractNumId w:val="29"/>
  </w:num>
  <w:num w:numId="59">
    <w:abstractNumId w:val="41"/>
  </w:num>
  <w:num w:numId="60">
    <w:abstractNumId w:val="45"/>
  </w:num>
  <w:num w:numId="61">
    <w:abstractNumId w:val="45"/>
  </w:num>
  <w:num w:numId="62">
    <w:abstractNumId w:val="45"/>
  </w:num>
  <w:num w:numId="63">
    <w:abstractNumId w:val="45"/>
  </w:num>
  <w:num w:numId="64">
    <w:abstractNumId w:val="42"/>
  </w:num>
  <w:num w:numId="65">
    <w:abstractNumId w:val="47"/>
  </w:num>
  <w:num w:numId="66">
    <w:abstractNumId w:val="10"/>
  </w:num>
  <w:num w:numId="67">
    <w:abstractNumId w:val="11"/>
  </w:num>
  <w:num w:numId="68">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C9"/>
    <w:rsid w:val="000005FE"/>
    <w:rsid w:val="0000536E"/>
    <w:rsid w:val="000126A9"/>
    <w:rsid w:val="000131A3"/>
    <w:rsid w:val="000133A3"/>
    <w:rsid w:val="00013B35"/>
    <w:rsid w:val="00014B89"/>
    <w:rsid w:val="000173B3"/>
    <w:rsid w:val="00020D44"/>
    <w:rsid w:val="00021A39"/>
    <w:rsid w:val="000243DF"/>
    <w:rsid w:val="00024B93"/>
    <w:rsid w:val="00025E7D"/>
    <w:rsid w:val="000276B9"/>
    <w:rsid w:val="00031358"/>
    <w:rsid w:val="00031C1F"/>
    <w:rsid w:val="00035DBA"/>
    <w:rsid w:val="00037C17"/>
    <w:rsid w:val="000404E4"/>
    <w:rsid w:val="00041DB4"/>
    <w:rsid w:val="000429AC"/>
    <w:rsid w:val="00042B6A"/>
    <w:rsid w:val="00042B99"/>
    <w:rsid w:val="000516C4"/>
    <w:rsid w:val="000517C0"/>
    <w:rsid w:val="00060038"/>
    <w:rsid w:val="00061444"/>
    <w:rsid w:val="000637A6"/>
    <w:rsid w:val="000663D1"/>
    <w:rsid w:val="00066BBA"/>
    <w:rsid w:val="00070549"/>
    <w:rsid w:val="00071509"/>
    <w:rsid w:val="00071760"/>
    <w:rsid w:val="00075CAA"/>
    <w:rsid w:val="00077A8C"/>
    <w:rsid w:val="00080C51"/>
    <w:rsid w:val="00083DD5"/>
    <w:rsid w:val="00084FDD"/>
    <w:rsid w:val="00092341"/>
    <w:rsid w:val="00094C4F"/>
    <w:rsid w:val="00096EEF"/>
    <w:rsid w:val="00097663"/>
    <w:rsid w:val="000A1E14"/>
    <w:rsid w:val="000A41D8"/>
    <w:rsid w:val="000A7F05"/>
    <w:rsid w:val="000B0EDB"/>
    <w:rsid w:val="000B2909"/>
    <w:rsid w:val="000B4ED1"/>
    <w:rsid w:val="000B5C4D"/>
    <w:rsid w:val="000B6C05"/>
    <w:rsid w:val="000C20BD"/>
    <w:rsid w:val="000C2B24"/>
    <w:rsid w:val="000C5EA5"/>
    <w:rsid w:val="000D044E"/>
    <w:rsid w:val="000D0DEA"/>
    <w:rsid w:val="000D2DE0"/>
    <w:rsid w:val="000D3B1A"/>
    <w:rsid w:val="000E1076"/>
    <w:rsid w:val="000E2C94"/>
    <w:rsid w:val="000E4AA4"/>
    <w:rsid w:val="000E5FC1"/>
    <w:rsid w:val="000E66AB"/>
    <w:rsid w:val="000E677D"/>
    <w:rsid w:val="000F01DB"/>
    <w:rsid w:val="000F5B32"/>
    <w:rsid w:val="000F5C22"/>
    <w:rsid w:val="000F7C52"/>
    <w:rsid w:val="0010113D"/>
    <w:rsid w:val="0010462B"/>
    <w:rsid w:val="00111011"/>
    <w:rsid w:val="00112761"/>
    <w:rsid w:val="00123AD3"/>
    <w:rsid w:val="00125136"/>
    <w:rsid w:val="001265CF"/>
    <w:rsid w:val="00130191"/>
    <w:rsid w:val="00131C27"/>
    <w:rsid w:val="00134EDE"/>
    <w:rsid w:val="00135844"/>
    <w:rsid w:val="00136294"/>
    <w:rsid w:val="0014160F"/>
    <w:rsid w:val="00144492"/>
    <w:rsid w:val="001457BC"/>
    <w:rsid w:val="00157BD7"/>
    <w:rsid w:val="00161824"/>
    <w:rsid w:val="00163881"/>
    <w:rsid w:val="001659E4"/>
    <w:rsid w:val="0016699E"/>
    <w:rsid w:val="001708B9"/>
    <w:rsid w:val="00170D69"/>
    <w:rsid w:val="0017160C"/>
    <w:rsid w:val="0017280D"/>
    <w:rsid w:val="001757CE"/>
    <w:rsid w:val="00180BDA"/>
    <w:rsid w:val="0018108F"/>
    <w:rsid w:val="00182990"/>
    <w:rsid w:val="001848A0"/>
    <w:rsid w:val="00186FC8"/>
    <w:rsid w:val="001946C0"/>
    <w:rsid w:val="001975EF"/>
    <w:rsid w:val="0019765A"/>
    <w:rsid w:val="001A45CF"/>
    <w:rsid w:val="001A509D"/>
    <w:rsid w:val="001A52A7"/>
    <w:rsid w:val="001A6D66"/>
    <w:rsid w:val="001A772F"/>
    <w:rsid w:val="001B0F94"/>
    <w:rsid w:val="001B436F"/>
    <w:rsid w:val="001B5C19"/>
    <w:rsid w:val="001C1C51"/>
    <w:rsid w:val="001C2088"/>
    <w:rsid w:val="001C351B"/>
    <w:rsid w:val="001D03A7"/>
    <w:rsid w:val="001D259A"/>
    <w:rsid w:val="001D601D"/>
    <w:rsid w:val="001E016B"/>
    <w:rsid w:val="001E5D56"/>
    <w:rsid w:val="001E7D3E"/>
    <w:rsid w:val="001F0073"/>
    <w:rsid w:val="001F38BE"/>
    <w:rsid w:val="001F5545"/>
    <w:rsid w:val="001F61B8"/>
    <w:rsid w:val="001F6839"/>
    <w:rsid w:val="00200E05"/>
    <w:rsid w:val="00204CBA"/>
    <w:rsid w:val="002056FF"/>
    <w:rsid w:val="00211AB1"/>
    <w:rsid w:val="00212852"/>
    <w:rsid w:val="00214F05"/>
    <w:rsid w:val="00215B5A"/>
    <w:rsid w:val="00216B3B"/>
    <w:rsid w:val="00216CF6"/>
    <w:rsid w:val="00220804"/>
    <w:rsid w:val="00220CCF"/>
    <w:rsid w:val="00226BB2"/>
    <w:rsid w:val="00227F1F"/>
    <w:rsid w:val="002318FD"/>
    <w:rsid w:val="00231B44"/>
    <w:rsid w:val="00232400"/>
    <w:rsid w:val="002340B6"/>
    <w:rsid w:val="00234BA2"/>
    <w:rsid w:val="00235582"/>
    <w:rsid w:val="002370AB"/>
    <w:rsid w:val="00237872"/>
    <w:rsid w:val="00244010"/>
    <w:rsid w:val="00245031"/>
    <w:rsid w:val="002477B8"/>
    <w:rsid w:val="00250907"/>
    <w:rsid w:val="00253D2A"/>
    <w:rsid w:val="00255944"/>
    <w:rsid w:val="00255D53"/>
    <w:rsid w:val="002763B0"/>
    <w:rsid w:val="00277AC5"/>
    <w:rsid w:val="00281C0C"/>
    <w:rsid w:val="00282470"/>
    <w:rsid w:val="0028578A"/>
    <w:rsid w:val="002930B2"/>
    <w:rsid w:val="002932CD"/>
    <w:rsid w:val="002945DE"/>
    <w:rsid w:val="00294BBA"/>
    <w:rsid w:val="00295B52"/>
    <w:rsid w:val="00296304"/>
    <w:rsid w:val="00296705"/>
    <w:rsid w:val="00297214"/>
    <w:rsid w:val="002B215D"/>
    <w:rsid w:val="002B2376"/>
    <w:rsid w:val="002B4054"/>
    <w:rsid w:val="002B4B90"/>
    <w:rsid w:val="002B4D02"/>
    <w:rsid w:val="002B5F4B"/>
    <w:rsid w:val="002B6D2E"/>
    <w:rsid w:val="002B7196"/>
    <w:rsid w:val="002B756D"/>
    <w:rsid w:val="002B76F4"/>
    <w:rsid w:val="002C12A5"/>
    <w:rsid w:val="002C5877"/>
    <w:rsid w:val="002C5FEA"/>
    <w:rsid w:val="002C690A"/>
    <w:rsid w:val="002C6F50"/>
    <w:rsid w:val="002D0AE9"/>
    <w:rsid w:val="002D41F7"/>
    <w:rsid w:val="002E0C70"/>
    <w:rsid w:val="002E114E"/>
    <w:rsid w:val="002E1C00"/>
    <w:rsid w:val="002E28DF"/>
    <w:rsid w:val="002E4237"/>
    <w:rsid w:val="002E7099"/>
    <w:rsid w:val="002F1A82"/>
    <w:rsid w:val="002F2771"/>
    <w:rsid w:val="002F4628"/>
    <w:rsid w:val="0030284C"/>
    <w:rsid w:val="003116F8"/>
    <w:rsid w:val="003121C1"/>
    <w:rsid w:val="0031220A"/>
    <w:rsid w:val="00320EA5"/>
    <w:rsid w:val="003219E7"/>
    <w:rsid w:val="0032373B"/>
    <w:rsid w:val="0032471F"/>
    <w:rsid w:val="00325700"/>
    <w:rsid w:val="00325947"/>
    <w:rsid w:val="00331D1F"/>
    <w:rsid w:val="00331E24"/>
    <w:rsid w:val="00337680"/>
    <w:rsid w:val="0034481A"/>
    <w:rsid w:val="00357E4F"/>
    <w:rsid w:val="003608FB"/>
    <w:rsid w:val="0036296C"/>
    <w:rsid w:val="00363DA0"/>
    <w:rsid w:val="00375EB8"/>
    <w:rsid w:val="00375FBE"/>
    <w:rsid w:val="00376010"/>
    <w:rsid w:val="00377AE4"/>
    <w:rsid w:val="00377FE8"/>
    <w:rsid w:val="00381D6C"/>
    <w:rsid w:val="00382726"/>
    <w:rsid w:val="00382C57"/>
    <w:rsid w:val="003863C7"/>
    <w:rsid w:val="00390A1D"/>
    <w:rsid w:val="0039181B"/>
    <w:rsid w:val="003923FD"/>
    <w:rsid w:val="003A317B"/>
    <w:rsid w:val="003A494E"/>
    <w:rsid w:val="003A72D5"/>
    <w:rsid w:val="003B3379"/>
    <w:rsid w:val="003B3C47"/>
    <w:rsid w:val="003B3F96"/>
    <w:rsid w:val="003C03D0"/>
    <w:rsid w:val="003C12AF"/>
    <w:rsid w:val="003C3817"/>
    <w:rsid w:val="003C4BE4"/>
    <w:rsid w:val="003C4DE4"/>
    <w:rsid w:val="003D0207"/>
    <w:rsid w:val="003D082C"/>
    <w:rsid w:val="003D1A80"/>
    <w:rsid w:val="003D6DE3"/>
    <w:rsid w:val="003D73CA"/>
    <w:rsid w:val="003E0430"/>
    <w:rsid w:val="003E138D"/>
    <w:rsid w:val="003E1820"/>
    <w:rsid w:val="003E49BA"/>
    <w:rsid w:val="003F2224"/>
    <w:rsid w:val="003F5252"/>
    <w:rsid w:val="003F7296"/>
    <w:rsid w:val="004016AA"/>
    <w:rsid w:val="00404297"/>
    <w:rsid w:val="004052BC"/>
    <w:rsid w:val="0040552B"/>
    <w:rsid w:val="00405DA8"/>
    <w:rsid w:val="004066C3"/>
    <w:rsid w:val="00406E9B"/>
    <w:rsid w:val="00412EA0"/>
    <w:rsid w:val="00423E4F"/>
    <w:rsid w:val="00426DDC"/>
    <w:rsid w:val="00430C5F"/>
    <w:rsid w:val="004314E1"/>
    <w:rsid w:val="00432002"/>
    <w:rsid w:val="0044117C"/>
    <w:rsid w:val="0044558B"/>
    <w:rsid w:val="004509E3"/>
    <w:rsid w:val="00451AD9"/>
    <w:rsid w:val="00455BA2"/>
    <w:rsid w:val="004568B7"/>
    <w:rsid w:val="00462817"/>
    <w:rsid w:val="00473614"/>
    <w:rsid w:val="00475B4B"/>
    <w:rsid w:val="00480F4E"/>
    <w:rsid w:val="00482E0A"/>
    <w:rsid w:val="00483311"/>
    <w:rsid w:val="00483B86"/>
    <w:rsid w:val="004860A3"/>
    <w:rsid w:val="00486736"/>
    <w:rsid w:val="004A00EE"/>
    <w:rsid w:val="004A0DCC"/>
    <w:rsid w:val="004A6C6D"/>
    <w:rsid w:val="004A7525"/>
    <w:rsid w:val="004B0F04"/>
    <w:rsid w:val="004C2616"/>
    <w:rsid w:val="004C2DC2"/>
    <w:rsid w:val="004C6DAA"/>
    <w:rsid w:val="004D159E"/>
    <w:rsid w:val="004D1F57"/>
    <w:rsid w:val="004D49FC"/>
    <w:rsid w:val="004E46BD"/>
    <w:rsid w:val="004F22CE"/>
    <w:rsid w:val="004F2843"/>
    <w:rsid w:val="004F2A0B"/>
    <w:rsid w:val="004F3DC0"/>
    <w:rsid w:val="004F47B4"/>
    <w:rsid w:val="004F48B4"/>
    <w:rsid w:val="004F4A4B"/>
    <w:rsid w:val="004F4B90"/>
    <w:rsid w:val="00501EFF"/>
    <w:rsid w:val="005048BA"/>
    <w:rsid w:val="0050640E"/>
    <w:rsid w:val="0051361C"/>
    <w:rsid w:val="005179B5"/>
    <w:rsid w:val="00521113"/>
    <w:rsid w:val="00526863"/>
    <w:rsid w:val="00526B9A"/>
    <w:rsid w:val="005270F9"/>
    <w:rsid w:val="00540CAE"/>
    <w:rsid w:val="00542505"/>
    <w:rsid w:val="00543BA8"/>
    <w:rsid w:val="00544D24"/>
    <w:rsid w:val="00555320"/>
    <w:rsid w:val="005620B2"/>
    <w:rsid w:val="005629B2"/>
    <w:rsid w:val="00563C6F"/>
    <w:rsid w:val="00564C84"/>
    <w:rsid w:val="00564F21"/>
    <w:rsid w:val="005663E3"/>
    <w:rsid w:val="00573556"/>
    <w:rsid w:val="00573D2F"/>
    <w:rsid w:val="00575976"/>
    <w:rsid w:val="005814E6"/>
    <w:rsid w:val="005843DE"/>
    <w:rsid w:val="00593B9F"/>
    <w:rsid w:val="00593BF7"/>
    <w:rsid w:val="00594D5E"/>
    <w:rsid w:val="005967D7"/>
    <w:rsid w:val="0059682F"/>
    <w:rsid w:val="005969FB"/>
    <w:rsid w:val="005B27DE"/>
    <w:rsid w:val="005B3B20"/>
    <w:rsid w:val="005B62B3"/>
    <w:rsid w:val="005B6B53"/>
    <w:rsid w:val="005C3139"/>
    <w:rsid w:val="005D05DA"/>
    <w:rsid w:val="005D0F09"/>
    <w:rsid w:val="005D3547"/>
    <w:rsid w:val="005D5512"/>
    <w:rsid w:val="005D7CAD"/>
    <w:rsid w:val="005E2A6D"/>
    <w:rsid w:val="005E3501"/>
    <w:rsid w:val="005F3D7B"/>
    <w:rsid w:val="005F43FB"/>
    <w:rsid w:val="005F4B9C"/>
    <w:rsid w:val="005F4D64"/>
    <w:rsid w:val="005F525A"/>
    <w:rsid w:val="005F54F5"/>
    <w:rsid w:val="005F68FD"/>
    <w:rsid w:val="005F74C0"/>
    <w:rsid w:val="00601C92"/>
    <w:rsid w:val="0060384D"/>
    <w:rsid w:val="006038B8"/>
    <w:rsid w:val="00605199"/>
    <w:rsid w:val="006062A7"/>
    <w:rsid w:val="0061213B"/>
    <w:rsid w:val="006154D3"/>
    <w:rsid w:val="00617123"/>
    <w:rsid w:val="00624C5E"/>
    <w:rsid w:val="00626FBA"/>
    <w:rsid w:val="00626FD8"/>
    <w:rsid w:val="00631B45"/>
    <w:rsid w:val="00632423"/>
    <w:rsid w:val="00636534"/>
    <w:rsid w:val="0063714F"/>
    <w:rsid w:val="006444A3"/>
    <w:rsid w:val="006464CD"/>
    <w:rsid w:val="00650AB8"/>
    <w:rsid w:val="00650D85"/>
    <w:rsid w:val="006528C9"/>
    <w:rsid w:val="0065402E"/>
    <w:rsid w:val="006617AF"/>
    <w:rsid w:val="006673E8"/>
    <w:rsid w:val="00670314"/>
    <w:rsid w:val="006716D9"/>
    <w:rsid w:val="00671871"/>
    <w:rsid w:val="00671EC0"/>
    <w:rsid w:val="00676F48"/>
    <w:rsid w:val="0067770B"/>
    <w:rsid w:val="0068070D"/>
    <w:rsid w:val="00684C05"/>
    <w:rsid w:val="00686056"/>
    <w:rsid w:val="0068665B"/>
    <w:rsid w:val="00691C32"/>
    <w:rsid w:val="00696371"/>
    <w:rsid w:val="006A2540"/>
    <w:rsid w:val="006A473D"/>
    <w:rsid w:val="006B0513"/>
    <w:rsid w:val="006B138D"/>
    <w:rsid w:val="006B16E0"/>
    <w:rsid w:val="006B17DE"/>
    <w:rsid w:val="006B24BB"/>
    <w:rsid w:val="006B2F6E"/>
    <w:rsid w:val="006B30D1"/>
    <w:rsid w:val="006B4816"/>
    <w:rsid w:val="006B5FE9"/>
    <w:rsid w:val="006C1D07"/>
    <w:rsid w:val="006C20C6"/>
    <w:rsid w:val="006C5AD3"/>
    <w:rsid w:val="006C617F"/>
    <w:rsid w:val="006C64A4"/>
    <w:rsid w:val="006D1710"/>
    <w:rsid w:val="006D1FA6"/>
    <w:rsid w:val="006D328E"/>
    <w:rsid w:val="006D5C37"/>
    <w:rsid w:val="006D6A17"/>
    <w:rsid w:val="006D6AAD"/>
    <w:rsid w:val="006D6D9B"/>
    <w:rsid w:val="006E53C7"/>
    <w:rsid w:val="006E75AE"/>
    <w:rsid w:val="006F0768"/>
    <w:rsid w:val="006F519F"/>
    <w:rsid w:val="006F6769"/>
    <w:rsid w:val="00705766"/>
    <w:rsid w:val="0070734C"/>
    <w:rsid w:val="007172D9"/>
    <w:rsid w:val="00720888"/>
    <w:rsid w:val="0072138D"/>
    <w:rsid w:val="00725AA0"/>
    <w:rsid w:val="0072746D"/>
    <w:rsid w:val="007309F5"/>
    <w:rsid w:val="007312AA"/>
    <w:rsid w:val="007342AA"/>
    <w:rsid w:val="00734C1B"/>
    <w:rsid w:val="007416A5"/>
    <w:rsid w:val="007460A4"/>
    <w:rsid w:val="007462E1"/>
    <w:rsid w:val="00747426"/>
    <w:rsid w:val="00750D3B"/>
    <w:rsid w:val="007516F0"/>
    <w:rsid w:val="00753A99"/>
    <w:rsid w:val="00753D7B"/>
    <w:rsid w:val="007550AB"/>
    <w:rsid w:val="00756993"/>
    <w:rsid w:val="007604FB"/>
    <w:rsid w:val="00761C20"/>
    <w:rsid w:val="007653DA"/>
    <w:rsid w:val="007660C8"/>
    <w:rsid w:val="0076614E"/>
    <w:rsid w:val="00773725"/>
    <w:rsid w:val="007748B1"/>
    <w:rsid w:val="007830D0"/>
    <w:rsid w:val="00783681"/>
    <w:rsid w:val="00784CF1"/>
    <w:rsid w:val="00784EB7"/>
    <w:rsid w:val="0079305A"/>
    <w:rsid w:val="00793EC0"/>
    <w:rsid w:val="007A1421"/>
    <w:rsid w:val="007B29C4"/>
    <w:rsid w:val="007B2FB1"/>
    <w:rsid w:val="007B5C5A"/>
    <w:rsid w:val="007B7DD1"/>
    <w:rsid w:val="007C008A"/>
    <w:rsid w:val="007C0C20"/>
    <w:rsid w:val="007C7944"/>
    <w:rsid w:val="007C7C55"/>
    <w:rsid w:val="007E03C0"/>
    <w:rsid w:val="007E2034"/>
    <w:rsid w:val="007E276E"/>
    <w:rsid w:val="007E2836"/>
    <w:rsid w:val="007E568A"/>
    <w:rsid w:val="007F0D03"/>
    <w:rsid w:val="007F4675"/>
    <w:rsid w:val="007F4828"/>
    <w:rsid w:val="007F4C2C"/>
    <w:rsid w:val="008005C8"/>
    <w:rsid w:val="008006BE"/>
    <w:rsid w:val="00800ACB"/>
    <w:rsid w:val="00802289"/>
    <w:rsid w:val="0080397A"/>
    <w:rsid w:val="00806E30"/>
    <w:rsid w:val="00806FDA"/>
    <w:rsid w:val="00807054"/>
    <w:rsid w:val="0080728A"/>
    <w:rsid w:val="0081074F"/>
    <w:rsid w:val="00813DBC"/>
    <w:rsid w:val="00813F7A"/>
    <w:rsid w:val="00815551"/>
    <w:rsid w:val="00817E90"/>
    <w:rsid w:val="00821F18"/>
    <w:rsid w:val="00822995"/>
    <w:rsid w:val="00822FC7"/>
    <w:rsid w:val="00825CB7"/>
    <w:rsid w:val="008272B2"/>
    <w:rsid w:val="00827DA0"/>
    <w:rsid w:val="00833E13"/>
    <w:rsid w:val="00834AE2"/>
    <w:rsid w:val="008406C8"/>
    <w:rsid w:val="008407AA"/>
    <w:rsid w:val="00846719"/>
    <w:rsid w:val="00850D39"/>
    <w:rsid w:val="00855A9A"/>
    <w:rsid w:val="00856A0E"/>
    <w:rsid w:val="00860214"/>
    <w:rsid w:val="00860359"/>
    <w:rsid w:val="0086248A"/>
    <w:rsid w:val="00863100"/>
    <w:rsid w:val="008631CE"/>
    <w:rsid w:val="0086443E"/>
    <w:rsid w:val="00864843"/>
    <w:rsid w:val="00865B14"/>
    <w:rsid w:val="00865DF6"/>
    <w:rsid w:val="0086797C"/>
    <w:rsid w:val="00872FD2"/>
    <w:rsid w:val="00873D35"/>
    <w:rsid w:val="00876055"/>
    <w:rsid w:val="00876869"/>
    <w:rsid w:val="00880623"/>
    <w:rsid w:val="00882764"/>
    <w:rsid w:val="00883752"/>
    <w:rsid w:val="0088546F"/>
    <w:rsid w:val="00892CFB"/>
    <w:rsid w:val="008932B7"/>
    <w:rsid w:val="00894F9A"/>
    <w:rsid w:val="008962D0"/>
    <w:rsid w:val="00896BD0"/>
    <w:rsid w:val="008A2E51"/>
    <w:rsid w:val="008A4F6A"/>
    <w:rsid w:val="008B025C"/>
    <w:rsid w:val="008B26C3"/>
    <w:rsid w:val="008B26FD"/>
    <w:rsid w:val="008B2E86"/>
    <w:rsid w:val="008B3A46"/>
    <w:rsid w:val="008B6059"/>
    <w:rsid w:val="008B7905"/>
    <w:rsid w:val="008C0EAA"/>
    <w:rsid w:val="008C13DF"/>
    <w:rsid w:val="008C286A"/>
    <w:rsid w:val="008C3D1E"/>
    <w:rsid w:val="008C5A91"/>
    <w:rsid w:val="008D0179"/>
    <w:rsid w:val="008D7A07"/>
    <w:rsid w:val="008E2830"/>
    <w:rsid w:val="008E3008"/>
    <w:rsid w:val="008E35FE"/>
    <w:rsid w:val="008E5C75"/>
    <w:rsid w:val="008E7B8E"/>
    <w:rsid w:val="008E7ED3"/>
    <w:rsid w:val="008F31BA"/>
    <w:rsid w:val="008F3F02"/>
    <w:rsid w:val="008F68DE"/>
    <w:rsid w:val="00904097"/>
    <w:rsid w:val="009053F7"/>
    <w:rsid w:val="00905422"/>
    <w:rsid w:val="009103BA"/>
    <w:rsid w:val="009136BE"/>
    <w:rsid w:val="00913BC8"/>
    <w:rsid w:val="00925113"/>
    <w:rsid w:val="0092664E"/>
    <w:rsid w:val="00927002"/>
    <w:rsid w:val="00930258"/>
    <w:rsid w:val="00930A39"/>
    <w:rsid w:val="00932871"/>
    <w:rsid w:val="00933261"/>
    <w:rsid w:val="009350F0"/>
    <w:rsid w:val="009419A4"/>
    <w:rsid w:val="00951957"/>
    <w:rsid w:val="00952D32"/>
    <w:rsid w:val="00953575"/>
    <w:rsid w:val="0095444B"/>
    <w:rsid w:val="0095586D"/>
    <w:rsid w:val="00957BA0"/>
    <w:rsid w:val="00964024"/>
    <w:rsid w:val="00972D90"/>
    <w:rsid w:val="00976C04"/>
    <w:rsid w:val="00977BEA"/>
    <w:rsid w:val="00982404"/>
    <w:rsid w:val="00990037"/>
    <w:rsid w:val="00990763"/>
    <w:rsid w:val="00991538"/>
    <w:rsid w:val="0099372E"/>
    <w:rsid w:val="00994C96"/>
    <w:rsid w:val="00995104"/>
    <w:rsid w:val="009A0464"/>
    <w:rsid w:val="009A44A5"/>
    <w:rsid w:val="009B058D"/>
    <w:rsid w:val="009B0D06"/>
    <w:rsid w:val="009B139F"/>
    <w:rsid w:val="009B2D95"/>
    <w:rsid w:val="009B60B8"/>
    <w:rsid w:val="009B6E72"/>
    <w:rsid w:val="009C2BC6"/>
    <w:rsid w:val="009C3E1F"/>
    <w:rsid w:val="009C403B"/>
    <w:rsid w:val="009C6951"/>
    <w:rsid w:val="009D1BDF"/>
    <w:rsid w:val="009D3564"/>
    <w:rsid w:val="009D5174"/>
    <w:rsid w:val="009D57E3"/>
    <w:rsid w:val="009E006D"/>
    <w:rsid w:val="009E0A65"/>
    <w:rsid w:val="009E1613"/>
    <w:rsid w:val="009E5122"/>
    <w:rsid w:val="009E59CE"/>
    <w:rsid w:val="009E7E9B"/>
    <w:rsid w:val="00A00405"/>
    <w:rsid w:val="00A063EE"/>
    <w:rsid w:val="00A15402"/>
    <w:rsid w:val="00A161A4"/>
    <w:rsid w:val="00A1766B"/>
    <w:rsid w:val="00A17778"/>
    <w:rsid w:val="00A17957"/>
    <w:rsid w:val="00A221AC"/>
    <w:rsid w:val="00A222F5"/>
    <w:rsid w:val="00A22C63"/>
    <w:rsid w:val="00A26C0B"/>
    <w:rsid w:val="00A32258"/>
    <w:rsid w:val="00A33333"/>
    <w:rsid w:val="00A3521F"/>
    <w:rsid w:val="00A37554"/>
    <w:rsid w:val="00A37CDD"/>
    <w:rsid w:val="00A411B1"/>
    <w:rsid w:val="00A43B3E"/>
    <w:rsid w:val="00A47D3B"/>
    <w:rsid w:val="00A5028B"/>
    <w:rsid w:val="00A5778C"/>
    <w:rsid w:val="00A5792A"/>
    <w:rsid w:val="00A60154"/>
    <w:rsid w:val="00A61808"/>
    <w:rsid w:val="00A61FFC"/>
    <w:rsid w:val="00A659E1"/>
    <w:rsid w:val="00A7281A"/>
    <w:rsid w:val="00A72CB5"/>
    <w:rsid w:val="00A741AE"/>
    <w:rsid w:val="00A8003C"/>
    <w:rsid w:val="00A80E26"/>
    <w:rsid w:val="00A85445"/>
    <w:rsid w:val="00A900CC"/>
    <w:rsid w:val="00A9095F"/>
    <w:rsid w:val="00A954D6"/>
    <w:rsid w:val="00A955F1"/>
    <w:rsid w:val="00A97EDE"/>
    <w:rsid w:val="00A97EEB"/>
    <w:rsid w:val="00AA34E3"/>
    <w:rsid w:val="00AA441D"/>
    <w:rsid w:val="00AA4905"/>
    <w:rsid w:val="00AA7775"/>
    <w:rsid w:val="00AB32A9"/>
    <w:rsid w:val="00AB3DD5"/>
    <w:rsid w:val="00AC02AA"/>
    <w:rsid w:val="00AC1D94"/>
    <w:rsid w:val="00AC2081"/>
    <w:rsid w:val="00AC4A07"/>
    <w:rsid w:val="00AC55EB"/>
    <w:rsid w:val="00AC685C"/>
    <w:rsid w:val="00AD40C1"/>
    <w:rsid w:val="00AD6475"/>
    <w:rsid w:val="00AD6B67"/>
    <w:rsid w:val="00AE0FC7"/>
    <w:rsid w:val="00AE1D11"/>
    <w:rsid w:val="00AE2AC3"/>
    <w:rsid w:val="00AE66FC"/>
    <w:rsid w:val="00AE6C40"/>
    <w:rsid w:val="00AE710A"/>
    <w:rsid w:val="00AF25FB"/>
    <w:rsid w:val="00AF4DB7"/>
    <w:rsid w:val="00B01F4F"/>
    <w:rsid w:val="00B020E4"/>
    <w:rsid w:val="00B032DE"/>
    <w:rsid w:val="00B03E76"/>
    <w:rsid w:val="00B044C5"/>
    <w:rsid w:val="00B055B1"/>
    <w:rsid w:val="00B0660D"/>
    <w:rsid w:val="00B06697"/>
    <w:rsid w:val="00B06B76"/>
    <w:rsid w:val="00B1372F"/>
    <w:rsid w:val="00B176C3"/>
    <w:rsid w:val="00B20E03"/>
    <w:rsid w:val="00B20F41"/>
    <w:rsid w:val="00B2282B"/>
    <w:rsid w:val="00B253A1"/>
    <w:rsid w:val="00B262AB"/>
    <w:rsid w:val="00B32086"/>
    <w:rsid w:val="00B33CB7"/>
    <w:rsid w:val="00B352FA"/>
    <w:rsid w:val="00B35C43"/>
    <w:rsid w:val="00B36B5C"/>
    <w:rsid w:val="00B36D31"/>
    <w:rsid w:val="00B43146"/>
    <w:rsid w:val="00B45855"/>
    <w:rsid w:val="00B46969"/>
    <w:rsid w:val="00B47A1D"/>
    <w:rsid w:val="00B51919"/>
    <w:rsid w:val="00B617CD"/>
    <w:rsid w:val="00B66FC9"/>
    <w:rsid w:val="00B67CA3"/>
    <w:rsid w:val="00B72D0C"/>
    <w:rsid w:val="00B76AF5"/>
    <w:rsid w:val="00B77DFD"/>
    <w:rsid w:val="00B805E0"/>
    <w:rsid w:val="00B859F5"/>
    <w:rsid w:val="00B92245"/>
    <w:rsid w:val="00B955FF"/>
    <w:rsid w:val="00B962CB"/>
    <w:rsid w:val="00BA0304"/>
    <w:rsid w:val="00BA1CB5"/>
    <w:rsid w:val="00BA390D"/>
    <w:rsid w:val="00BB3970"/>
    <w:rsid w:val="00BB4A7A"/>
    <w:rsid w:val="00BB6CB3"/>
    <w:rsid w:val="00BC0047"/>
    <w:rsid w:val="00BC266F"/>
    <w:rsid w:val="00BC335C"/>
    <w:rsid w:val="00BC7275"/>
    <w:rsid w:val="00BC76FD"/>
    <w:rsid w:val="00BD20B9"/>
    <w:rsid w:val="00BD5E41"/>
    <w:rsid w:val="00BD621B"/>
    <w:rsid w:val="00BD6EE2"/>
    <w:rsid w:val="00BE48D2"/>
    <w:rsid w:val="00BE6947"/>
    <w:rsid w:val="00BE6A29"/>
    <w:rsid w:val="00BE77B1"/>
    <w:rsid w:val="00BF1BF8"/>
    <w:rsid w:val="00BF4DE9"/>
    <w:rsid w:val="00BF6075"/>
    <w:rsid w:val="00BF67EE"/>
    <w:rsid w:val="00BF6F8B"/>
    <w:rsid w:val="00C01A86"/>
    <w:rsid w:val="00C04DCF"/>
    <w:rsid w:val="00C04F0F"/>
    <w:rsid w:val="00C051C7"/>
    <w:rsid w:val="00C06177"/>
    <w:rsid w:val="00C075EA"/>
    <w:rsid w:val="00C11920"/>
    <w:rsid w:val="00C158DA"/>
    <w:rsid w:val="00C164EA"/>
    <w:rsid w:val="00C23086"/>
    <w:rsid w:val="00C23990"/>
    <w:rsid w:val="00C25EC1"/>
    <w:rsid w:val="00C27F52"/>
    <w:rsid w:val="00C3013D"/>
    <w:rsid w:val="00C34C43"/>
    <w:rsid w:val="00C37417"/>
    <w:rsid w:val="00C41BEB"/>
    <w:rsid w:val="00C44941"/>
    <w:rsid w:val="00C50A26"/>
    <w:rsid w:val="00C51E07"/>
    <w:rsid w:val="00C53CD2"/>
    <w:rsid w:val="00C53E68"/>
    <w:rsid w:val="00C566D7"/>
    <w:rsid w:val="00C61AC6"/>
    <w:rsid w:val="00C62AF1"/>
    <w:rsid w:val="00C702C7"/>
    <w:rsid w:val="00C7039F"/>
    <w:rsid w:val="00C7329C"/>
    <w:rsid w:val="00C7429C"/>
    <w:rsid w:val="00C762EB"/>
    <w:rsid w:val="00C768DE"/>
    <w:rsid w:val="00C82E4F"/>
    <w:rsid w:val="00C84776"/>
    <w:rsid w:val="00C8703B"/>
    <w:rsid w:val="00C91FC3"/>
    <w:rsid w:val="00C9296A"/>
    <w:rsid w:val="00C93ED5"/>
    <w:rsid w:val="00C95AD1"/>
    <w:rsid w:val="00CA1B17"/>
    <w:rsid w:val="00CA3E2C"/>
    <w:rsid w:val="00CA4E63"/>
    <w:rsid w:val="00CA5A92"/>
    <w:rsid w:val="00CA5B05"/>
    <w:rsid w:val="00CB22A7"/>
    <w:rsid w:val="00CC2A1A"/>
    <w:rsid w:val="00CC2DFC"/>
    <w:rsid w:val="00CC3D80"/>
    <w:rsid w:val="00CC5E8F"/>
    <w:rsid w:val="00CC62E4"/>
    <w:rsid w:val="00CC6605"/>
    <w:rsid w:val="00CC693D"/>
    <w:rsid w:val="00CD4F5B"/>
    <w:rsid w:val="00CD5842"/>
    <w:rsid w:val="00CE0A96"/>
    <w:rsid w:val="00CE1D9F"/>
    <w:rsid w:val="00CE2948"/>
    <w:rsid w:val="00CE5DF0"/>
    <w:rsid w:val="00CE6508"/>
    <w:rsid w:val="00CE7B5B"/>
    <w:rsid w:val="00CF3983"/>
    <w:rsid w:val="00CF3A70"/>
    <w:rsid w:val="00CF3CA4"/>
    <w:rsid w:val="00CF546E"/>
    <w:rsid w:val="00CF6FF4"/>
    <w:rsid w:val="00CF7F7F"/>
    <w:rsid w:val="00D0023B"/>
    <w:rsid w:val="00D01239"/>
    <w:rsid w:val="00D20A7A"/>
    <w:rsid w:val="00D22F4E"/>
    <w:rsid w:val="00D236E8"/>
    <w:rsid w:val="00D236EE"/>
    <w:rsid w:val="00D263E6"/>
    <w:rsid w:val="00D27B73"/>
    <w:rsid w:val="00D329DF"/>
    <w:rsid w:val="00D338E3"/>
    <w:rsid w:val="00D33A2B"/>
    <w:rsid w:val="00D35C72"/>
    <w:rsid w:val="00D36E73"/>
    <w:rsid w:val="00D4280C"/>
    <w:rsid w:val="00D50E16"/>
    <w:rsid w:val="00D5297D"/>
    <w:rsid w:val="00D52A6A"/>
    <w:rsid w:val="00D54524"/>
    <w:rsid w:val="00D56217"/>
    <w:rsid w:val="00D61DFC"/>
    <w:rsid w:val="00D768FD"/>
    <w:rsid w:val="00D7732D"/>
    <w:rsid w:val="00D77C29"/>
    <w:rsid w:val="00D815D0"/>
    <w:rsid w:val="00D82EF1"/>
    <w:rsid w:val="00D84996"/>
    <w:rsid w:val="00D97CEE"/>
    <w:rsid w:val="00DA1962"/>
    <w:rsid w:val="00DB09EC"/>
    <w:rsid w:val="00DB0CB1"/>
    <w:rsid w:val="00DB3A10"/>
    <w:rsid w:val="00DB5D79"/>
    <w:rsid w:val="00DB7060"/>
    <w:rsid w:val="00DB7330"/>
    <w:rsid w:val="00DC0542"/>
    <w:rsid w:val="00DC4321"/>
    <w:rsid w:val="00DC4D91"/>
    <w:rsid w:val="00DC5739"/>
    <w:rsid w:val="00DC65D0"/>
    <w:rsid w:val="00DD2826"/>
    <w:rsid w:val="00DD437C"/>
    <w:rsid w:val="00DD5A1B"/>
    <w:rsid w:val="00DD613F"/>
    <w:rsid w:val="00DD715C"/>
    <w:rsid w:val="00DE15D8"/>
    <w:rsid w:val="00DE18BC"/>
    <w:rsid w:val="00DF08EE"/>
    <w:rsid w:val="00DF4B62"/>
    <w:rsid w:val="00E00C06"/>
    <w:rsid w:val="00E0517E"/>
    <w:rsid w:val="00E15DEF"/>
    <w:rsid w:val="00E15E9E"/>
    <w:rsid w:val="00E16A2A"/>
    <w:rsid w:val="00E20D15"/>
    <w:rsid w:val="00E20EB7"/>
    <w:rsid w:val="00E21AD8"/>
    <w:rsid w:val="00E26113"/>
    <w:rsid w:val="00E266A4"/>
    <w:rsid w:val="00E27593"/>
    <w:rsid w:val="00E30F0E"/>
    <w:rsid w:val="00E35306"/>
    <w:rsid w:val="00E35847"/>
    <w:rsid w:val="00E36C7A"/>
    <w:rsid w:val="00E373D2"/>
    <w:rsid w:val="00E40554"/>
    <w:rsid w:val="00E4362E"/>
    <w:rsid w:val="00E437CA"/>
    <w:rsid w:val="00E44A6C"/>
    <w:rsid w:val="00E5112C"/>
    <w:rsid w:val="00E51605"/>
    <w:rsid w:val="00E5187E"/>
    <w:rsid w:val="00E532C2"/>
    <w:rsid w:val="00E54BEF"/>
    <w:rsid w:val="00E56993"/>
    <w:rsid w:val="00E56F4A"/>
    <w:rsid w:val="00E61437"/>
    <w:rsid w:val="00E72A2C"/>
    <w:rsid w:val="00E748DA"/>
    <w:rsid w:val="00E7797E"/>
    <w:rsid w:val="00E8149F"/>
    <w:rsid w:val="00E82807"/>
    <w:rsid w:val="00E82902"/>
    <w:rsid w:val="00E85D17"/>
    <w:rsid w:val="00E866D7"/>
    <w:rsid w:val="00E86948"/>
    <w:rsid w:val="00E86D52"/>
    <w:rsid w:val="00E87432"/>
    <w:rsid w:val="00E93151"/>
    <w:rsid w:val="00E934FE"/>
    <w:rsid w:val="00E93F30"/>
    <w:rsid w:val="00E943B8"/>
    <w:rsid w:val="00E94B58"/>
    <w:rsid w:val="00E94C20"/>
    <w:rsid w:val="00E96E86"/>
    <w:rsid w:val="00EB02E3"/>
    <w:rsid w:val="00EB209E"/>
    <w:rsid w:val="00EB3A56"/>
    <w:rsid w:val="00EB5CD1"/>
    <w:rsid w:val="00EC0FCC"/>
    <w:rsid w:val="00EC34CE"/>
    <w:rsid w:val="00EC5A82"/>
    <w:rsid w:val="00EC5AEF"/>
    <w:rsid w:val="00EC63C9"/>
    <w:rsid w:val="00EC6CC9"/>
    <w:rsid w:val="00ED4DE1"/>
    <w:rsid w:val="00ED5DBC"/>
    <w:rsid w:val="00ED77C9"/>
    <w:rsid w:val="00EE0921"/>
    <w:rsid w:val="00EE16D4"/>
    <w:rsid w:val="00EE2C87"/>
    <w:rsid w:val="00EE61A2"/>
    <w:rsid w:val="00EE6D67"/>
    <w:rsid w:val="00EF0925"/>
    <w:rsid w:val="00EF4086"/>
    <w:rsid w:val="00EF4DE4"/>
    <w:rsid w:val="00F045B9"/>
    <w:rsid w:val="00F067D3"/>
    <w:rsid w:val="00F1029F"/>
    <w:rsid w:val="00F13E9B"/>
    <w:rsid w:val="00F1518C"/>
    <w:rsid w:val="00F15F5C"/>
    <w:rsid w:val="00F23266"/>
    <w:rsid w:val="00F3081C"/>
    <w:rsid w:val="00F35686"/>
    <w:rsid w:val="00F35C0A"/>
    <w:rsid w:val="00F41CC6"/>
    <w:rsid w:val="00F448EC"/>
    <w:rsid w:val="00F503C2"/>
    <w:rsid w:val="00F506EF"/>
    <w:rsid w:val="00F5140D"/>
    <w:rsid w:val="00F5197F"/>
    <w:rsid w:val="00F5313E"/>
    <w:rsid w:val="00F565A3"/>
    <w:rsid w:val="00F56DF4"/>
    <w:rsid w:val="00F57E36"/>
    <w:rsid w:val="00F601BD"/>
    <w:rsid w:val="00F61C1F"/>
    <w:rsid w:val="00F634B8"/>
    <w:rsid w:val="00F64334"/>
    <w:rsid w:val="00F6586B"/>
    <w:rsid w:val="00F67D2C"/>
    <w:rsid w:val="00F7435C"/>
    <w:rsid w:val="00F77DF5"/>
    <w:rsid w:val="00F85320"/>
    <w:rsid w:val="00F879A8"/>
    <w:rsid w:val="00F9119D"/>
    <w:rsid w:val="00F973D7"/>
    <w:rsid w:val="00FA6EC4"/>
    <w:rsid w:val="00FB0CB7"/>
    <w:rsid w:val="00FB0EAD"/>
    <w:rsid w:val="00FB1068"/>
    <w:rsid w:val="00FB25C1"/>
    <w:rsid w:val="00FB462A"/>
    <w:rsid w:val="00FB684F"/>
    <w:rsid w:val="00FB6C38"/>
    <w:rsid w:val="00FB704B"/>
    <w:rsid w:val="00FB7854"/>
    <w:rsid w:val="00FC1A20"/>
    <w:rsid w:val="00FC2104"/>
    <w:rsid w:val="00FC2B0D"/>
    <w:rsid w:val="00FC3A87"/>
    <w:rsid w:val="00FC4D6E"/>
    <w:rsid w:val="00FC5C06"/>
    <w:rsid w:val="00FD0DD0"/>
    <w:rsid w:val="00FD3CA4"/>
    <w:rsid w:val="00FD505C"/>
    <w:rsid w:val="00FD5421"/>
    <w:rsid w:val="00FE09C9"/>
    <w:rsid w:val="00FE29C6"/>
    <w:rsid w:val="00FE46F7"/>
    <w:rsid w:val="00FE6EF3"/>
    <w:rsid w:val="00FE7E6F"/>
    <w:rsid w:val="00FF0F52"/>
    <w:rsid w:val="00FF1E8D"/>
    <w:rsid w:val="00FF37F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D3302"/>
  <w15:docId w15:val="{E5FC8E13-70A1-426B-B704-199C02DB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unhideWhenUsed="1"/>
    <w:lsdException w:name="footer"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351B"/>
    <w:rPr>
      <w:sz w:val="18"/>
      <w:lang w:val="cs-CZ"/>
    </w:rPr>
  </w:style>
  <w:style w:type="paragraph" w:styleId="Nadpis1">
    <w:name w:val="heading 1"/>
    <w:basedOn w:val="Normln"/>
    <w:next w:val="Normln"/>
    <w:link w:val="Nadpis1Char"/>
    <w:uiPriority w:val="9"/>
    <w:qFormat/>
    <w:rsid w:val="000E1076"/>
    <w:pPr>
      <w:keepNext/>
      <w:keepLines/>
      <w:pageBreakBefore/>
      <w:numPr>
        <w:numId w:val="7"/>
      </w:numPr>
      <w:spacing w:after="640"/>
      <w:outlineLvl w:val="0"/>
    </w:pPr>
    <w:rPr>
      <w:rFonts w:asciiTheme="majorHAnsi" w:eastAsiaTheme="majorEastAsia" w:hAnsiTheme="majorHAnsi" w:cstheme="majorBidi"/>
      <w:bCs/>
      <w:color w:val="000000" w:themeColor="text1"/>
      <w:sz w:val="60"/>
      <w:szCs w:val="60"/>
    </w:rPr>
  </w:style>
  <w:style w:type="paragraph" w:styleId="Nadpis2">
    <w:name w:val="heading 2"/>
    <w:basedOn w:val="Normln"/>
    <w:next w:val="Normln"/>
    <w:link w:val="Nadpis2Char"/>
    <w:uiPriority w:val="9"/>
    <w:qFormat/>
    <w:rsid w:val="002318FD"/>
    <w:pPr>
      <w:keepNext/>
      <w:keepLines/>
      <w:numPr>
        <w:ilvl w:val="1"/>
        <w:numId w:val="7"/>
      </w:numPr>
      <w:spacing w:before="360" w:after="120" w:line="240" w:lineRule="auto"/>
      <w:outlineLvl w:val="1"/>
    </w:pPr>
    <w:rPr>
      <w:rFonts w:asciiTheme="majorHAnsi" w:eastAsiaTheme="majorEastAsia" w:hAnsiTheme="majorHAnsi" w:cstheme="majorBidi"/>
      <w:b/>
      <w:bCs/>
      <w:color w:val="62B5E5" w:themeColor="accent3"/>
      <w:szCs w:val="26"/>
    </w:rPr>
  </w:style>
  <w:style w:type="paragraph" w:styleId="Nadpis3">
    <w:name w:val="heading 3"/>
    <w:basedOn w:val="Normln"/>
    <w:next w:val="Normln"/>
    <w:link w:val="Nadpis3Char"/>
    <w:uiPriority w:val="9"/>
    <w:qFormat/>
    <w:rsid w:val="000E1076"/>
    <w:pPr>
      <w:keepNext/>
      <w:keepLines/>
      <w:numPr>
        <w:ilvl w:val="2"/>
        <w:numId w:val="7"/>
      </w:numPr>
      <w:spacing w:before="120" w:after="120" w:line="240" w:lineRule="auto"/>
      <w:outlineLvl w:val="2"/>
    </w:pPr>
    <w:rPr>
      <w:rFonts w:asciiTheme="majorHAnsi" w:eastAsiaTheme="majorEastAsia" w:hAnsiTheme="majorHAnsi" w:cstheme="majorBidi"/>
      <w:b/>
      <w:bCs/>
      <w:color w:val="000000" w:themeColor="text1"/>
    </w:rPr>
  </w:style>
  <w:style w:type="paragraph" w:styleId="Nadpis4">
    <w:name w:val="heading 4"/>
    <w:basedOn w:val="Normln"/>
    <w:next w:val="Normln"/>
    <w:link w:val="Nadpis4Char"/>
    <w:uiPriority w:val="9"/>
    <w:semiHidden/>
    <w:qFormat/>
    <w:rsid w:val="00255D53"/>
    <w:pPr>
      <w:keepNext/>
      <w:keepLines/>
      <w:numPr>
        <w:ilvl w:val="3"/>
        <w:numId w:val="7"/>
      </w:numPr>
      <w:tabs>
        <w:tab w:val="left" w:pos="340"/>
      </w:tabs>
      <w:spacing w:after="0"/>
      <w:outlineLvl w:val="3"/>
    </w:pPr>
    <w:rPr>
      <w:rFonts w:asciiTheme="majorHAnsi" w:eastAsiaTheme="majorEastAsia" w:hAnsiTheme="majorHAnsi" w:cstheme="majorBidi"/>
      <w:b/>
      <w:bCs/>
      <w:iCs/>
      <w:color w:val="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0E1076"/>
    <w:rPr>
      <w:rFonts w:asciiTheme="majorHAnsi" w:eastAsiaTheme="majorEastAsia" w:hAnsiTheme="majorHAnsi" w:cstheme="majorBidi"/>
      <w:bCs/>
      <w:color w:val="000000" w:themeColor="text1"/>
      <w:sz w:val="60"/>
      <w:szCs w:val="60"/>
      <w:lang w:val="cs-CZ"/>
    </w:rPr>
  </w:style>
  <w:style w:type="character" w:customStyle="1" w:styleId="Nadpis2Char">
    <w:name w:val="Nadpis 2 Char"/>
    <w:basedOn w:val="Standardnpsmoodstavce"/>
    <w:link w:val="Nadpis2"/>
    <w:uiPriority w:val="9"/>
    <w:rsid w:val="002318FD"/>
    <w:rPr>
      <w:rFonts w:asciiTheme="majorHAnsi" w:eastAsiaTheme="majorEastAsia" w:hAnsiTheme="majorHAnsi" w:cstheme="majorBidi"/>
      <w:b/>
      <w:bCs/>
      <w:color w:val="62B5E5" w:themeColor="accent3"/>
      <w:sz w:val="18"/>
      <w:szCs w:val="26"/>
      <w:lang w:val="cs-CZ"/>
    </w:rPr>
  </w:style>
  <w:style w:type="table" w:styleId="Mkatabulky">
    <w:name w:val="Table Grid"/>
    <w:basedOn w:val="Normlntabulka"/>
    <w:uiPriority w:val="59"/>
    <w:rsid w:val="001E016B"/>
    <w:pPr>
      <w:spacing w:after="0" w:line="240" w:lineRule="auto"/>
    </w:pPr>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styleId="Zhlav">
    <w:name w:val="header"/>
    <w:link w:val="ZhlavChar"/>
    <w:uiPriority w:val="99"/>
    <w:rsid w:val="008631CE"/>
    <w:pPr>
      <w:tabs>
        <w:tab w:val="center" w:pos="4513"/>
        <w:tab w:val="right" w:pos="9026"/>
      </w:tabs>
      <w:spacing w:after="0" w:line="240" w:lineRule="auto"/>
    </w:pPr>
    <w:rPr>
      <w:b/>
      <w:sz w:val="14"/>
      <w:lang w:val="en-US"/>
    </w:rPr>
  </w:style>
  <w:style w:type="character" w:customStyle="1" w:styleId="ZhlavChar">
    <w:name w:val="Záhlaví Char"/>
    <w:basedOn w:val="Standardnpsmoodstavce"/>
    <w:link w:val="Zhlav"/>
    <w:uiPriority w:val="99"/>
    <w:rsid w:val="008631CE"/>
    <w:rPr>
      <w:b/>
      <w:sz w:val="14"/>
      <w:lang w:val="en-US"/>
    </w:rPr>
  </w:style>
  <w:style w:type="paragraph" w:styleId="Zpat">
    <w:name w:val="footer"/>
    <w:basedOn w:val="Normln"/>
    <w:link w:val="ZpatChar"/>
    <w:uiPriority w:val="99"/>
    <w:rsid w:val="001975EF"/>
    <w:pPr>
      <w:tabs>
        <w:tab w:val="right" w:pos="7371"/>
      </w:tabs>
      <w:spacing w:after="0" w:line="200" w:lineRule="atLeast"/>
    </w:pPr>
    <w:rPr>
      <w:sz w:val="16"/>
    </w:rPr>
  </w:style>
  <w:style w:type="character" w:customStyle="1" w:styleId="ZpatChar">
    <w:name w:val="Zápatí Char"/>
    <w:basedOn w:val="Standardnpsmoodstavce"/>
    <w:link w:val="Zpat"/>
    <w:uiPriority w:val="99"/>
    <w:rsid w:val="007550AB"/>
    <w:rPr>
      <w:sz w:val="16"/>
      <w:lang w:val="en-US"/>
    </w:rPr>
  </w:style>
  <w:style w:type="paragraph" w:styleId="Textbubliny">
    <w:name w:val="Balloon Text"/>
    <w:basedOn w:val="Normln"/>
    <w:link w:val="TextbublinyChar"/>
    <w:uiPriority w:val="99"/>
    <w:semiHidden/>
    <w:rsid w:val="00C702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702C7"/>
    <w:rPr>
      <w:rFonts w:ascii="Tahoma" w:hAnsi="Tahoma" w:cs="Tahoma"/>
      <w:sz w:val="16"/>
      <w:szCs w:val="16"/>
    </w:rPr>
  </w:style>
  <w:style w:type="paragraph" w:customStyle="1" w:styleId="Subject">
    <w:name w:val="Subject"/>
    <w:basedOn w:val="Normln"/>
    <w:semiHidden/>
    <w:qFormat/>
    <w:rsid w:val="00A43B3E"/>
    <w:rPr>
      <w:b/>
    </w:rPr>
  </w:style>
  <w:style w:type="character" w:styleId="Zstupntext">
    <w:name w:val="Placeholder Text"/>
    <w:basedOn w:val="Standardnpsmoodstavce"/>
    <w:uiPriority w:val="99"/>
    <w:semiHidden/>
    <w:rsid w:val="001975EF"/>
    <w:rPr>
      <w:color w:val="808080"/>
    </w:rPr>
  </w:style>
  <w:style w:type="paragraph" w:styleId="Seznamsodrkami">
    <w:name w:val="List Bullet"/>
    <w:basedOn w:val="Normln"/>
    <w:uiPriority w:val="99"/>
    <w:qFormat/>
    <w:rsid w:val="00544D24"/>
    <w:pPr>
      <w:numPr>
        <w:numId w:val="1"/>
      </w:numPr>
      <w:tabs>
        <w:tab w:val="clear" w:pos="360"/>
      </w:tabs>
      <w:spacing w:after="0"/>
      <w:ind w:left="284" w:hanging="284"/>
      <w:contextualSpacing/>
    </w:pPr>
  </w:style>
  <w:style w:type="paragraph" w:styleId="Seznamsodrkami2">
    <w:name w:val="List Bullet 2"/>
    <w:basedOn w:val="Normln"/>
    <w:uiPriority w:val="99"/>
    <w:qFormat/>
    <w:rsid w:val="002B4D02"/>
    <w:pPr>
      <w:numPr>
        <w:numId w:val="2"/>
      </w:numPr>
      <w:ind w:left="568" w:hanging="284"/>
      <w:contextualSpacing/>
    </w:pPr>
  </w:style>
  <w:style w:type="paragraph" w:styleId="slovanseznam">
    <w:name w:val="List Number"/>
    <w:basedOn w:val="Normln"/>
    <w:uiPriority w:val="99"/>
    <w:qFormat/>
    <w:rsid w:val="00544D24"/>
    <w:pPr>
      <w:numPr>
        <w:numId w:val="3"/>
      </w:numPr>
      <w:tabs>
        <w:tab w:val="clear" w:pos="360"/>
      </w:tabs>
      <w:spacing w:after="0"/>
      <w:ind w:left="284" w:hanging="284"/>
      <w:contextualSpacing/>
    </w:pPr>
  </w:style>
  <w:style w:type="paragraph" w:styleId="slovanseznam2">
    <w:name w:val="List Number 2"/>
    <w:basedOn w:val="Normln"/>
    <w:uiPriority w:val="99"/>
    <w:qFormat/>
    <w:rsid w:val="00D35C72"/>
    <w:pPr>
      <w:numPr>
        <w:numId w:val="4"/>
      </w:numPr>
      <w:ind w:left="568" w:hanging="284"/>
      <w:contextualSpacing/>
    </w:pPr>
  </w:style>
  <w:style w:type="character" w:customStyle="1" w:styleId="Nadpis3Char">
    <w:name w:val="Nadpis 3 Char"/>
    <w:basedOn w:val="Standardnpsmoodstavce"/>
    <w:link w:val="Nadpis3"/>
    <w:uiPriority w:val="9"/>
    <w:rsid w:val="000E1076"/>
    <w:rPr>
      <w:rFonts w:asciiTheme="majorHAnsi" w:eastAsiaTheme="majorEastAsia" w:hAnsiTheme="majorHAnsi" w:cstheme="majorBidi"/>
      <w:b/>
      <w:bCs/>
      <w:color w:val="000000" w:themeColor="text1"/>
      <w:sz w:val="18"/>
      <w:lang w:val="cs-CZ"/>
    </w:rPr>
  </w:style>
  <w:style w:type="character" w:customStyle="1" w:styleId="Nadpis4Char">
    <w:name w:val="Nadpis 4 Char"/>
    <w:basedOn w:val="Standardnpsmoodstavce"/>
    <w:link w:val="Nadpis4"/>
    <w:uiPriority w:val="9"/>
    <w:semiHidden/>
    <w:rsid w:val="007550AB"/>
    <w:rPr>
      <w:rFonts w:asciiTheme="majorHAnsi" w:eastAsiaTheme="majorEastAsia" w:hAnsiTheme="majorHAnsi" w:cstheme="majorBidi"/>
      <w:b/>
      <w:bCs/>
      <w:iCs/>
      <w:color w:val="000000" w:themeColor="text1"/>
      <w:sz w:val="18"/>
      <w:lang w:val="cs-CZ"/>
    </w:rPr>
  </w:style>
  <w:style w:type="paragraph" w:styleId="Textpoznpodarou">
    <w:name w:val="footnote text"/>
    <w:basedOn w:val="Normln"/>
    <w:link w:val="TextpoznpodarouChar"/>
    <w:rsid w:val="00F3081C"/>
    <w:pPr>
      <w:spacing w:after="0" w:line="240" w:lineRule="auto"/>
    </w:pPr>
    <w:rPr>
      <w:sz w:val="16"/>
      <w:szCs w:val="20"/>
    </w:rPr>
  </w:style>
  <w:style w:type="character" w:customStyle="1" w:styleId="TextpoznpodarouChar">
    <w:name w:val="Text pozn. pod čarou Char"/>
    <w:basedOn w:val="Standardnpsmoodstavce"/>
    <w:link w:val="Textpoznpodarou"/>
    <w:qFormat/>
    <w:rsid w:val="007550AB"/>
    <w:rPr>
      <w:sz w:val="16"/>
      <w:szCs w:val="20"/>
      <w:lang w:val="en-US"/>
    </w:rPr>
  </w:style>
  <w:style w:type="paragraph" w:customStyle="1" w:styleId="Documenttitle">
    <w:name w:val="Document title"/>
    <w:next w:val="Documentsubtitle"/>
    <w:qFormat/>
    <w:rsid w:val="00A7281A"/>
    <w:pPr>
      <w:spacing w:after="0" w:line="440" w:lineRule="atLeast"/>
    </w:pPr>
    <w:rPr>
      <w:rFonts w:asciiTheme="majorHAnsi" w:eastAsiaTheme="majorEastAsia" w:hAnsiTheme="majorHAnsi" w:cstheme="majorBidi"/>
      <w:b/>
      <w:bCs/>
      <w:color w:val="000000" w:themeColor="text1"/>
      <w:sz w:val="36"/>
      <w:szCs w:val="28"/>
    </w:rPr>
  </w:style>
  <w:style w:type="paragraph" w:customStyle="1" w:styleId="Subheading">
    <w:name w:val="Subheading"/>
    <w:basedOn w:val="Normln"/>
    <w:next w:val="Normln"/>
    <w:semiHidden/>
    <w:qFormat/>
    <w:rsid w:val="00D236E8"/>
    <w:pPr>
      <w:spacing w:after="0"/>
    </w:pPr>
    <w:rPr>
      <w:rFonts w:asciiTheme="majorHAnsi" w:eastAsiaTheme="majorEastAsia" w:hAnsiTheme="majorHAnsi" w:cstheme="majorBidi"/>
      <w:b/>
      <w:bCs/>
      <w:iCs/>
      <w:color w:val="000000" w:themeColor="text1"/>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fr"/>
    <w:basedOn w:val="Standardnpsmoodstavce"/>
    <w:qFormat/>
    <w:rsid w:val="00412EA0"/>
    <w:rPr>
      <w:vertAlign w:val="superscript"/>
    </w:rPr>
  </w:style>
  <w:style w:type="paragraph" w:customStyle="1" w:styleId="Sectionintro">
    <w:name w:val="Section intro"/>
    <w:basedOn w:val="Normln"/>
    <w:next w:val="Normln"/>
    <w:qFormat/>
    <w:rsid w:val="00212852"/>
    <w:pPr>
      <w:spacing w:line="360" w:lineRule="atLeast"/>
    </w:pPr>
    <w:rPr>
      <w:sz w:val="28"/>
    </w:rPr>
  </w:style>
  <w:style w:type="paragraph" w:customStyle="1" w:styleId="Documentdate">
    <w:name w:val="Document date"/>
    <w:qFormat/>
    <w:rsid w:val="007550AB"/>
    <w:pPr>
      <w:spacing w:after="0" w:line="240" w:lineRule="atLeast"/>
    </w:pPr>
    <w:rPr>
      <w:sz w:val="18"/>
      <w:lang w:val="en-US"/>
    </w:rPr>
  </w:style>
  <w:style w:type="paragraph" w:customStyle="1" w:styleId="Sectiontitle">
    <w:name w:val="Section title"/>
    <w:basedOn w:val="Normln"/>
    <w:next w:val="Normln"/>
    <w:autoRedefine/>
    <w:qFormat/>
    <w:rsid w:val="00281C0C"/>
    <w:pPr>
      <w:spacing w:after="480" w:line="720" w:lineRule="atLeast"/>
    </w:pPr>
    <w:rPr>
      <w:sz w:val="52"/>
    </w:rPr>
  </w:style>
  <w:style w:type="paragraph" w:customStyle="1" w:styleId="PulloutBlue">
    <w:name w:val="Pullout Blue"/>
    <w:basedOn w:val="Normln"/>
    <w:next w:val="Normln"/>
    <w:qFormat/>
    <w:rsid w:val="00DD5A1B"/>
    <w:pPr>
      <w:spacing w:line="360" w:lineRule="atLeast"/>
    </w:pPr>
    <w:rPr>
      <w:color w:val="62B5E5" w:themeColor="accent3"/>
      <w:sz w:val="28"/>
    </w:rPr>
  </w:style>
  <w:style w:type="paragraph" w:customStyle="1" w:styleId="Contacttext">
    <w:name w:val="Contact text"/>
    <w:basedOn w:val="Normln"/>
    <w:qFormat/>
    <w:rsid w:val="00D7732D"/>
    <w:pPr>
      <w:spacing w:after="0"/>
    </w:pPr>
  </w:style>
  <w:style w:type="paragraph" w:customStyle="1" w:styleId="Contactus">
    <w:name w:val="Contact us"/>
    <w:basedOn w:val="Contacttext"/>
    <w:next w:val="Contacttext"/>
    <w:qFormat/>
    <w:rsid w:val="00D7732D"/>
    <w:pPr>
      <w:spacing w:after="240" w:line="340" w:lineRule="atLeast"/>
    </w:pPr>
    <w:rPr>
      <w:sz w:val="28"/>
    </w:rPr>
  </w:style>
  <w:style w:type="paragraph" w:styleId="Titulek">
    <w:name w:val="caption"/>
    <w:aliases w:val="Schema"/>
    <w:basedOn w:val="Normln"/>
    <w:next w:val="Normln"/>
    <w:link w:val="TitulekChar"/>
    <w:qFormat/>
    <w:rsid w:val="00B46969"/>
    <w:pPr>
      <w:keepNext/>
      <w:spacing w:line="240" w:lineRule="auto"/>
    </w:pPr>
    <w:rPr>
      <w:iCs/>
      <w:color w:val="75787B" w:themeColor="accent6"/>
      <w:sz w:val="17"/>
      <w:szCs w:val="18"/>
    </w:rPr>
  </w:style>
  <w:style w:type="character" w:styleId="Hypertextovodkaz">
    <w:name w:val="Hyperlink"/>
    <w:basedOn w:val="Standardnpsmoodstavce"/>
    <w:uiPriority w:val="99"/>
    <w:unhideWhenUsed/>
    <w:rsid w:val="00E94C20"/>
    <w:rPr>
      <w:color w:val="00A3E0" w:themeColor="hyperlink"/>
      <w:u w:val="single"/>
    </w:rPr>
  </w:style>
  <w:style w:type="paragraph" w:customStyle="1" w:styleId="PulloutGreen">
    <w:name w:val="Pullout Green"/>
    <w:basedOn w:val="PulloutBlue"/>
    <w:next w:val="Normln"/>
    <w:qFormat/>
    <w:rsid w:val="00822995"/>
    <w:rPr>
      <w:color w:val="86BC25" w:themeColor="accent1"/>
    </w:rPr>
  </w:style>
  <w:style w:type="paragraph" w:customStyle="1" w:styleId="QuotesourceBlue">
    <w:name w:val="Quote source Blue"/>
    <w:basedOn w:val="Normln"/>
    <w:next w:val="Normln"/>
    <w:qFormat/>
    <w:rsid w:val="000516C4"/>
    <w:pPr>
      <w:spacing w:line="200" w:lineRule="atLeast"/>
      <w:contextualSpacing/>
    </w:pPr>
    <w:rPr>
      <w:b/>
      <w:color w:val="62B5E5" w:themeColor="accent3"/>
      <w:sz w:val="17"/>
    </w:rPr>
  </w:style>
  <w:style w:type="paragraph" w:customStyle="1" w:styleId="QuotesourceGreen">
    <w:name w:val="Quote source Green"/>
    <w:basedOn w:val="QuotesourceBlue"/>
    <w:next w:val="Normln"/>
    <w:qFormat/>
    <w:rsid w:val="000516C4"/>
    <w:rPr>
      <w:color w:val="86BC25" w:themeColor="accent1"/>
    </w:rPr>
  </w:style>
  <w:style w:type="paragraph" w:customStyle="1" w:styleId="Paneltext">
    <w:name w:val="Panel text"/>
    <w:basedOn w:val="Normln"/>
    <w:qFormat/>
    <w:rsid w:val="00AE0FC7"/>
    <w:rPr>
      <w:color w:val="FFFFFF" w:themeColor="background1"/>
      <w:sz w:val="17"/>
    </w:rPr>
  </w:style>
  <w:style w:type="paragraph" w:customStyle="1" w:styleId="Paneltitle">
    <w:name w:val="Panel title"/>
    <w:basedOn w:val="Paneltext"/>
    <w:next w:val="Paneltext"/>
    <w:qFormat/>
    <w:rsid w:val="00D0023B"/>
    <w:pPr>
      <w:spacing w:line="360" w:lineRule="atLeast"/>
    </w:pPr>
    <w:rPr>
      <w:b/>
      <w:sz w:val="28"/>
    </w:rPr>
  </w:style>
  <w:style w:type="paragraph" w:customStyle="1" w:styleId="Documentsubtitle">
    <w:name w:val="Document subtitle"/>
    <w:basedOn w:val="Normln"/>
    <w:qFormat/>
    <w:rsid w:val="006528C9"/>
    <w:pPr>
      <w:spacing w:after="120" w:line="440" w:lineRule="atLeast"/>
    </w:pPr>
    <w:rPr>
      <w:sz w:val="36"/>
    </w:rPr>
  </w:style>
  <w:style w:type="paragraph" w:customStyle="1" w:styleId="Contentstitle">
    <w:name w:val="Contents title"/>
    <w:basedOn w:val="Sectiontitle"/>
    <w:next w:val="Normln"/>
    <w:qFormat/>
    <w:rsid w:val="00244010"/>
  </w:style>
  <w:style w:type="paragraph" w:styleId="Obsah1">
    <w:name w:val="toc 1"/>
    <w:basedOn w:val="Normln"/>
    <w:next w:val="Normln"/>
    <w:autoRedefine/>
    <w:uiPriority w:val="39"/>
    <w:rsid w:val="00BC76FD"/>
    <w:pPr>
      <w:tabs>
        <w:tab w:val="left" w:pos="440"/>
        <w:tab w:val="right" w:pos="9781"/>
      </w:tabs>
      <w:spacing w:after="120" w:line="360" w:lineRule="atLeast"/>
    </w:pPr>
    <w:rPr>
      <w:sz w:val="28"/>
    </w:rPr>
  </w:style>
  <w:style w:type="paragraph" w:customStyle="1" w:styleId="Quotetext">
    <w:name w:val="Quote text"/>
    <w:basedOn w:val="PulloutBlue"/>
    <w:qFormat/>
    <w:rsid w:val="003E49BA"/>
    <w:pPr>
      <w:spacing w:after="0" w:line="720" w:lineRule="atLeast"/>
    </w:pPr>
    <w:rPr>
      <w:color w:val="FFFFFF" w:themeColor="background1"/>
      <w:sz w:val="60"/>
    </w:rPr>
  </w:style>
  <w:style w:type="paragraph" w:customStyle="1" w:styleId="Legaltext">
    <w:name w:val="Legal text"/>
    <w:basedOn w:val="Normln"/>
    <w:qFormat/>
    <w:rsid w:val="00BF6F8B"/>
    <w:pPr>
      <w:spacing w:after="0" w:line="180" w:lineRule="atLeast"/>
      <w:ind w:right="5387"/>
    </w:pPr>
    <w:rPr>
      <w:sz w:val="14"/>
    </w:rPr>
  </w:style>
  <w:style w:type="table" w:customStyle="1" w:styleId="Deloittetable">
    <w:name w:val="Deloitte table"/>
    <w:basedOn w:val="Normlntabulka"/>
    <w:uiPriority w:val="99"/>
    <w:rsid w:val="002E114E"/>
    <w:pPr>
      <w:spacing w:after="0" w:line="240" w:lineRule="auto"/>
    </w:pPr>
    <w:rPr>
      <w:sz w:val="17"/>
    </w:rPr>
    <w:tblPr>
      <w:tblBorders>
        <w:top w:val="single" w:sz="6" w:space="0" w:color="D9D9D9" w:themeColor="background1" w:themeShade="D9"/>
        <w:bottom w:val="single" w:sz="6" w:space="0" w:color="D9D9D9" w:themeColor="background1" w:themeShade="D9"/>
        <w:insideH w:val="single" w:sz="6" w:space="0" w:color="D9D9D9" w:themeColor="background1" w:themeShade="D9"/>
      </w:tblBorders>
      <w:tblCellMar>
        <w:top w:w="57" w:type="dxa"/>
        <w:left w:w="0" w:type="dxa"/>
        <w:bottom w:w="57" w:type="dxa"/>
        <w:right w:w="0" w:type="dxa"/>
      </w:tblCellMar>
    </w:tblPr>
    <w:tblStylePr w:type="firstRow">
      <w:rPr>
        <w:rFonts w:asciiTheme="majorHAnsi" w:hAnsiTheme="majorHAnsi"/>
        <w:b/>
        <w:color w:val="86BC25" w:themeColor="accent1"/>
        <w:sz w:val="17"/>
      </w:rPr>
      <w:tblPr/>
      <w:tcPr>
        <w:tcBorders>
          <w:top w:val="single" w:sz="24" w:space="0" w:color="86BC25" w:themeColor="accent1"/>
        </w:tcBorders>
      </w:tcPr>
    </w:tblStylePr>
  </w:style>
  <w:style w:type="paragraph" w:customStyle="1" w:styleId="Tabletext">
    <w:name w:val="Table text"/>
    <w:basedOn w:val="Normln"/>
    <w:qFormat/>
    <w:rsid w:val="004D1F57"/>
    <w:pPr>
      <w:spacing w:after="0" w:line="200" w:lineRule="atLeast"/>
    </w:pPr>
    <w:rPr>
      <w:sz w:val="17"/>
    </w:rPr>
  </w:style>
  <w:style w:type="paragraph" w:customStyle="1" w:styleId="Tabletitle">
    <w:name w:val="Table title"/>
    <w:basedOn w:val="Tabletext"/>
    <w:qFormat/>
    <w:rsid w:val="002E114E"/>
    <w:rPr>
      <w:b/>
      <w:color w:val="86BC25" w:themeColor="accent1"/>
    </w:rPr>
  </w:style>
  <w:style w:type="paragraph" w:customStyle="1" w:styleId="SourcetextTableorChart">
    <w:name w:val="Source text Table or Chart"/>
    <w:basedOn w:val="Titulek"/>
    <w:next w:val="Normln"/>
    <w:qFormat/>
    <w:rsid w:val="003B3379"/>
    <w:pPr>
      <w:spacing w:before="120"/>
    </w:pPr>
    <w:rPr>
      <w:sz w:val="14"/>
    </w:rPr>
  </w:style>
  <w:style w:type="paragraph" w:customStyle="1" w:styleId="Tablebullets">
    <w:name w:val="Table bullets"/>
    <w:basedOn w:val="Tabletext"/>
    <w:qFormat/>
    <w:rsid w:val="00AD6475"/>
    <w:pPr>
      <w:numPr>
        <w:numId w:val="5"/>
      </w:numPr>
      <w:ind w:left="284" w:hanging="284"/>
    </w:pPr>
  </w:style>
  <w:style w:type="paragraph" w:customStyle="1" w:styleId="Tablenumbered">
    <w:name w:val="Table numbered"/>
    <w:basedOn w:val="Tablebullets"/>
    <w:qFormat/>
    <w:rsid w:val="00AD6475"/>
    <w:pPr>
      <w:numPr>
        <w:numId w:val="6"/>
      </w:numPr>
      <w:ind w:left="284" w:hanging="284"/>
    </w:pPr>
  </w:style>
  <w:style w:type="table" w:customStyle="1" w:styleId="Deloittetable2">
    <w:name w:val="Deloitte table 2"/>
    <w:basedOn w:val="Normlntabulka"/>
    <w:rsid w:val="008962D0"/>
    <w:pPr>
      <w:spacing w:after="0" w:line="240" w:lineRule="auto"/>
    </w:pPr>
    <w:rPr>
      <w:rFonts w:ascii="Arial" w:eastAsia="Times New Roman" w:hAnsi="Arial" w:cs="Times New Roman"/>
      <w:sz w:val="19"/>
      <w:szCs w:val="20"/>
      <w:lang w:val="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customStyle="1" w:styleId="Deloittetable82">
    <w:name w:val="Deloitte table 8.2"/>
    <w:basedOn w:val="Normlntabulka"/>
    <w:rsid w:val="008962D0"/>
    <w:pPr>
      <w:spacing w:after="0" w:line="240" w:lineRule="auto"/>
    </w:pPr>
    <w:rPr>
      <w:rFonts w:ascii="Arial" w:eastAsia="Times New Roman" w:hAnsi="Arial" w:cs="Times New Roman"/>
      <w:sz w:val="19"/>
      <w:szCs w:val="20"/>
      <w:lang w:val="en-US"/>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paragraph" w:customStyle="1" w:styleId="BulletedText1">
    <w:name w:val="Bulleted Text 1"/>
    <w:basedOn w:val="Normln"/>
    <w:qFormat/>
    <w:rsid w:val="006716D9"/>
    <w:pPr>
      <w:spacing w:after="0" w:line="250" w:lineRule="atLeast"/>
      <w:ind w:left="170" w:hanging="170"/>
    </w:pPr>
    <w:rPr>
      <w:lang w:val="en-GB"/>
    </w:rPr>
  </w:style>
  <w:style w:type="paragraph" w:customStyle="1" w:styleId="Highlight1">
    <w:name w:val="Highlight 1"/>
    <w:basedOn w:val="Normln"/>
    <w:qFormat/>
    <w:rsid w:val="00684C05"/>
    <w:pPr>
      <w:spacing w:after="0" w:line="240" w:lineRule="auto"/>
    </w:pPr>
    <w:rPr>
      <w:rFonts w:ascii="Arial" w:eastAsia="Times New Roman" w:hAnsi="Arial" w:cs="Times New Roman"/>
      <w:b/>
      <w:color w:val="0097A9" w:themeColor="accent5"/>
      <w:sz w:val="20"/>
      <w:szCs w:val="16"/>
    </w:rPr>
  </w:style>
  <w:style w:type="character" w:styleId="Odkaznakoment">
    <w:name w:val="annotation reference"/>
    <w:basedOn w:val="Standardnpsmoodstavce"/>
    <w:uiPriority w:val="99"/>
    <w:qFormat/>
    <w:rsid w:val="003F5252"/>
    <w:rPr>
      <w:sz w:val="16"/>
      <w:szCs w:val="16"/>
    </w:rPr>
  </w:style>
  <w:style w:type="paragraph" w:styleId="Textkomente">
    <w:name w:val="annotation text"/>
    <w:basedOn w:val="Normln"/>
    <w:link w:val="TextkomenteChar"/>
    <w:uiPriority w:val="99"/>
    <w:rsid w:val="003F5252"/>
    <w:pPr>
      <w:spacing w:after="0" w:line="240" w:lineRule="auto"/>
    </w:pPr>
    <w:rPr>
      <w:rFonts w:ascii="Arial" w:eastAsia="Times New Roman" w:hAnsi="Arial" w:cs="Times New Roman"/>
      <w:sz w:val="20"/>
      <w:szCs w:val="20"/>
    </w:rPr>
  </w:style>
  <w:style w:type="character" w:customStyle="1" w:styleId="TextkomenteChar">
    <w:name w:val="Text komentáře Char"/>
    <w:basedOn w:val="Standardnpsmoodstavce"/>
    <w:link w:val="Textkomente"/>
    <w:uiPriority w:val="99"/>
    <w:rsid w:val="003F5252"/>
    <w:rPr>
      <w:rFonts w:ascii="Arial" w:eastAsia="Times New Roman" w:hAnsi="Arial" w:cs="Times New Roman"/>
      <w:sz w:val="20"/>
      <w:szCs w:val="20"/>
      <w:lang w:val="en-US"/>
    </w:rPr>
  </w:style>
  <w:style w:type="table" w:customStyle="1" w:styleId="Deloittetable86">
    <w:name w:val="Deloitte table 8.6"/>
    <w:basedOn w:val="Normlntabulka"/>
    <w:rsid w:val="00684C05"/>
    <w:pPr>
      <w:spacing w:after="0" w:line="240" w:lineRule="auto"/>
    </w:pPr>
    <w:rPr>
      <w:rFonts w:ascii="Arial" w:eastAsia="Times New Roman" w:hAnsi="Arial" w:cs="Times New Roman"/>
      <w:sz w:val="19"/>
      <w:szCs w:val="20"/>
      <w:lang w:val="en-US"/>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paragraph" w:styleId="Normlnweb">
    <w:name w:val="Normal (Web)"/>
    <w:basedOn w:val="Normln"/>
    <w:uiPriority w:val="99"/>
    <w:semiHidden/>
    <w:unhideWhenUsed/>
    <w:rsid w:val="007309F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aliases w:val="A-Odrážky1,Odstavec_muj,Nad,_Odstavec se seznamem,Odstavec_muj1,Odstavec_muj2,Odstavec_muj3,Nad1,Odstavec_muj4,Nad2,List Paragraph2,Odstavec_muj5,Odstavec_muj6,Odstavec_muj7,Odstavec_muj8,Odstavec_muj9,List Paragraph1"/>
    <w:basedOn w:val="Normln"/>
    <w:link w:val="OdstavecseseznamemChar"/>
    <w:uiPriority w:val="34"/>
    <w:qFormat/>
    <w:rsid w:val="002945DE"/>
    <w:pPr>
      <w:ind w:left="720"/>
      <w:contextualSpacing/>
    </w:pPr>
  </w:style>
  <w:style w:type="paragraph" w:customStyle="1" w:styleId="Bntext">
    <w:name w:val="Běžný text"/>
    <w:basedOn w:val="Normln"/>
    <w:qFormat/>
    <w:rsid w:val="002945DE"/>
    <w:pPr>
      <w:spacing w:before="100" w:after="100" w:line="240" w:lineRule="auto"/>
      <w:jc w:val="both"/>
    </w:pPr>
    <w:rPr>
      <w:rFonts w:ascii="Arial" w:eastAsiaTheme="minorEastAsia" w:hAnsi="Arial"/>
      <w:sz w:val="19"/>
      <w:lang w:eastAsia="cs-CZ"/>
    </w:rPr>
  </w:style>
  <w:style w:type="paragraph" w:styleId="Pedmtkomente">
    <w:name w:val="annotation subject"/>
    <w:basedOn w:val="Textkomente"/>
    <w:next w:val="Textkomente"/>
    <w:link w:val="PedmtkomenteChar"/>
    <w:uiPriority w:val="99"/>
    <w:semiHidden/>
    <w:rsid w:val="00601C92"/>
    <w:pPr>
      <w:spacing w:after="24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601C92"/>
    <w:rPr>
      <w:rFonts w:ascii="Arial" w:eastAsia="Times New Roman" w:hAnsi="Arial" w:cs="Times New Roman"/>
      <w:b/>
      <w:bCs/>
      <w:sz w:val="20"/>
      <w:szCs w:val="20"/>
      <w:lang w:val="cs-CZ"/>
    </w:rPr>
  </w:style>
  <w:style w:type="character" w:customStyle="1" w:styleId="OdstavecseseznamemChar">
    <w:name w:val="Odstavec se seznamem Char"/>
    <w:aliases w:val="A-Odrážky1 Char,Odstavec_muj Char,Nad Char,_Odstavec se seznamem Char,Odstavec_muj1 Char,Odstavec_muj2 Char,Odstavec_muj3 Char,Nad1 Char,Odstavec_muj4 Char,Nad2 Char,List Paragraph2 Char,Odstavec_muj5 Char,Odstavec_muj6 Char"/>
    <w:link w:val="Odstavecseseznamem"/>
    <w:uiPriority w:val="34"/>
    <w:qFormat/>
    <w:locked/>
    <w:rsid w:val="00933261"/>
    <w:rPr>
      <w:sz w:val="18"/>
      <w:lang w:val="cs-CZ"/>
    </w:rPr>
  </w:style>
  <w:style w:type="table" w:customStyle="1" w:styleId="Deloittetable21">
    <w:name w:val="Deloitte table 21"/>
    <w:basedOn w:val="Normlntabulka"/>
    <w:rsid w:val="00933261"/>
    <w:pPr>
      <w:spacing w:after="0" w:line="240" w:lineRule="auto"/>
    </w:pPr>
    <w:rPr>
      <w:sz w:val="19"/>
      <w:szCs w:val="20"/>
      <w:lang w:val="cs-CZ" w:eastAsia="cs-CZ"/>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b/>
        <w:color w:val="FFFFFF"/>
        <w:sz w:val="19"/>
      </w:rPr>
      <w:tblPr/>
      <w:tcPr>
        <w:shd w:val="clear" w:color="auto" w:fill="00A1DE"/>
      </w:tcPr>
    </w:tblStylePr>
    <w:tblStylePr w:type="firstCol">
      <w:rPr>
        <w:sz w:val="19"/>
      </w:rPr>
    </w:tblStylePr>
  </w:style>
  <w:style w:type="paragraph" w:customStyle="1" w:styleId="Bodyodsazene">
    <w:name w:val="Body odsazene"/>
    <w:basedOn w:val="Normln"/>
    <w:qFormat/>
    <w:rsid w:val="00933261"/>
    <w:pPr>
      <w:spacing w:before="120" w:after="120" w:line="250" w:lineRule="atLeast"/>
    </w:pPr>
    <w:rPr>
      <w:rFonts w:ascii="Arial" w:hAnsi="Arial" w:cs="Times New Roman"/>
      <w:color w:val="000000"/>
      <w:szCs w:val="48"/>
    </w:rPr>
  </w:style>
  <w:style w:type="table" w:styleId="Svtlseznamzvraznn1">
    <w:name w:val="Light List Accent 1"/>
    <w:basedOn w:val="Normlntabulka"/>
    <w:uiPriority w:val="61"/>
    <w:rsid w:val="00670314"/>
    <w:pPr>
      <w:spacing w:after="0" w:line="240" w:lineRule="auto"/>
    </w:pPr>
    <w:rPr>
      <w:sz w:val="20"/>
    </w:r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tblBorders>
    </w:tblPr>
    <w:tblStylePr w:type="firstRow">
      <w:pPr>
        <w:spacing w:before="0" w:after="0" w:line="240" w:lineRule="auto"/>
      </w:pPr>
      <w:rPr>
        <w:b/>
        <w:bCs/>
        <w:color w:val="FFFFFF" w:themeColor="background1"/>
      </w:rPr>
      <w:tblPr/>
      <w:tcPr>
        <w:shd w:val="clear" w:color="auto" w:fill="86BC25" w:themeFill="accent1"/>
      </w:tcPr>
    </w:tblStylePr>
    <w:tblStylePr w:type="lastRow">
      <w:pPr>
        <w:spacing w:before="0" w:after="0" w:line="240" w:lineRule="auto"/>
      </w:pPr>
      <w:rPr>
        <w:b/>
        <w:bCs/>
      </w:rPr>
      <w:tblPr/>
      <w:tcPr>
        <w:tcBorders>
          <w:top w:val="double" w:sz="6" w:space="0" w:color="86BC25" w:themeColor="accent1"/>
          <w:left w:val="single" w:sz="8" w:space="0" w:color="86BC25" w:themeColor="accent1"/>
          <w:bottom w:val="single" w:sz="8" w:space="0" w:color="86BC25" w:themeColor="accent1"/>
          <w:right w:val="single" w:sz="8" w:space="0" w:color="86BC25" w:themeColor="accent1"/>
        </w:tcBorders>
      </w:tcPr>
    </w:tblStylePr>
    <w:tblStylePr w:type="firstCol">
      <w:rPr>
        <w:b/>
        <w:bCs/>
      </w:rPr>
    </w:tblStylePr>
    <w:tblStylePr w:type="lastCol">
      <w:rPr>
        <w:b/>
        <w:bCs/>
      </w:rPr>
    </w:tblStylePr>
    <w:tblStylePr w:type="band1Vert">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tblStylePr w:type="band1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style>
  <w:style w:type="paragraph" w:styleId="Revize">
    <w:name w:val="Revision"/>
    <w:hidden/>
    <w:uiPriority w:val="99"/>
    <w:semiHidden/>
    <w:rsid w:val="00670314"/>
    <w:pPr>
      <w:spacing w:after="0" w:line="240" w:lineRule="auto"/>
    </w:pPr>
    <w:rPr>
      <w:sz w:val="18"/>
      <w:lang w:val="cs-CZ"/>
    </w:rPr>
  </w:style>
  <w:style w:type="table" w:customStyle="1" w:styleId="Deloittetable11">
    <w:name w:val="Deloitte table 11"/>
    <w:basedOn w:val="Normlntabulka"/>
    <w:rsid w:val="003C3817"/>
    <w:pPr>
      <w:spacing w:after="0" w:line="240" w:lineRule="auto"/>
    </w:pPr>
    <w:rPr>
      <w:sz w:val="19"/>
      <w:szCs w:val="20"/>
      <w:lang w:val="en-US"/>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sz w:val="19"/>
      </w:rPr>
    </w:tblStylePr>
  </w:style>
  <w:style w:type="character" w:customStyle="1" w:styleId="BodytextChar">
    <w:name w:val="Body text Char"/>
    <w:link w:val="BodyText1"/>
    <w:qFormat/>
    <w:locked/>
    <w:rsid w:val="000B2909"/>
    <w:rPr>
      <w:rFonts w:ascii="Arial" w:hAnsi="Arial" w:cs="Times New Roman"/>
      <w:color w:val="000000"/>
      <w:sz w:val="18"/>
      <w:szCs w:val="48"/>
      <w:lang w:val="cs-CZ"/>
    </w:rPr>
  </w:style>
  <w:style w:type="paragraph" w:customStyle="1" w:styleId="BodyText1">
    <w:name w:val="Body Text1"/>
    <w:link w:val="BodytextChar"/>
    <w:qFormat/>
    <w:rsid w:val="000B2909"/>
    <w:pPr>
      <w:spacing w:after="180" w:line="250" w:lineRule="atLeast"/>
    </w:pPr>
    <w:rPr>
      <w:rFonts w:ascii="Arial" w:hAnsi="Arial" w:cs="Times New Roman"/>
      <w:color w:val="000000"/>
      <w:sz w:val="18"/>
      <w:szCs w:val="48"/>
      <w:lang w:val="cs-CZ"/>
    </w:rPr>
  </w:style>
  <w:style w:type="character" w:customStyle="1" w:styleId="Smlouvaheading1Char">
    <w:name w:val="Smlouva heading 1 Char"/>
    <w:link w:val="Smlouvaheading1"/>
    <w:qFormat/>
    <w:rsid w:val="005D0F09"/>
    <w:rPr>
      <w:rFonts w:ascii="Verdana" w:eastAsia="Verdana" w:hAnsi="Verdana" w:cs="Times New Roman"/>
      <w:b/>
      <w:sz w:val="18"/>
      <w:lang w:val="cs-CZ"/>
    </w:rPr>
  </w:style>
  <w:style w:type="paragraph" w:customStyle="1" w:styleId="Smlouvaheading1">
    <w:name w:val="Smlouva heading 1"/>
    <w:basedOn w:val="Normln"/>
    <w:link w:val="Smlouvaheading1Char"/>
    <w:qFormat/>
    <w:rsid w:val="005D0F09"/>
    <w:pPr>
      <w:spacing w:before="240" w:after="120" w:line="240" w:lineRule="atLeast"/>
      <w:jc w:val="both"/>
    </w:pPr>
    <w:rPr>
      <w:rFonts w:ascii="Verdana" w:eastAsia="Verdana" w:hAnsi="Verdana" w:cs="Times New Roman"/>
      <w:b/>
    </w:rPr>
  </w:style>
  <w:style w:type="table" w:customStyle="1" w:styleId="ListTable3-Accent31">
    <w:name w:val="List Table 3 - Accent 31"/>
    <w:basedOn w:val="Normlntabulka"/>
    <w:uiPriority w:val="48"/>
    <w:rsid w:val="00E93F30"/>
    <w:pPr>
      <w:spacing w:after="0" w:line="240" w:lineRule="auto"/>
    </w:pPr>
    <w:tblPr>
      <w:tblStyleRowBandSize w:val="1"/>
      <w:tblStyleColBandSize w:val="1"/>
      <w:tblBorders>
        <w:top w:val="single" w:sz="4" w:space="0" w:color="62B5E5" w:themeColor="accent3"/>
        <w:left w:val="single" w:sz="4" w:space="0" w:color="62B5E5" w:themeColor="accent3"/>
        <w:bottom w:val="single" w:sz="4" w:space="0" w:color="62B5E5" w:themeColor="accent3"/>
        <w:right w:val="single" w:sz="4" w:space="0" w:color="62B5E5" w:themeColor="accent3"/>
      </w:tblBorders>
    </w:tblPr>
    <w:tblStylePr w:type="firstRow">
      <w:rPr>
        <w:b/>
        <w:bCs/>
        <w:color w:val="FFFFFF" w:themeColor="background1"/>
      </w:rPr>
      <w:tblPr/>
      <w:tcPr>
        <w:shd w:val="clear" w:color="auto" w:fill="62B5E5" w:themeFill="accent3"/>
      </w:tcPr>
    </w:tblStylePr>
    <w:tblStylePr w:type="lastRow">
      <w:rPr>
        <w:b/>
        <w:bCs/>
      </w:rPr>
      <w:tblPr/>
      <w:tcPr>
        <w:tcBorders>
          <w:top w:val="double" w:sz="4" w:space="0" w:color="62B5E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B5E5" w:themeColor="accent3"/>
          <w:right w:val="single" w:sz="4" w:space="0" w:color="62B5E5" w:themeColor="accent3"/>
        </w:tcBorders>
      </w:tcPr>
    </w:tblStylePr>
    <w:tblStylePr w:type="band1Horz">
      <w:tblPr/>
      <w:tcPr>
        <w:tcBorders>
          <w:top w:val="single" w:sz="4" w:space="0" w:color="62B5E5" w:themeColor="accent3"/>
          <w:bottom w:val="single" w:sz="4" w:space="0" w:color="62B5E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B5E5" w:themeColor="accent3"/>
          <w:left w:val="nil"/>
        </w:tcBorders>
      </w:tcPr>
    </w:tblStylePr>
    <w:tblStylePr w:type="swCell">
      <w:tblPr/>
      <w:tcPr>
        <w:tcBorders>
          <w:top w:val="double" w:sz="4" w:space="0" w:color="62B5E5" w:themeColor="accent3"/>
          <w:right w:val="nil"/>
        </w:tcBorders>
      </w:tcPr>
    </w:tblStylePr>
  </w:style>
  <w:style w:type="character" w:customStyle="1" w:styleId="TitulekChar">
    <w:name w:val="Titulek Char"/>
    <w:aliases w:val="Schema Char"/>
    <w:basedOn w:val="Standardnpsmoodstavce"/>
    <w:link w:val="Titulek"/>
    <w:rsid w:val="004F48B4"/>
    <w:rPr>
      <w:iCs/>
      <w:color w:val="75787B" w:themeColor="accent6"/>
      <w:sz w:val="17"/>
      <w:szCs w:val="18"/>
      <w:lang w:val="cs-CZ"/>
    </w:rPr>
  </w:style>
  <w:style w:type="table" w:customStyle="1" w:styleId="GridTable4-Accent11">
    <w:name w:val="Grid Table 4 - Accent 11"/>
    <w:basedOn w:val="Normlntabulka"/>
    <w:uiPriority w:val="49"/>
    <w:rsid w:val="0092664E"/>
    <w:pPr>
      <w:spacing w:after="0" w:line="240" w:lineRule="auto"/>
    </w:p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insideV w:val="single" w:sz="4" w:space="0" w:color="B9E370" w:themeColor="accent1" w:themeTint="99"/>
      </w:tblBorders>
    </w:tblPr>
    <w:tblStylePr w:type="firstRow">
      <w:rPr>
        <w:b/>
        <w:bCs/>
        <w:color w:val="FFFFFF" w:themeColor="background1"/>
      </w:rPr>
      <w:tblPr/>
      <w:tcPr>
        <w:tcBorders>
          <w:top w:val="single" w:sz="4" w:space="0" w:color="86BC25" w:themeColor="accent1"/>
          <w:left w:val="single" w:sz="4" w:space="0" w:color="86BC25" w:themeColor="accent1"/>
          <w:bottom w:val="single" w:sz="4" w:space="0" w:color="86BC25" w:themeColor="accent1"/>
          <w:right w:val="single" w:sz="4" w:space="0" w:color="86BC25" w:themeColor="accent1"/>
          <w:insideH w:val="nil"/>
          <w:insideV w:val="nil"/>
        </w:tcBorders>
        <w:shd w:val="clear" w:color="auto" w:fill="86BC25" w:themeFill="accent1"/>
      </w:tcPr>
    </w:tblStylePr>
    <w:tblStylePr w:type="lastRow">
      <w:rPr>
        <w:b/>
        <w:bCs/>
      </w:rPr>
      <w:tblPr/>
      <w:tcPr>
        <w:tcBorders>
          <w:top w:val="double" w:sz="4" w:space="0" w:color="86BC25" w:themeColor="accent1"/>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ListTable3-Accent11">
    <w:name w:val="List Table 3 - Accent 11"/>
    <w:basedOn w:val="Normlntabulka"/>
    <w:uiPriority w:val="48"/>
    <w:rsid w:val="0092664E"/>
    <w:pPr>
      <w:spacing w:after="0" w:line="240" w:lineRule="auto"/>
    </w:pPr>
    <w:tblPr>
      <w:tblStyleRowBandSize w:val="1"/>
      <w:tblStyleColBandSize w:val="1"/>
      <w:tblBorders>
        <w:top w:val="single" w:sz="4" w:space="0" w:color="86BC25" w:themeColor="accent1"/>
        <w:left w:val="single" w:sz="4" w:space="0" w:color="86BC25" w:themeColor="accent1"/>
        <w:bottom w:val="single" w:sz="4" w:space="0" w:color="86BC25" w:themeColor="accent1"/>
        <w:right w:val="single" w:sz="4" w:space="0" w:color="86BC25" w:themeColor="accent1"/>
      </w:tblBorders>
    </w:tblPr>
    <w:tblStylePr w:type="firstRow">
      <w:rPr>
        <w:b/>
        <w:bCs/>
        <w:color w:val="FFFFFF" w:themeColor="background1"/>
      </w:rPr>
      <w:tblPr/>
      <w:tcPr>
        <w:shd w:val="clear" w:color="auto" w:fill="86BC25" w:themeFill="accent1"/>
      </w:tcPr>
    </w:tblStylePr>
    <w:tblStylePr w:type="lastRow">
      <w:rPr>
        <w:b/>
        <w:bCs/>
      </w:rPr>
      <w:tblPr/>
      <w:tcPr>
        <w:tcBorders>
          <w:top w:val="double" w:sz="4" w:space="0" w:color="86BC2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BC25" w:themeColor="accent1"/>
          <w:right w:val="single" w:sz="4" w:space="0" w:color="86BC25" w:themeColor="accent1"/>
        </w:tcBorders>
      </w:tcPr>
    </w:tblStylePr>
    <w:tblStylePr w:type="band1Horz">
      <w:tblPr/>
      <w:tcPr>
        <w:tcBorders>
          <w:top w:val="single" w:sz="4" w:space="0" w:color="86BC25" w:themeColor="accent1"/>
          <w:bottom w:val="single" w:sz="4" w:space="0" w:color="86BC2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BC25" w:themeColor="accent1"/>
          <w:left w:val="nil"/>
        </w:tcBorders>
      </w:tcPr>
    </w:tblStylePr>
    <w:tblStylePr w:type="swCell">
      <w:tblPr/>
      <w:tcPr>
        <w:tcBorders>
          <w:top w:val="double" w:sz="4" w:space="0" w:color="86BC25" w:themeColor="accent1"/>
          <w:right w:val="nil"/>
        </w:tcBorders>
      </w:tcPr>
    </w:tblStylePr>
  </w:style>
  <w:style w:type="character" w:customStyle="1" w:styleId="Ukotvenpoznmkypodarou">
    <w:name w:val="Ukotvení poznámky pod čarou"/>
    <w:rsid w:val="0092664E"/>
    <w:rPr>
      <w:vertAlign w:val="superscript"/>
    </w:rPr>
  </w:style>
  <w:style w:type="paragraph" w:styleId="Nadpisobsahu">
    <w:name w:val="TOC Heading"/>
    <w:basedOn w:val="Nadpis1"/>
    <w:next w:val="Normln"/>
    <w:uiPriority w:val="39"/>
    <w:unhideWhenUsed/>
    <w:qFormat/>
    <w:rsid w:val="00BC76FD"/>
    <w:pPr>
      <w:pageBreakBefore w:val="0"/>
      <w:numPr>
        <w:numId w:val="0"/>
      </w:numPr>
      <w:spacing w:before="480" w:after="0"/>
      <w:outlineLvl w:val="9"/>
    </w:pPr>
    <w:rPr>
      <w:b/>
      <w:color w:val="638C1B" w:themeColor="accent1" w:themeShade="BF"/>
      <w:sz w:val="28"/>
      <w:szCs w:val="28"/>
      <w:lang w:eastAsia="cs-CZ"/>
    </w:rPr>
  </w:style>
  <w:style w:type="paragraph" w:styleId="Obsah2">
    <w:name w:val="toc 2"/>
    <w:basedOn w:val="Normln"/>
    <w:next w:val="Normln"/>
    <w:autoRedefine/>
    <w:uiPriority w:val="39"/>
    <w:rsid w:val="00BC76FD"/>
    <w:pPr>
      <w:spacing w:after="100"/>
      <w:ind w:left="180"/>
    </w:pPr>
  </w:style>
  <w:style w:type="paragraph" w:styleId="Obsah3">
    <w:name w:val="toc 3"/>
    <w:basedOn w:val="Normln"/>
    <w:next w:val="Normln"/>
    <w:autoRedefine/>
    <w:uiPriority w:val="39"/>
    <w:rsid w:val="00BC76FD"/>
    <w:pPr>
      <w:spacing w:after="100"/>
      <w:ind w:left="360"/>
    </w:pPr>
  </w:style>
  <w:style w:type="paragraph" w:styleId="Seznamobrzk">
    <w:name w:val="table of figures"/>
    <w:basedOn w:val="Normln"/>
    <w:next w:val="Normln"/>
    <w:uiPriority w:val="99"/>
    <w:unhideWhenUsed/>
    <w:rsid w:val="005B62B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5917">
      <w:bodyDiv w:val="1"/>
      <w:marLeft w:val="0"/>
      <w:marRight w:val="0"/>
      <w:marTop w:val="0"/>
      <w:marBottom w:val="0"/>
      <w:divBdr>
        <w:top w:val="none" w:sz="0" w:space="0" w:color="auto"/>
        <w:left w:val="none" w:sz="0" w:space="0" w:color="auto"/>
        <w:bottom w:val="none" w:sz="0" w:space="0" w:color="auto"/>
        <w:right w:val="none" w:sz="0" w:space="0" w:color="auto"/>
      </w:divBdr>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635719455">
      <w:bodyDiv w:val="1"/>
      <w:marLeft w:val="0"/>
      <w:marRight w:val="0"/>
      <w:marTop w:val="0"/>
      <w:marBottom w:val="0"/>
      <w:divBdr>
        <w:top w:val="none" w:sz="0" w:space="0" w:color="auto"/>
        <w:left w:val="none" w:sz="0" w:space="0" w:color="auto"/>
        <w:bottom w:val="none" w:sz="0" w:space="0" w:color="auto"/>
        <w:right w:val="none" w:sz="0" w:space="0" w:color="auto"/>
      </w:divBdr>
    </w:div>
    <w:div w:id="648557991">
      <w:bodyDiv w:val="1"/>
      <w:marLeft w:val="0"/>
      <w:marRight w:val="0"/>
      <w:marTop w:val="0"/>
      <w:marBottom w:val="0"/>
      <w:divBdr>
        <w:top w:val="none" w:sz="0" w:space="0" w:color="auto"/>
        <w:left w:val="none" w:sz="0" w:space="0" w:color="auto"/>
        <w:bottom w:val="none" w:sz="0" w:space="0" w:color="auto"/>
        <w:right w:val="none" w:sz="0" w:space="0" w:color="auto"/>
      </w:divBdr>
    </w:div>
    <w:div w:id="894585504">
      <w:bodyDiv w:val="1"/>
      <w:marLeft w:val="0"/>
      <w:marRight w:val="0"/>
      <w:marTop w:val="0"/>
      <w:marBottom w:val="0"/>
      <w:divBdr>
        <w:top w:val="none" w:sz="0" w:space="0" w:color="auto"/>
        <w:left w:val="none" w:sz="0" w:space="0" w:color="auto"/>
        <w:bottom w:val="none" w:sz="0" w:space="0" w:color="auto"/>
        <w:right w:val="none" w:sz="0" w:space="0" w:color="auto"/>
      </w:divBdr>
    </w:div>
    <w:div w:id="1171916726">
      <w:bodyDiv w:val="1"/>
      <w:marLeft w:val="0"/>
      <w:marRight w:val="0"/>
      <w:marTop w:val="0"/>
      <w:marBottom w:val="0"/>
      <w:divBdr>
        <w:top w:val="none" w:sz="0" w:space="0" w:color="auto"/>
        <w:left w:val="none" w:sz="0" w:space="0" w:color="auto"/>
        <w:bottom w:val="none" w:sz="0" w:space="0" w:color="auto"/>
        <w:right w:val="none" w:sz="0" w:space="0" w:color="auto"/>
      </w:divBdr>
    </w:div>
    <w:div w:id="1245993186">
      <w:bodyDiv w:val="1"/>
      <w:marLeft w:val="0"/>
      <w:marRight w:val="0"/>
      <w:marTop w:val="0"/>
      <w:marBottom w:val="0"/>
      <w:divBdr>
        <w:top w:val="none" w:sz="0" w:space="0" w:color="auto"/>
        <w:left w:val="none" w:sz="0" w:space="0" w:color="auto"/>
        <w:bottom w:val="none" w:sz="0" w:space="0" w:color="auto"/>
        <w:right w:val="none" w:sz="0" w:space="0" w:color="auto"/>
      </w:divBdr>
    </w:div>
    <w:div w:id="1419406509">
      <w:bodyDiv w:val="1"/>
      <w:marLeft w:val="0"/>
      <w:marRight w:val="0"/>
      <w:marTop w:val="0"/>
      <w:marBottom w:val="0"/>
      <w:divBdr>
        <w:top w:val="none" w:sz="0" w:space="0" w:color="auto"/>
        <w:left w:val="none" w:sz="0" w:space="0" w:color="auto"/>
        <w:bottom w:val="none" w:sz="0" w:space="0" w:color="auto"/>
        <w:right w:val="none" w:sz="0" w:space="0" w:color="auto"/>
      </w:divBdr>
    </w:div>
    <w:div w:id="1439913127">
      <w:bodyDiv w:val="1"/>
      <w:marLeft w:val="0"/>
      <w:marRight w:val="0"/>
      <w:marTop w:val="0"/>
      <w:marBottom w:val="0"/>
      <w:divBdr>
        <w:top w:val="none" w:sz="0" w:space="0" w:color="auto"/>
        <w:left w:val="none" w:sz="0" w:space="0" w:color="auto"/>
        <w:bottom w:val="none" w:sz="0" w:space="0" w:color="auto"/>
        <w:right w:val="none" w:sz="0" w:space="0" w:color="auto"/>
      </w:divBdr>
    </w:div>
    <w:div w:id="1545826241">
      <w:bodyDiv w:val="1"/>
      <w:marLeft w:val="0"/>
      <w:marRight w:val="0"/>
      <w:marTop w:val="0"/>
      <w:marBottom w:val="0"/>
      <w:divBdr>
        <w:top w:val="none" w:sz="0" w:space="0" w:color="auto"/>
        <w:left w:val="none" w:sz="0" w:space="0" w:color="auto"/>
        <w:bottom w:val="none" w:sz="0" w:space="0" w:color="auto"/>
        <w:right w:val="none" w:sz="0" w:space="0" w:color="auto"/>
      </w:divBdr>
    </w:div>
    <w:div w:id="1681931414">
      <w:bodyDiv w:val="1"/>
      <w:marLeft w:val="0"/>
      <w:marRight w:val="0"/>
      <w:marTop w:val="0"/>
      <w:marBottom w:val="0"/>
      <w:divBdr>
        <w:top w:val="none" w:sz="0" w:space="0" w:color="auto"/>
        <w:left w:val="none" w:sz="0" w:space="0" w:color="auto"/>
        <w:bottom w:val="none" w:sz="0" w:space="0" w:color="auto"/>
        <w:right w:val="none" w:sz="0" w:space="0" w:color="auto"/>
      </w:divBdr>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951815442">
      <w:bodyDiv w:val="1"/>
      <w:marLeft w:val="0"/>
      <w:marRight w:val="0"/>
      <w:marTop w:val="0"/>
      <w:marBottom w:val="0"/>
      <w:divBdr>
        <w:top w:val="none" w:sz="0" w:space="0" w:color="auto"/>
        <w:left w:val="none" w:sz="0" w:space="0" w:color="auto"/>
        <w:bottom w:val="none" w:sz="0" w:space="0" w:color="auto"/>
        <w:right w:val="none" w:sz="0" w:space="0" w:color="auto"/>
      </w:divBdr>
    </w:div>
    <w:div w:id="202882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eader" Target="header2.xml"/><Relationship Id="rId18" Type="http://schemas.openxmlformats.org/officeDocument/2006/relationships/hyperlink" Target="https://www.mpo.cz/cz/podnikani/dotace-a-podpora-podnikani/oppik-2014-2020/" TargetMode="External"/><Relationship Id="rId3" Type="http://schemas.openxmlformats.org/officeDocument/2006/relationships/styles" Target="styles.xml"/><Relationship Id="rId21" Type="http://schemas.openxmlformats.org/officeDocument/2006/relationships/hyperlink" Target="https://www.mpo.cz/cz/podnikani/dotace-a-podpora-podnikani/oppik-2014-2020/"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1.emf"/><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70.png"/><Relationship Id="rId10" Type="http://schemas.openxmlformats.org/officeDocument/2006/relationships/image" Target="media/image7.png"/><Relationship Id="rId19" Type="http://schemas.openxmlformats.org/officeDocument/2006/relationships/hyperlink" Target="https://www.agentura-api.org/" TargetMode="External"/><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footer" Target="footer2.xml"/><Relationship Id="rId22" Type="http://schemas.openxmlformats.org/officeDocument/2006/relationships/hyperlink" Target="https://www.agentura-api.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taceeu.cz/cs/Evropske-fondy-v-CR/Narodni-organ-pro-koordinaci/Evaluace/Knihovna-evaluaci/Doba-trvani-proplaceni-zadosti-o-platbu-vybran-(1)"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Deloitte colors">
      <a:dk1>
        <a:sysClr val="windowText" lastClr="000000"/>
      </a:dk1>
      <a:lt1>
        <a:sysClr val="window" lastClr="FFFFFF"/>
      </a:lt1>
      <a:dk2>
        <a:srgbClr val="53565A"/>
      </a:dk2>
      <a:lt2>
        <a:srgbClr val="D0D0CE"/>
      </a:lt2>
      <a:accent1>
        <a:srgbClr val="86BC25"/>
      </a:accent1>
      <a:accent2>
        <a:srgbClr val="046A38"/>
      </a:accent2>
      <a:accent3>
        <a:srgbClr val="62B5E5"/>
      </a:accent3>
      <a:accent4>
        <a:srgbClr val="012169"/>
      </a:accent4>
      <a:accent5>
        <a:srgbClr val="0097A9"/>
      </a:accent5>
      <a:accent6>
        <a:srgbClr val="75787B"/>
      </a:accent6>
      <a:hlink>
        <a:srgbClr val="00A3E0"/>
      </a:hlink>
      <a:folHlink>
        <a:srgbClr val="53565A"/>
      </a:folHlink>
    </a:clrScheme>
    <a:fontScheme name="Deloitte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solidFill>
        <a:ln>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11F8A-F403-460F-B5BB-3D2D2201E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11208</Words>
  <Characters>66132</Characters>
  <Application>Microsoft Office Word</Application>
  <DocSecurity>0</DocSecurity>
  <Lines>551</Lines>
  <Paragraphs>154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Proposal_A4</vt:lpstr>
      <vt:lpstr>Proposal_A4</vt:lpstr>
    </vt:vector>
  </TitlesOfParts>
  <Company>HP</Company>
  <LinksUpToDate>false</LinksUpToDate>
  <CharactersWithSpaces>77186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Proposal_A4</dc:title>
  <dc:creator>Tereza Korizkova</dc:creator>
  <cp:lastModifiedBy>vaclavspetlik@centrum.cz</cp:lastModifiedBy>
  <cp:revision>3</cp:revision>
  <cp:lastPrinted>2019-11-11T14:27:00Z</cp:lastPrinted>
  <dcterms:created xsi:type="dcterms:W3CDTF">2020-03-24T09:20:00Z</dcterms:created>
  <dcterms:modified xsi:type="dcterms:W3CDTF">2020-03-24T09:20:00Z</dcterms:modified>
</cp:coreProperties>
</file>