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6CD3A" w14:textId="342D63F0" w:rsidR="001D10AB" w:rsidRPr="00C173BC" w:rsidRDefault="00A1543A" w:rsidP="00C173BC">
      <w:r>
        <w:rPr>
          <w:noProof/>
          <w:lang w:eastAsia="cs-CZ"/>
        </w:rPr>
        <w:drawing>
          <wp:anchor distT="0" distB="0" distL="114300" distR="114300" simplePos="0" relativeHeight="251672064" behindDoc="0" locked="0" layoutInCell="1" allowOverlap="1" wp14:anchorId="138CEB64" wp14:editId="202F0B0F">
            <wp:simplePos x="0" y="0"/>
            <wp:positionH relativeFrom="margin">
              <wp:posOffset>4479925</wp:posOffset>
            </wp:positionH>
            <wp:positionV relativeFrom="margin">
              <wp:posOffset>7697470</wp:posOffset>
            </wp:positionV>
            <wp:extent cx="1668780" cy="890905"/>
            <wp:effectExtent l="0" t="0" r="7620" b="4445"/>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8780" cy="890905"/>
                    </a:xfrm>
                    <a:prstGeom prst="rect">
                      <a:avLst/>
                    </a:prstGeom>
                    <a:noFill/>
                    <a:ln>
                      <a:noFill/>
                    </a:ln>
                  </pic:spPr>
                </pic:pic>
              </a:graphicData>
            </a:graphic>
          </wp:anchor>
        </w:drawing>
      </w:r>
      <w:r w:rsidR="009515CE">
        <w:rPr>
          <w:noProof/>
          <w:sz w:val="20"/>
          <w:lang w:eastAsia="cs-CZ"/>
        </w:rPr>
        <mc:AlternateContent>
          <mc:Choice Requires="wps">
            <w:drawing>
              <wp:anchor distT="0" distB="0" distL="114300" distR="114300" simplePos="0" relativeHeight="251671040" behindDoc="0" locked="0" layoutInCell="1" allowOverlap="1" wp14:anchorId="47C80CF9" wp14:editId="7F3BCCD1">
                <wp:simplePos x="0" y="0"/>
                <wp:positionH relativeFrom="column">
                  <wp:posOffset>2140585</wp:posOffset>
                </wp:positionH>
                <wp:positionV relativeFrom="paragraph">
                  <wp:posOffset>7887970</wp:posOffset>
                </wp:positionV>
                <wp:extent cx="2362200" cy="951865"/>
                <wp:effectExtent l="0" t="0" r="0" b="0"/>
                <wp:wrapNone/>
                <wp:docPr id="1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51865"/>
                        </a:xfrm>
                        <a:prstGeom prst="rect">
                          <a:avLst/>
                        </a:prstGeom>
                        <a:noFill/>
                        <a:ln w="9525">
                          <a:noFill/>
                          <a:miter lim="800000"/>
                          <a:headEnd/>
                          <a:tailEnd/>
                        </a:ln>
                      </wps:spPr>
                      <wps:txbx>
                        <w:txbxContent>
                          <w:p w14:paraId="3AA5A305" w14:textId="77777777" w:rsidR="00BF4A54" w:rsidRPr="00D30DEE" w:rsidRDefault="00BF4A54" w:rsidP="00A92DEF">
                            <w:pPr>
                              <w:rPr>
                                <w:rFonts w:cs="Arial"/>
                                <w:b/>
                                <w:color w:val="0D3B5E" w:themeColor="accent1"/>
                              </w:rPr>
                            </w:pPr>
                            <w:r>
                              <w:rPr>
                                <w:rFonts w:cs="Arial"/>
                                <w:b/>
                                <w:color w:val="0D3B5E" w:themeColor="accent1"/>
                              </w:rPr>
                              <w:t>Zadavatel</w:t>
                            </w:r>
                            <w:r w:rsidRPr="00D30DEE">
                              <w:rPr>
                                <w:rFonts w:cs="Arial"/>
                                <w:b/>
                                <w:color w:val="0D3B5E" w:themeColor="accent1"/>
                              </w:rPr>
                              <w:t>:</w:t>
                            </w:r>
                          </w:p>
                          <w:p w14:paraId="7F6BCC28" w14:textId="77777777" w:rsidR="00BF4A54" w:rsidRDefault="00BF4A54" w:rsidP="00A92DEF">
                            <w:pPr>
                              <w:spacing w:after="0"/>
                              <w:jc w:val="left"/>
                              <w:rPr>
                                <w:color w:val="0D3B5E" w:themeColor="accent1"/>
                              </w:rPr>
                            </w:pPr>
                            <w:r>
                              <w:rPr>
                                <w:color w:val="0D3B5E" w:themeColor="accent1"/>
                              </w:rPr>
                              <w:t>Ministerstvo průmyslu a obchodu ČR</w:t>
                            </w:r>
                          </w:p>
                          <w:p w14:paraId="65841676" w14:textId="77777777" w:rsidR="00BF4A54" w:rsidRDefault="00BF4A54" w:rsidP="00A92DEF">
                            <w:pPr>
                              <w:spacing w:after="0"/>
                              <w:jc w:val="left"/>
                              <w:rPr>
                                <w:color w:val="0D3B5E" w:themeColor="accent1"/>
                              </w:rPr>
                            </w:pPr>
                            <w:r>
                              <w:rPr>
                                <w:color w:val="0D3B5E" w:themeColor="accent1"/>
                              </w:rPr>
                              <w:t>Na Františku 32, 110 15, Praha 1</w:t>
                            </w:r>
                          </w:p>
                          <w:p w14:paraId="175E977E" w14:textId="77777777" w:rsidR="00BF4A54" w:rsidRPr="00D30DEE" w:rsidRDefault="00BF4A54" w:rsidP="00A92DEF">
                            <w:pPr>
                              <w:spacing w:after="0"/>
                              <w:jc w:val="left"/>
                              <w:rPr>
                                <w:color w:val="0D3B5E" w:themeColor="accent1"/>
                              </w:rPr>
                            </w:pPr>
                            <w:r w:rsidRPr="00D30DEE">
                              <w:rPr>
                                <w:color w:val="0D3B5E" w:themeColor="accent1"/>
                              </w:rPr>
                              <w:t xml:space="preserve">IČ: </w:t>
                            </w:r>
                            <w:r>
                              <w:rPr>
                                <w:color w:val="0D3B5E" w:themeColor="accent1"/>
                              </w:rPr>
                              <w:t>47609109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C80CF9" id="_x0000_t202" coordsize="21600,21600" o:spt="202" path="m,l,21600r21600,l21600,xe">
                <v:stroke joinstyle="miter"/>
                <v:path gradientshapeok="t" o:connecttype="rect"/>
              </v:shapetype>
              <v:shape id="Textové pole 2" o:spid="_x0000_s1026" type="#_x0000_t202" style="position:absolute;left:0;text-align:left;margin-left:168.55pt;margin-top:621.1pt;width:186pt;height:74.9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" filled="f" stroked="f">
                <v:textbox style="mso-fit-shape-to-text:t">
                  <w:txbxContent>
                    <w:p w14:paraId="3AA5A305" w14:textId="77777777" w:rsidR="00BF4A54" w:rsidRPr="00D30DEE" w:rsidRDefault="00BF4A54" w:rsidP="00A92DEF">
                      <w:pPr>
                        <w:rPr>
                          <w:rFonts w:cs="Arial"/>
                          <w:b/>
                          <w:color w:val="0D3B5E" w:themeColor="accent1"/>
                        </w:rPr>
                      </w:pPr>
                      <w:r>
                        <w:rPr>
                          <w:rFonts w:cs="Arial"/>
                          <w:b/>
                          <w:color w:val="0D3B5E" w:themeColor="accent1"/>
                        </w:rPr>
                        <w:t>Zadavatel</w:t>
                      </w:r>
                      <w:r w:rsidRPr="00D30DEE">
                        <w:rPr>
                          <w:rFonts w:cs="Arial"/>
                          <w:b/>
                          <w:color w:val="0D3B5E" w:themeColor="accent1"/>
                        </w:rPr>
                        <w:t>:</w:t>
                      </w:r>
                    </w:p>
                    <w:p w14:paraId="7F6BCC28" w14:textId="77777777" w:rsidR="00BF4A54" w:rsidRDefault="00BF4A54" w:rsidP="00A92DEF">
                      <w:pPr>
                        <w:spacing w:after="0"/>
                        <w:jc w:val="left"/>
                        <w:rPr>
                          <w:color w:val="0D3B5E" w:themeColor="accent1"/>
                        </w:rPr>
                      </w:pPr>
                      <w:r>
                        <w:rPr>
                          <w:color w:val="0D3B5E" w:themeColor="accent1"/>
                        </w:rPr>
                        <w:t>Ministerstvo průmyslu a obchodu ČR</w:t>
                      </w:r>
                    </w:p>
                    <w:p w14:paraId="65841676" w14:textId="77777777" w:rsidR="00BF4A54" w:rsidRDefault="00BF4A54" w:rsidP="00A92DEF">
                      <w:pPr>
                        <w:spacing w:after="0"/>
                        <w:jc w:val="left"/>
                        <w:rPr>
                          <w:color w:val="0D3B5E" w:themeColor="accent1"/>
                        </w:rPr>
                      </w:pPr>
                      <w:r>
                        <w:rPr>
                          <w:color w:val="0D3B5E" w:themeColor="accent1"/>
                        </w:rPr>
                        <w:t>Na Františku 32, 110 15, Praha 1</w:t>
                      </w:r>
                    </w:p>
                    <w:p w14:paraId="175E977E" w14:textId="77777777" w:rsidR="00BF4A54" w:rsidRPr="00D30DEE" w:rsidRDefault="00BF4A54" w:rsidP="00A92DEF">
                      <w:pPr>
                        <w:spacing w:after="0"/>
                        <w:jc w:val="left"/>
                        <w:rPr>
                          <w:color w:val="0D3B5E" w:themeColor="accent1"/>
                        </w:rPr>
                      </w:pPr>
                      <w:r w:rsidRPr="00D30DEE">
                        <w:rPr>
                          <w:color w:val="0D3B5E" w:themeColor="accent1"/>
                        </w:rPr>
                        <w:t xml:space="preserve">IČ: </w:t>
                      </w:r>
                      <w:r>
                        <w:rPr>
                          <w:color w:val="0D3B5E" w:themeColor="accent1"/>
                        </w:rPr>
                        <w:t>47609109</w:t>
                      </w:r>
                    </w:p>
                  </w:txbxContent>
                </v:textbox>
              </v:shape>
            </w:pict>
          </mc:Fallback>
        </mc:AlternateContent>
      </w:r>
      <w:r w:rsidR="009515CE">
        <w:rPr>
          <w:noProof/>
          <w:lang w:eastAsia="cs-CZ"/>
        </w:rPr>
        <mc:AlternateContent>
          <mc:Choice Requires="wps">
            <w:drawing>
              <wp:anchor distT="0" distB="0" distL="114300" distR="114300" simplePos="0" relativeHeight="251644416" behindDoc="0" locked="0" layoutInCell="1" allowOverlap="1" wp14:anchorId="60A69415" wp14:editId="772AFCAF">
                <wp:simplePos x="0" y="0"/>
                <wp:positionH relativeFrom="column">
                  <wp:posOffset>-107315</wp:posOffset>
                </wp:positionH>
                <wp:positionV relativeFrom="paragraph">
                  <wp:posOffset>39370</wp:posOffset>
                </wp:positionV>
                <wp:extent cx="4617720" cy="258254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2582545"/>
                        </a:xfrm>
                        <a:prstGeom prst="rect">
                          <a:avLst/>
                        </a:prstGeom>
                        <a:noFill/>
                        <a:ln w="9525">
                          <a:noFill/>
                          <a:miter lim="800000"/>
                          <a:headEnd/>
                          <a:tailEnd/>
                        </a:ln>
                      </wps:spPr>
                      <wps:txbx>
                        <w:txbxContent>
                          <w:p w14:paraId="00279980" w14:textId="77777777" w:rsidR="00BF4A54" w:rsidRDefault="00BF4A54" w:rsidP="006D16C8">
                            <w:pPr>
                              <w:pStyle w:val="Nzev"/>
                            </w:pPr>
                            <w:bookmarkStart w:id="0" w:name="_Hlk17063036"/>
                            <w:r>
                              <w:t xml:space="preserve">Evaluace řízení a administrace technické pomoci OP PIK </w:t>
                            </w:r>
                            <w:bookmarkEnd w:id="0"/>
                          </w:p>
                          <w:p w14:paraId="0A38728F" w14:textId="77777777" w:rsidR="00BF4A54" w:rsidRDefault="00BF4A54" w:rsidP="006D16C8">
                            <w:pPr>
                              <w:pStyle w:val="Podnadpis"/>
                            </w:pPr>
                          </w:p>
                          <w:p w14:paraId="328F8E20" w14:textId="5207E4E9" w:rsidR="00BF4A54" w:rsidRDefault="00975BC5" w:rsidP="006D16C8">
                            <w:pPr>
                              <w:pStyle w:val="Podnadpis"/>
                            </w:pPr>
                            <w:r>
                              <w:t xml:space="preserve">Příloha č.6: </w:t>
                            </w:r>
                            <w:r w:rsidR="00BF4A54">
                              <w:t>Technická příloha</w:t>
                            </w:r>
                          </w:p>
                          <w:p w14:paraId="484C2FFE" w14:textId="77777777" w:rsidR="00BF4A54" w:rsidRPr="00A1543A" w:rsidRDefault="00BF4A54" w:rsidP="00A1543A">
                            <w:pPr>
                              <w:pStyle w:val="Podnadpis"/>
                            </w:pPr>
                          </w:p>
                          <w:p w14:paraId="2DD9EDB7" w14:textId="45956005" w:rsidR="00BF4A54" w:rsidRPr="00D30DEE" w:rsidRDefault="00BF4A54" w:rsidP="006D16C8">
                            <w:pPr>
                              <w:pStyle w:val="podnadpis0"/>
                              <w:spacing w:before="100" w:beforeAutospacing="1"/>
                              <w:jc w:val="left"/>
                              <w:rPr>
                                <w:rFonts w:asciiTheme="minorHAnsi" w:hAnsiTheme="minorHAnsi" w:cs="Arial"/>
                                <w:color w:val="0D3B5E"/>
                                <w:sz w:val="22"/>
                              </w:rPr>
                            </w:pPr>
                            <w:r w:rsidRPr="00D30DEE">
                              <w:rPr>
                                <w:rFonts w:asciiTheme="minorHAnsi" w:hAnsiTheme="minorHAnsi" w:cs="Arial"/>
                                <w:b/>
                                <w:color w:val="0D3B5E"/>
                                <w:sz w:val="22"/>
                              </w:rPr>
                              <w:t>Datum:</w:t>
                            </w:r>
                            <w:r w:rsidRPr="00D30DEE">
                              <w:rPr>
                                <w:rFonts w:asciiTheme="minorHAnsi" w:hAnsiTheme="minorHAnsi" w:cs="Arial"/>
                                <w:color w:val="0D3B5E"/>
                                <w:sz w:val="22"/>
                              </w:rPr>
                              <w:t xml:space="preserve"> </w:t>
                            </w:r>
                            <w:r w:rsidR="006F13AC">
                              <w:rPr>
                                <w:rFonts w:asciiTheme="minorHAnsi" w:hAnsiTheme="minorHAnsi" w:cs="Arial"/>
                                <w:color w:val="0D3B5E"/>
                                <w:sz w:val="22"/>
                              </w:rPr>
                              <w:t>7. 9. 2020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A69415" id="_x0000_t202" coordsize="21600,21600" o:spt="202" path="m,l,21600r21600,l21600,xe">
                <v:stroke joinstyle="miter"/>
                <v:path gradientshapeok="t" o:connecttype="rect"/>
              </v:shapetype>
              <v:shape id="_x0000_s1027" type="#_x0000_t202" style="position:absolute;left:0;text-align:left;margin-left:-8.45pt;margin-top:3.1pt;width:363.6pt;height:203.35pt;z-index:251644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" filled="f" stroked="f">
                <v:textbox style="mso-fit-shape-to-text:t">
                  <w:txbxContent>
                    <w:p w14:paraId="00279980" w14:textId="77777777" w:rsidR="00BF4A54" w:rsidRDefault="00BF4A54" w:rsidP="006D16C8">
                      <w:pPr>
                        <w:pStyle w:val="Nzev"/>
                      </w:pPr>
                      <w:bookmarkStart w:id="1" w:name="_Hlk17063036"/>
                      <w:r>
                        <w:t xml:space="preserve">Evaluace řízení a administrace technické pomoci OP PIK </w:t>
                      </w:r>
                      <w:bookmarkEnd w:id="1"/>
                    </w:p>
                    <w:p w14:paraId="0A38728F" w14:textId="77777777" w:rsidR="00BF4A54" w:rsidRDefault="00BF4A54" w:rsidP="006D16C8">
                      <w:pPr>
                        <w:pStyle w:val="Podnadpis"/>
                      </w:pPr>
                    </w:p>
                    <w:p w14:paraId="328F8E20" w14:textId="5207E4E9" w:rsidR="00BF4A54" w:rsidRDefault="00975BC5" w:rsidP="006D16C8">
                      <w:pPr>
                        <w:pStyle w:val="Podnadpis"/>
                      </w:pPr>
                      <w:r>
                        <w:t xml:space="preserve">Příloha č.6: </w:t>
                      </w:r>
                      <w:r w:rsidR="00BF4A54">
                        <w:t>Technická příloha</w:t>
                      </w:r>
                    </w:p>
                    <w:p w14:paraId="484C2FFE" w14:textId="77777777" w:rsidR="00BF4A54" w:rsidRPr="00A1543A" w:rsidRDefault="00BF4A54" w:rsidP="00A1543A">
                      <w:pPr>
                        <w:pStyle w:val="Podnadpis"/>
                      </w:pPr>
                    </w:p>
                    <w:p w14:paraId="2DD9EDB7" w14:textId="45956005" w:rsidR="00BF4A54" w:rsidRPr="00D30DEE" w:rsidRDefault="00BF4A54" w:rsidP="006D16C8">
                      <w:pPr>
                        <w:pStyle w:val="podnadpis0"/>
                        <w:spacing w:before="100" w:beforeAutospacing="1"/>
                        <w:jc w:val="left"/>
                        <w:rPr>
                          <w:rFonts w:asciiTheme="minorHAnsi" w:hAnsiTheme="minorHAnsi" w:cs="Arial"/>
                          <w:color w:val="0D3B5E"/>
                          <w:sz w:val="22"/>
                        </w:rPr>
                      </w:pPr>
                      <w:r w:rsidRPr="00D30DEE">
                        <w:rPr>
                          <w:rFonts w:asciiTheme="minorHAnsi" w:hAnsiTheme="minorHAnsi" w:cs="Arial"/>
                          <w:b/>
                          <w:color w:val="0D3B5E"/>
                          <w:sz w:val="22"/>
                        </w:rPr>
                        <w:t>Datum:</w:t>
                      </w:r>
                      <w:r w:rsidRPr="00D30DEE">
                        <w:rPr>
                          <w:rFonts w:asciiTheme="minorHAnsi" w:hAnsiTheme="minorHAnsi" w:cs="Arial"/>
                          <w:color w:val="0D3B5E"/>
                          <w:sz w:val="22"/>
                        </w:rPr>
                        <w:t xml:space="preserve"> </w:t>
                      </w:r>
                      <w:r w:rsidR="006F13AC">
                        <w:rPr>
                          <w:rFonts w:asciiTheme="minorHAnsi" w:hAnsiTheme="minorHAnsi" w:cs="Arial"/>
                          <w:color w:val="0D3B5E"/>
                          <w:sz w:val="22"/>
                        </w:rPr>
                        <w:t>7. 9. 2020</w:t>
                      </w:r>
                    </w:p>
                  </w:txbxContent>
                </v:textbox>
              </v:shape>
            </w:pict>
          </mc:Fallback>
        </mc:AlternateContent>
      </w:r>
      <w:r w:rsidR="009515CE">
        <w:rPr>
          <w:noProof/>
          <w:sz w:val="20"/>
          <w:lang w:eastAsia="cs-CZ"/>
        </w:rPr>
        <mc:AlternateContent>
          <mc:Choice Requires="wps">
            <w:drawing>
              <wp:anchor distT="0" distB="0" distL="114300" distR="114300" simplePos="0" relativeHeight="251657728" behindDoc="0" locked="0" layoutInCell="1" allowOverlap="1" wp14:anchorId="718BCB7C" wp14:editId="493BC7D7">
                <wp:simplePos x="0" y="0"/>
                <wp:positionH relativeFrom="column">
                  <wp:posOffset>43180</wp:posOffset>
                </wp:positionH>
                <wp:positionV relativeFrom="paragraph">
                  <wp:posOffset>7884160</wp:posOffset>
                </wp:positionV>
                <wp:extent cx="1933575" cy="951865"/>
                <wp:effectExtent l="0" t="0" r="0" b="0"/>
                <wp:wrapNone/>
                <wp:docPr id="1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951865"/>
                        </a:xfrm>
                        <a:prstGeom prst="rect">
                          <a:avLst/>
                        </a:prstGeom>
                        <a:noFill/>
                        <a:ln w="9525">
                          <a:noFill/>
                          <a:miter lim="800000"/>
                          <a:headEnd/>
                          <a:tailEnd/>
                        </a:ln>
                      </wps:spPr>
                      <wps:txbx>
                        <w:txbxContent>
                          <w:p w14:paraId="29F6412E" w14:textId="77777777" w:rsidR="00BF4A54" w:rsidRPr="00D30DEE" w:rsidRDefault="00BF4A54" w:rsidP="00A92DEF">
                            <w:pPr>
                              <w:rPr>
                                <w:rFonts w:cs="Arial"/>
                                <w:b/>
                                <w:color w:val="0D3B5E" w:themeColor="accent1"/>
                              </w:rPr>
                            </w:pPr>
                            <w:r w:rsidRPr="00D30DEE">
                              <w:rPr>
                                <w:rFonts w:cs="Arial"/>
                                <w:b/>
                                <w:color w:val="0D3B5E" w:themeColor="accent1"/>
                              </w:rPr>
                              <w:t>Zpracovatel:</w:t>
                            </w:r>
                          </w:p>
                          <w:p w14:paraId="672F3E8D" w14:textId="77777777" w:rsidR="00BF4A54" w:rsidRDefault="00BF4A54" w:rsidP="00A92DEF">
                            <w:pPr>
                              <w:spacing w:after="0"/>
                              <w:jc w:val="left"/>
                              <w:rPr>
                                <w:color w:val="0D3B5E" w:themeColor="accent1"/>
                              </w:rPr>
                            </w:pPr>
                            <w:r w:rsidRPr="00D30DEE">
                              <w:rPr>
                                <w:color w:val="0D3B5E" w:themeColor="accent1"/>
                              </w:rPr>
                              <w:t>Evaluation Advisory CE</w:t>
                            </w:r>
                            <w:r>
                              <w:rPr>
                                <w:color w:val="0D3B5E" w:themeColor="accent1"/>
                              </w:rPr>
                              <w:t xml:space="preserve"> s.r.o.</w:t>
                            </w:r>
                          </w:p>
                          <w:p w14:paraId="1A7F93F2" w14:textId="77777777" w:rsidR="00BF4A54" w:rsidRDefault="00BF4A54" w:rsidP="00A92DEF">
                            <w:pPr>
                              <w:spacing w:after="0"/>
                              <w:jc w:val="left"/>
                              <w:rPr>
                                <w:color w:val="0D3B5E" w:themeColor="accent1"/>
                              </w:rPr>
                            </w:pPr>
                            <w:r w:rsidRPr="001D10AB">
                              <w:rPr>
                                <w:color w:val="0D3B5E" w:themeColor="accent1"/>
                              </w:rPr>
                              <w:t>Křižíkova 70b, 612 00 Brno</w:t>
                            </w:r>
                          </w:p>
                          <w:p w14:paraId="2B5B73E5" w14:textId="77777777" w:rsidR="00BF4A54" w:rsidRPr="00D30DEE" w:rsidRDefault="00BF4A54" w:rsidP="00A92DEF">
                            <w:pPr>
                              <w:spacing w:after="0"/>
                              <w:jc w:val="left"/>
                              <w:rPr>
                                <w:color w:val="0D3B5E" w:themeColor="accent1"/>
                              </w:rPr>
                            </w:pPr>
                            <w:r w:rsidRPr="00D30DEE">
                              <w:rPr>
                                <w:color w:val="0D3B5E" w:themeColor="accent1"/>
                              </w:rPr>
                              <w:t xml:space="preserve">IČ: 25342282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8BCB7C" id="_x0000_s1028" type="#_x0000_t202" style="position:absolute;left:0;text-align:left;margin-left:3.4pt;margin-top:620.8pt;width:152.25pt;height:74.9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" filled="f" stroked="f">
                <v:textbox style="mso-fit-shape-to-text:t">
                  <w:txbxContent>
                    <w:p w14:paraId="29F6412E" w14:textId="77777777" w:rsidR="00BF4A54" w:rsidRPr="00D30DEE" w:rsidRDefault="00BF4A54" w:rsidP="00A92DEF">
                      <w:pPr>
                        <w:rPr>
                          <w:rFonts w:cs="Arial"/>
                          <w:b/>
                          <w:color w:val="0D3B5E" w:themeColor="accent1"/>
                        </w:rPr>
                      </w:pPr>
                      <w:r w:rsidRPr="00D30DEE">
                        <w:rPr>
                          <w:rFonts w:cs="Arial"/>
                          <w:b/>
                          <w:color w:val="0D3B5E" w:themeColor="accent1"/>
                        </w:rPr>
                        <w:t>Zpracovatel:</w:t>
                      </w:r>
                    </w:p>
                    <w:p w14:paraId="672F3E8D" w14:textId="77777777" w:rsidR="00BF4A54" w:rsidRDefault="00BF4A54" w:rsidP="00A92DEF">
                      <w:pPr>
                        <w:spacing w:after="0"/>
                        <w:jc w:val="left"/>
                        <w:rPr>
                          <w:color w:val="0D3B5E" w:themeColor="accent1"/>
                        </w:rPr>
                      </w:pPr>
                      <w:r w:rsidRPr="00D30DEE">
                        <w:rPr>
                          <w:color w:val="0D3B5E" w:themeColor="accent1"/>
                        </w:rPr>
                        <w:t>Evaluation Advisory CE</w:t>
                      </w:r>
                      <w:r>
                        <w:rPr>
                          <w:color w:val="0D3B5E" w:themeColor="accent1"/>
                        </w:rPr>
                        <w:t xml:space="preserve"> s.r.o.</w:t>
                      </w:r>
                    </w:p>
                    <w:p w14:paraId="1A7F93F2" w14:textId="77777777" w:rsidR="00BF4A54" w:rsidRDefault="00BF4A54" w:rsidP="00A92DEF">
                      <w:pPr>
                        <w:spacing w:after="0"/>
                        <w:jc w:val="left"/>
                        <w:rPr>
                          <w:color w:val="0D3B5E" w:themeColor="accent1"/>
                        </w:rPr>
                      </w:pPr>
                      <w:r w:rsidRPr="001D10AB">
                        <w:rPr>
                          <w:color w:val="0D3B5E" w:themeColor="accent1"/>
                        </w:rPr>
                        <w:t>Křižíkova 70b, 612 00 Brno</w:t>
                      </w:r>
                    </w:p>
                    <w:p w14:paraId="2B5B73E5" w14:textId="77777777" w:rsidR="00BF4A54" w:rsidRPr="00D30DEE" w:rsidRDefault="00BF4A54" w:rsidP="00A92DEF">
                      <w:pPr>
                        <w:spacing w:after="0"/>
                        <w:jc w:val="left"/>
                        <w:rPr>
                          <w:color w:val="0D3B5E" w:themeColor="accent1"/>
                        </w:rPr>
                      </w:pPr>
                      <w:r w:rsidRPr="00D30DEE">
                        <w:rPr>
                          <w:color w:val="0D3B5E" w:themeColor="accent1"/>
                        </w:rPr>
                        <w:t xml:space="preserve">IČ: 25342282 </w:t>
                      </w:r>
                    </w:p>
                  </w:txbxContent>
                </v:textbox>
              </v:shape>
            </w:pict>
          </mc:Fallback>
        </mc:AlternateContent>
      </w:r>
      <w:r w:rsidR="00985F3A" w:rsidRPr="00985F3A">
        <w:rPr>
          <w:noProof/>
          <w:lang w:eastAsia="cs-CZ"/>
        </w:rPr>
        <w:drawing>
          <wp:anchor distT="0" distB="0" distL="114300" distR="114300" simplePos="0" relativeHeight="251631104" behindDoc="1" locked="0" layoutInCell="1" allowOverlap="1" wp14:anchorId="1B0A366E" wp14:editId="71D6E077">
            <wp:simplePos x="0" y="0"/>
            <wp:positionH relativeFrom="column">
              <wp:posOffset>528955</wp:posOffset>
            </wp:positionH>
            <wp:positionV relativeFrom="paragraph">
              <wp:posOffset>213995</wp:posOffset>
            </wp:positionV>
            <wp:extent cx="6078855" cy="8010957"/>
            <wp:effectExtent l="0" t="0" r="0" b="9525"/>
            <wp:wrapNone/>
            <wp:docPr id="1" name="Obrázek 1" descr="X:\14_hope\Administrativa a management\Vizuál EACE\stranka_uvod_ba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14_hope\Administrativa a management\Vizuál EACE\stranka_uvod_barva.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6866"/>
                    <a:stretch/>
                  </pic:blipFill>
                  <pic:spPr bwMode="auto">
                    <a:xfrm>
                      <a:off x="0" y="0"/>
                      <a:ext cx="6078855" cy="8010957"/>
                    </a:xfrm>
                    <a:prstGeom prst="rect">
                      <a:avLst/>
                    </a:prstGeom>
                    <a:noFill/>
                    <a:ln>
                      <a:noFill/>
                    </a:ln>
                    <a:extLst>
                      <a:ext uri="{53640926-AAD7-44D8-BBD7-CCE9431645EC}">
                        <a14:shadowObscured xmlns:a14="http://schemas.microsoft.com/office/drawing/2010/main"/>
                      </a:ext>
                    </a:extLst>
                  </pic:spPr>
                </pic:pic>
              </a:graphicData>
            </a:graphic>
          </wp:anchor>
        </w:drawing>
      </w:r>
      <w:r w:rsidR="00853258">
        <w:br w:type="page"/>
      </w:r>
    </w:p>
    <w:p w14:paraId="36ABE32B" w14:textId="77777777" w:rsidR="00A1543A" w:rsidRDefault="00A1543A" w:rsidP="00C173BC">
      <w:pPr>
        <w:pStyle w:val="Cnormln"/>
      </w:pPr>
      <w:r w:rsidRPr="00C173BC">
        <w:rPr>
          <w:rFonts w:asciiTheme="minorHAnsi" w:hAnsiTheme="minorHAnsi" w:cstheme="minorHAnsi"/>
          <w:b/>
          <w:bCs/>
          <w:color w:val="1F497D" w:themeColor="text2"/>
          <w:sz w:val="44"/>
          <w:szCs w:val="44"/>
        </w:rPr>
        <w:lastRenderedPageBreak/>
        <w:t>Obsah</w:t>
      </w:r>
    </w:p>
    <w:sdt>
      <w:sdtPr>
        <w:rPr>
          <w:b/>
          <w:bCs/>
        </w:rPr>
        <w:id w:val="1158038301"/>
        <w:docPartObj>
          <w:docPartGallery w:val="Table of Contents"/>
          <w:docPartUnique/>
        </w:docPartObj>
      </w:sdtPr>
      <w:sdtEndPr>
        <w:rPr>
          <w:b w:val="0"/>
          <w:bCs w:val="0"/>
        </w:rPr>
      </w:sdtEndPr>
      <w:sdtContent>
        <w:p w14:paraId="14D7122E" w14:textId="25E27EF5" w:rsidR="00E96F43" w:rsidRDefault="00375887">
          <w:pPr>
            <w:pStyle w:val="Obsah1"/>
            <w:tabs>
              <w:tab w:val="right" w:leader="dot" w:pos="9060"/>
            </w:tabs>
            <w:rPr>
              <w:rFonts w:eastAsiaTheme="minorEastAsia"/>
              <w:noProof/>
              <w:lang w:eastAsia="cs-CZ"/>
            </w:rPr>
          </w:pPr>
          <w:r>
            <w:fldChar w:fldCharType="begin"/>
          </w:r>
          <w:r w:rsidR="00855C6F">
            <w:instrText xml:space="preserve"> TOC \o "1-3" \h \z \u </w:instrText>
          </w:r>
          <w:r>
            <w:fldChar w:fldCharType="separate"/>
          </w:r>
          <w:hyperlink w:anchor="_Toc50456780" w:history="1">
            <w:r w:rsidR="00E96F43" w:rsidRPr="00227C0C">
              <w:rPr>
                <w:rStyle w:val="Hypertextovodkaz"/>
                <w:noProof/>
              </w:rPr>
              <w:t>Seznam tabulek, grafů a obrázků</w:t>
            </w:r>
            <w:r w:rsidR="00E96F43">
              <w:rPr>
                <w:noProof/>
                <w:webHidden/>
              </w:rPr>
              <w:tab/>
            </w:r>
            <w:r w:rsidR="00E96F43">
              <w:rPr>
                <w:noProof/>
                <w:webHidden/>
              </w:rPr>
              <w:fldChar w:fldCharType="begin"/>
            </w:r>
            <w:r w:rsidR="00E96F43">
              <w:rPr>
                <w:noProof/>
                <w:webHidden/>
              </w:rPr>
              <w:instrText xml:space="preserve"> PAGEREF _Toc50456780 \h </w:instrText>
            </w:r>
            <w:r w:rsidR="00E96F43">
              <w:rPr>
                <w:noProof/>
                <w:webHidden/>
              </w:rPr>
            </w:r>
            <w:r w:rsidR="00E96F43">
              <w:rPr>
                <w:noProof/>
                <w:webHidden/>
              </w:rPr>
              <w:fldChar w:fldCharType="separate"/>
            </w:r>
            <w:r w:rsidR="006F13AC">
              <w:rPr>
                <w:noProof/>
                <w:webHidden/>
              </w:rPr>
              <w:t>3</w:t>
            </w:r>
            <w:r w:rsidR="00E96F43">
              <w:rPr>
                <w:noProof/>
                <w:webHidden/>
              </w:rPr>
              <w:fldChar w:fldCharType="end"/>
            </w:r>
          </w:hyperlink>
        </w:p>
        <w:p w14:paraId="19E11E71" w14:textId="4C13B48D" w:rsidR="00E96F43" w:rsidRDefault="00C050DB">
          <w:pPr>
            <w:pStyle w:val="Obsah1"/>
            <w:tabs>
              <w:tab w:val="left" w:pos="440"/>
              <w:tab w:val="right" w:leader="dot" w:pos="9060"/>
            </w:tabs>
            <w:rPr>
              <w:rFonts w:eastAsiaTheme="minorEastAsia"/>
              <w:noProof/>
              <w:lang w:eastAsia="cs-CZ"/>
            </w:rPr>
          </w:pPr>
          <w:hyperlink w:anchor="_Toc50456781" w:history="1">
            <w:r w:rsidR="00E96F43" w:rsidRPr="00227C0C">
              <w:rPr>
                <w:rStyle w:val="Hypertextovodkaz"/>
                <w:noProof/>
                <w:snapToGrid w:val="0"/>
                <w:lang w:val="fr-FR"/>
              </w:rPr>
              <w:t>1</w:t>
            </w:r>
            <w:r w:rsidR="00E96F43">
              <w:rPr>
                <w:rFonts w:eastAsiaTheme="minorEastAsia"/>
                <w:noProof/>
                <w:lang w:eastAsia="cs-CZ"/>
              </w:rPr>
              <w:tab/>
            </w:r>
            <w:r w:rsidR="00E96F43" w:rsidRPr="00227C0C">
              <w:rPr>
                <w:rStyle w:val="Hypertextovodkaz"/>
                <w:noProof/>
                <w:snapToGrid w:val="0"/>
                <w:lang w:val="fr-FR"/>
              </w:rPr>
              <w:t>Doplňující informace k EO 1</w:t>
            </w:r>
            <w:r w:rsidR="00E96F43">
              <w:rPr>
                <w:noProof/>
                <w:webHidden/>
              </w:rPr>
              <w:tab/>
            </w:r>
            <w:r w:rsidR="00E96F43">
              <w:rPr>
                <w:noProof/>
                <w:webHidden/>
              </w:rPr>
              <w:fldChar w:fldCharType="begin"/>
            </w:r>
            <w:r w:rsidR="00E96F43">
              <w:rPr>
                <w:noProof/>
                <w:webHidden/>
              </w:rPr>
              <w:instrText xml:space="preserve"> PAGEREF _Toc50456781 \h </w:instrText>
            </w:r>
            <w:r w:rsidR="00E96F43">
              <w:rPr>
                <w:noProof/>
                <w:webHidden/>
              </w:rPr>
            </w:r>
            <w:r w:rsidR="00E96F43">
              <w:rPr>
                <w:noProof/>
                <w:webHidden/>
              </w:rPr>
              <w:fldChar w:fldCharType="separate"/>
            </w:r>
            <w:r w:rsidR="006F13AC">
              <w:rPr>
                <w:noProof/>
                <w:webHidden/>
              </w:rPr>
              <w:t>5</w:t>
            </w:r>
            <w:r w:rsidR="00E96F43">
              <w:rPr>
                <w:noProof/>
                <w:webHidden/>
              </w:rPr>
              <w:fldChar w:fldCharType="end"/>
            </w:r>
          </w:hyperlink>
        </w:p>
        <w:p w14:paraId="6C59A393" w14:textId="146A8179" w:rsidR="00E96F43" w:rsidRDefault="00C050DB">
          <w:pPr>
            <w:pStyle w:val="Obsah1"/>
            <w:tabs>
              <w:tab w:val="left" w:pos="440"/>
              <w:tab w:val="right" w:leader="dot" w:pos="9060"/>
            </w:tabs>
            <w:rPr>
              <w:rFonts w:eastAsiaTheme="minorEastAsia"/>
              <w:noProof/>
              <w:lang w:eastAsia="cs-CZ"/>
            </w:rPr>
          </w:pPr>
          <w:hyperlink w:anchor="_Toc50456782" w:history="1">
            <w:r w:rsidR="00E96F43" w:rsidRPr="00227C0C">
              <w:rPr>
                <w:rStyle w:val="Hypertextovodkaz"/>
                <w:noProof/>
                <w:snapToGrid w:val="0"/>
                <w:lang w:val="fr-FR"/>
              </w:rPr>
              <w:t>2</w:t>
            </w:r>
            <w:r w:rsidR="00E96F43">
              <w:rPr>
                <w:rFonts w:eastAsiaTheme="minorEastAsia"/>
                <w:noProof/>
                <w:lang w:eastAsia="cs-CZ"/>
              </w:rPr>
              <w:tab/>
            </w:r>
            <w:r w:rsidR="00E96F43" w:rsidRPr="00227C0C">
              <w:rPr>
                <w:rStyle w:val="Hypertextovodkaz"/>
                <w:noProof/>
                <w:snapToGrid w:val="0"/>
                <w:lang w:val="fr-FR"/>
              </w:rPr>
              <w:t>Doplňující informace k EO 2</w:t>
            </w:r>
            <w:r w:rsidR="00E96F43">
              <w:rPr>
                <w:noProof/>
                <w:webHidden/>
              </w:rPr>
              <w:tab/>
            </w:r>
            <w:r w:rsidR="00E96F43">
              <w:rPr>
                <w:noProof/>
                <w:webHidden/>
              </w:rPr>
              <w:fldChar w:fldCharType="begin"/>
            </w:r>
            <w:r w:rsidR="00E96F43">
              <w:rPr>
                <w:noProof/>
                <w:webHidden/>
              </w:rPr>
              <w:instrText xml:space="preserve"> PAGEREF _Toc50456782 \h </w:instrText>
            </w:r>
            <w:r w:rsidR="00E96F43">
              <w:rPr>
                <w:noProof/>
                <w:webHidden/>
              </w:rPr>
            </w:r>
            <w:r w:rsidR="00E96F43">
              <w:rPr>
                <w:noProof/>
                <w:webHidden/>
              </w:rPr>
              <w:fldChar w:fldCharType="separate"/>
            </w:r>
            <w:r w:rsidR="006F13AC">
              <w:rPr>
                <w:noProof/>
                <w:webHidden/>
              </w:rPr>
              <w:t>8</w:t>
            </w:r>
            <w:r w:rsidR="00E96F43">
              <w:rPr>
                <w:noProof/>
                <w:webHidden/>
              </w:rPr>
              <w:fldChar w:fldCharType="end"/>
            </w:r>
          </w:hyperlink>
        </w:p>
        <w:p w14:paraId="45E52607" w14:textId="6F94ABF6" w:rsidR="00E96F43" w:rsidRDefault="00C050DB">
          <w:pPr>
            <w:pStyle w:val="Obsah1"/>
            <w:tabs>
              <w:tab w:val="left" w:pos="440"/>
              <w:tab w:val="right" w:leader="dot" w:pos="9060"/>
            </w:tabs>
            <w:rPr>
              <w:rFonts w:eastAsiaTheme="minorEastAsia"/>
              <w:noProof/>
              <w:lang w:eastAsia="cs-CZ"/>
            </w:rPr>
          </w:pPr>
          <w:hyperlink w:anchor="_Toc50456783" w:history="1">
            <w:r w:rsidR="00E96F43" w:rsidRPr="00227C0C">
              <w:rPr>
                <w:rStyle w:val="Hypertextovodkaz"/>
                <w:noProof/>
                <w:snapToGrid w:val="0"/>
                <w:lang w:val="fr-FR"/>
              </w:rPr>
              <w:t>3</w:t>
            </w:r>
            <w:r w:rsidR="00E96F43">
              <w:rPr>
                <w:rFonts w:eastAsiaTheme="minorEastAsia"/>
                <w:noProof/>
                <w:lang w:eastAsia="cs-CZ"/>
              </w:rPr>
              <w:tab/>
            </w:r>
            <w:r w:rsidR="00E96F43" w:rsidRPr="00227C0C">
              <w:rPr>
                <w:rStyle w:val="Hypertextovodkaz"/>
                <w:noProof/>
                <w:snapToGrid w:val="0"/>
                <w:lang w:val="fr-FR"/>
              </w:rPr>
              <w:t>Doplňující informace k EO 3</w:t>
            </w:r>
            <w:r w:rsidR="00E96F43">
              <w:rPr>
                <w:noProof/>
                <w:webHidden/>
              </w:rPr>
              <w:tab/>
            </w:r>
            <w:r w:rsidR="00E96F43">
              <w:rPr>
                <w:noProof/>
                <w:webHidden/>
              </w:rPr>
              <w:fldChar w:fldCharType="begin"/>
            </w:r>
            <w:r w:rsidR="00E96F43">
              <w:rPr>
                <w:noProof/>
                <w:webHidden/>
              </w:rPr>
              <w:instrText xml:space="preserve"> PAGEREF _Toc50456783 \h </w:instrText>
            </w:r>
            <w:r w:rsidR="00E96F43">
              <w:rPr>
                <w:noProof/>
                <w:webHidden/>
              </w:rPr>
            </w:r>
            <w:r w:rsidR="00E96F43">
              <w:rPr>
                <w:noProof/>
                <w:webHidden/>
              </w:rPr>
              <w:fldChar w:fldCharType="separate"/>
            </w:r>
            <w:r w:rsidR="006F13AC">
              <w:rPr>
                <w:noProof/>
                <w:webHidden/>
              </w:rPr>
              <w:t>12</w:t>
            </w:r>
            <w:r w:rsidR="00E96F43">
              <w:rPr>
                <w:noProof/>
                <w:webHidden/>
              </w:rPr>
              <w:fldChar w:fldCharType="end"/>
            </w:r>
          </w:hyperlink>
        </w:p>
        <w:p w14:paraId="02F0BC7A" w14:textId="53AB99F2" w:rsidR="00E96F43" w:rsidRDefault="00C050DB">
          <w:pPr>
            <w:pStyle w:val="Obsah1"/>
            <w:tabs>
              <w:tab w:val="left" w:pos="440"/>
              <w:tab w:val="right" w:leader="dot" w:pos="9060"/>
            </w:tabs>
            <w:rPr>
              <w:rFonts w:eastAsiaTheme="minorEastAsia"/>
              <w:noProof/>
              <w:lang w:eastAsia="cs-CZ"/>
            </w:rPr>
          </w:pPr>
          <w:hyperlink w:anchor="_Toc50456784" w:history="1">
            <w:r w:rsidR="00E96F43" w:rsidRPr="00227C0C">
              <w:rPr>
                <w:rStyle w:val="Hypertextovodkaz"/>
                <w:noProof/>
                <w:snapToGrid w:val="0"/>
                <w:lang w:val="fr-FR"/>
              </w:rPr>
              <w:t>4</w:t>
            </w:r>
            <w:r w:rsidR="00E96F43">
              <w:rPr>
                <w:rFonts w:eastAsiaTheme="minorEastAsia"/>
                <w:noProof/>
                <w:lang w:eastAsia="cs-CZ"/>
              </w:rPr>
              <w:tab/>
            </w:r>
            <w:r w:rsidR="00E96F43" w:rsidRPr="00227C0C">
              <w:rPr>
                <w:rStyle w:val="Hypertextovodkaz"/>
                <w:noProof/>
                <w:snapToGrid w:val="0"/>
                <w:lang w:val="fr-FR"/>
              </w:rPr>
              <w:t>Doplňující informace k EO 4</w:t>
            </w:r>
            <w:r w:rsidR="00E96F43">
              <w:rPr>
                <w:noProof/>
                <w:webHidden/>
              </w:rPr>
              <w:tab/>
            </w:r>
            <w:r w:rsidR="00E96F43">
              <w:rPr>
                <w:noProof/>
                <w:webHidden/>
              </w:rPr>
              <w:fldChar w:fldCharType="begin"/>
            </w:r>
            <w:r w:rsidR="00E96F43">
              <w:rPr>
                <w:noProof/>
                <w:webHidden/>
              </w:rPr>
              <w:instrText xml:space="preserve"> PAGEREF _Toc50456784 \h </w:instrText>
            </w:r>
            <w:r w:rsidR="00E96F43">
              <w:rPr>
                <w:noProof/>
                <w:webHidden/>
              </w:rPr>
            </w:r>
            <w:r w:rsidR="00E96F43">
              <w:rPr>
                <w:noProof/>
                <w:webHidden/>
              </w:rPr>
              <w:fldChar w:fldCharType="separate"/>
            </w:r>
            <w:r w:rsidR="006F13AC">
              <w:rPr>
                <w:noProof/>
                <w:webHidden/>
              </w:rPr>
              <w:t>15</w:t>
            </w:r>
            <w:r w:rsidR="00E96F43">
              <w:rPr>
                <w:noProof/>
                <w:webHidden/>
              </w:rPr>
              <w:fldChar w:fldCharType="end"/>
            </w:r>
          </w:hyperlink>
        </w:p>
        <w:p w14:paraId="687B574E" w14:textId="4D6FD9C3" w:rsidR="00E96F43" w:rsidRDefault="00C050DB">
          <w:pPr>
            <w:pStyle w:val="Obsah1"/>
            <w:tabs>
              <w:tab w:val="left" w:pos="440"/>
              <w:tab w:val="right" w:leader="dot" w:pos="9060"/>
            </w:tabs>
            <w:rPr>
              <w:rFonts w:eastAsiaTheme="minorEastAsia"/>
              <w:noProof/>
              <w:lang w:eastAsia="cs-CZ"/>
            </w:rPr>
          </w:pPr>
          <w:hyperlink w:anchor="_Toc50456785" w:history="1">
            <w:r w:rsidR="00E96F43" w:rsidRPr="00227C0C">
              <w:rPr>
                <w:rStyle w:val="Hypertextovodkaz"/>
                <w:noProof/>
                <w:snapToGrid w:val="0"/>
                <w:lang w:val="fr-FR"/>
              </w:rPr>
              <w:t>5</w:t>
            </w:r>
            <w:r w:rsidR="00E96F43">
              <w:rPr>
                <w:rFonts w:eastAsiaTheme="minorEastAsia"/>
                <w:noProof/>
                <w:lang w:eastAsia="cs-CZ"/>
              </w:rPr>
              <w:tab/>
            </w:r>
            <w:r w:rsidR="00E96F43" w:rsidRPr="00227C0C">
              <w:rPr>
                <w:rStyle w:val="Hypertextovodkaz"/>
                <w:noProof/>
                <w:snapToGrid w:val="0"/>
                <w:lang w:val="fr-FR"/>
              </w:rPr>
              <w:t>Doplňující informace k EO 5</w:t>
            </w:r>
            <w:r w:rsidR="00E96F43">
              <w:rPr>
                <w:noProof/>
                <w:webHidden/>
              </w:rPr>
              <w:tab/>
            </w:r>
            <w:r w:rsidR="00E96F43">
              <w:rPr>
                <w:noProof/>
                <w:webHidden/>
              </w:rPr>
              <w:fldChar w:fldCharType="begin"/>
            </w:r>
            <w:r w:rsidR="00E96F43">
              <w:rPr>
                <w:noProof/>
                <w:webHidden/>
              </w:rPr>
              <w:instrText xml:space="preserve"> PAGEREF _Toc50456785 \h </w:instrText>
            </w:r>
            <w:r w:rsidR="00E96F43">
              <w:rPr>
                <w:noProof/>
                <w:webHidden/>
              </w:rPr>
            </w:r>
            <w:r w:rsidR="00E96F43">
              <w:rPr>
                <w:noProof/>
                <w:webHidden/>
              </w:rPr>
              <w:fldChar w:fldCharType="separate"/>
            </w:r>
            <w:r w:rsidR="006F13AC">
              <w:rPr>
                <w:noProof/>
                <w:webHidden/>
              </w:rPr>
              <w:t>17</w:t>
            </w:r>
            <w:r w:rsidR="00E96F43">
              <w:rPr>
                <w:noProof/>
                <w:webHidden/>
              </w:rPr>
              <w:fldChar w:fldCharType="end"/>
            </w:r>
          </w:hyperlink>
        </w:p>
        <w:p w14:paraId="5ED13403" w14:textId="7EAED50D" w:rsidR="00E96F43" w:rsidRDefault="00C050DB">
          <w:pPr>
            <w:pStyle w:val="Obsah1"/>
            <w:tabs>
              <w:tab w:val="left" w:pos="440"/>
              <w:tab w:val="right" w:leader="dot" w:pos="9060"/>
            </w:tabs>
            <w:rPr>
              <w:rFonts w:eastAsiaTheme="minorEastAsia"/>
              <w:noProof/>
              <w:lang w:eastAsia="cs-CZ"/>
            </w:rPr>
          </w:pPr>
          <w:hyperlink w:anchor="_Toc50456786" w:history="1">
            <w:r w:rsidR="00E96F43" w:rsidRPr="00227C0C">
              <w:rPr>
                <w:rStyle w:val="Hypertextovodkaz"/>
                <w:noProof/>
                <w:snapToGrid w:val="0"/>
                <w:lang w:val="fr-FR"/>
              </w:rPr>
              <w:t>6</w:t>
            </w:r>
            <w:r w:rsidR="00E96F43">
              <w:rPr>
                <w:rFonts w:eastAsiaTheme="minorEastAsia"/>
                <w:noProof/>
                <w:lang w:eastAsia="cs-CZ"/>
              </w:rPr>
              <w:tab/>
            </w:r>
            <w:r w:rsidR="00E96F43" w:rsidRPr="00227C0C">
              <w:rPr>
                <w:rStyle w:val="Hypertextovodkaz"/>
                <w:noProof/>
                <w:snapToGrid w:val="0"/>
                <w:lang w:val="fr-FR"/>
              </w:rPr>
              <w:t>Doplňující informace k EO 6</w:t>
            </w:r>
            <w:r w:rsidR="00E96F43">
              <w:rPr>
                <w:noProof/>
                <w:webHidden/>
              </w:rPr>
              <w:tab/>
            </w:r>
            <w:r w:rsidR="00E96F43">
              <w:rPr>
                <w:noProof/>
                <w:webHidden/>
              </w:rPr>
              <w:fldChar w:fldCharType="begin"/>
            </w:r>
            <w:r w:rsidR="00E96F43">
              <w:rPr>
                <w:noProof/>
                <w:webHidden/>
              </w:rPr>
              <w:instrText xml:space="preserve"> PAGEREF _Toc50456786 \h </w:instrText>
            </w:r>
            <w:r w:rsidR="00E96F43">
              <w:rPr>
                <w:noProof/>
                <w:webHidden/>
              </w:rPr>
            </w:r>
            <w:r w:rsidR="00E96F43">
              <w:rPr>
                <w:noProof/>
                <w:webHidden/>
              </w:rPr>
              <w:fldChar w:fldCharType="separate"/>
            </w:r>
            <w:r w:rsidR="006F13AC">
              <w:rPr>
                <w:noProof/>
                <w:webHidden/>
              </w:rPr>
              <w:t>23</w:t>
            </w:r>
            <w:r w:rsidR="00E96F43">
              <w:rPr>
                <w:noProof/>
                <w:webHidden/>
              </w:rPr>
              <w:fldChar w:fldCharType="end"/>
            </w:r>
          </w:hyperlink>
        </w:p>
        <w:p w14:paraId="1AC53E6B" w14:textId="1EB429F7" w:rsidR="00E96F43" w:rsidRDefault="00C050DB">
          <w:pPr>
            <w:pStyle w:val="Obsah1"/>
            <w:tabs>
              <w:tab w:val="left" w:pos="440"/>
              <w:tab w:val="right" w:leader="dot" w:pos="9060"/>
            </w:tabs>
            <w:rPr>
              <w:rFonts w:eastAsiaTheme="minorEastAsia"/>
              <w:noProof/>
              <w:lang w:eastAsia="cs-CZ"/>
            </w:rPr>
          </w:pPr>
          <w:hyperlink w:anchor="_Toc50456787" w:history="1">
            <w:r w:rsidR="00E96F43" w:rsidRPr="00227C0C">
              <w:rPr>
                <w:rStyle w:val="Hypertextovodkaz"/>
                <w:noProof/>
                <w:snapToGrid w:val="0"/>
                <w:lang w:val="fr-FR"/>
              </w:rPr>
              <w:t>7</w:t>
            </w:r>
            <w:r w:rsidR="00E96F43">
              <w:rPr>
                <w:rFonts w:eastAsiaTheme="minorEastAsia"/>
                <w:noProof/>
                <w:lang w:eastAsia="cs-CZ"/>
              </w:rPr>
              <w:tab/>
            </w:r>
            <w:r w:rsidR="00E96F43" w:rsidRPr="00227C0C">
              <w:rPr>
                <w:rStyle w:val="Hypertextovodkaz"/>
                <w:noProof/>
                <w:snapToGrid w:val="0"/>
                <w:lang w:val="fr-FR"/>
              </w:rPr>
              <w:t>Doplňující informace k EO 7</w:t>
            </w:r>
            <w:r w:rsidR="00E96F43">
              <w:rPr>
                <w:noProof/>
                <w:webHidden/>
              </w:rPr>
              <w:tab/>
            </w:r>
            <w:r w:rsidR="00E96F43">
              <w:rPr>
                <w:noProof/>
                <w:webHidden/>
              </w:rPr>
              <w:fldChar w:fldCharType="begin"/>
            </w:r>
            <w:r w:rsidR="00E96F43">
              <w:rPr>
                <w:noProof/>
                <w:webHidden/>
              </w:rPr>
              <w:instrText xml:space="preserve"> PAGEREF _Toc50456787 \h </w:instrText>
            </w:r>
            <w:r w:rsidR="00E96F43">
              <w:rPr>
                <w:noProof/>
                <w:webHidden/>
              </w:rPr>
            </w:r>
            <w:r w:rsidR="00E96F43">
              <w:rPr>
                <w:noProof/>
                <w:webHidden/>
              </w:rPr>
              <w:fldChar w:fldCharType="separate"/>
            </w:r>
            <w:r w:rsidR="006F13AC">
              <w:rPr>
                <w:noProof/>
                <w:webHidden/>
              </w:rPr>
              <w:t>24</w:t>
            </w:r>
            <w:r w:rsidR="00E96F43">
              <w:rPr>
                <w:noProof/>
                <w:webHidden/>
              </w:rPr>
              <w:fldChar w:fldCharType="end"/>
            </w:r>
          </w:hyperlink>
        </w:p>
        <w:p w14:paraId="1BF854DB" w14:textId="14D32EBA" w:rsidR="00E96F43" w:rsidRDefault="00C050DB">
          <w:pPr>
            <w:pStyle w:val="Obsah1"/>
            <w:tabs>
              <w:tab w:val="left" w:pos="440"/>
              <w:tab w:val="right" w:leader="dot" w:pos="9060"/>
            </w:tabs>
            <w:rPr>
              <w:rFonts w:eastAsiaTheme="minorEastAsia"/>
              <w:noProof/>
              <w:lang w:eastAsia="cs-CZ"/>
            </w:rPr>
          </w:pPr>
          <w:hyperlink w:anchor="_Toc50456788" w:history="1">
            <w:r w:rsidR="00E96F43" w:rsidRPr="00227C0C">
              <w:rPr>
                <w:rStyle w:val="Hypertextovodkaz"/>
                <w:noProof/>
                <w:snapToGrid w:val="0"/>
                <w:lang w:val="fr-FR"/>
              </w:rPr>
              <w:t>8</w:t>
            </w:r>
            <w:r w:rsidR="00E96F43">
              <w:rPr>
                <w:rFonts w:eastAsiaTheme="minorEastAsia"/>
                <w:noProof/>
                <w:lang w:eastAsia="cs-CZ"/>
              </w:rPr>
              <w:tab/>
            </w:r>
            <w:r w:rsidR="00E96F43" w:rsidRPr="00227C0C">
              <w:rPr>
                <w:rStyle w:val="Hypertextovodkaz"/>
                <w:noProof/>
                <w:snapToGrid w:val="0"/>
                <w:lang w:val="fr-FR"/>
              </w:rPr>
              <w:t>Doplňující informace k EO 8</w:t>
            </w:r>
            <w:r w:rsidR="00E96F43">
              <w:rPr>
                <w:noProof/>
                <w:webHidden/>
              </w:rPr>
              <w:tab/>
            </w:r>
            <w:r w:rsidR="00E96F43">
              <w:rPr>
                <w:noProof/>
                <w:webHidden/>
              </w:rPr>
              <w:fldChar w:fldCharType="begin"/>
            </w:r>
            <w:r w:rsidR="00E96F43">
              <w:rPr>
                <w:noProof/>
                <w:webHidden/>
              </w:rPr>
              <w:instrText xml:space="preserve"> PAGEREF _Toc50456788 \h </w:instrText>
            </w:r>
            <w:r w:rsidR="00E96F43">
              <w:rPr>
                <w:noProof/>
                <w:webHidden/>
              </w:rPr>
            </w:r>
            <w:r w:rsidR="00E96F43">
              <w:rPr>
                <w:noProof/>
                <w:webHidden/>
              </w:rPr>
              <w:fldChar w:fldCharType="separate"/>
            </w:r>
            <w:r w:rsidR="006F13AC">
              <w:rPr>
                <w:noProof/>
                <w:webHidden/>
              </w:rPr>
              <w:t>29</w:t>
            </w:r>
            <w:r w:rsidR="00E96F43">
              <w:rPr>
                <w:noProof/>
                <w:webHidden/>
              </w:rPr>
              <w:fldChar w:fldCharType="end"/>
            </w:r>
          </w:hyperlink>
        </w:p>
        <w:p w14:paraId="20DC2210" w14:textId="14C4BEA1" w:rsidR="00E96F43" w:rsidRDefault="00C050DB">
          <w:pPr>
            <w:pStyle w:val="Obsah1"/>
            <w:tabs>
              <w:tab w:val="left" w:pos="440"/>
              <w:tab w:val="right" w:leader="dot" w:pos="9060"/>
            </w:tabs>
            <w:rPr>
              <w:rFonts w:eastAsiaTheme="minorEastAsia"/>
              <w:noProof/>
              <w:lang w:eastAsia="cs-CZ"/>
            </w:rPr>
          </w:pPr>
          <w:hyperlink w:anchor="_Toc50456789" w:history="1">
            <w:r w:rsidR="00E96F43" w:rsidRPr="00227C0C">
              <w:rPr>
                <w:rStyle w:val="Hypertextovodkaz"/>
                <w:noProof/>
                <w:snapToGrid w:val="0"/>
                <w:lang w:val="fr-FR"/>
              </w:rPr>
              <w:t>9</w:t>
            </w:r>
            <w:r w:rsidR="00E96F43">
              <w:rPr>
                <w:rFonts w:eastAsiaTheme="minorEastAsia"/>
                <w:noProof/>
                <w:lang w:eastAsia="cs-CZ"/>
              </w:rPr>
              <w:tab/>
            </w:r>
            <w:r w:rsidR="00E96F43" w:rsidRPr="00227C0C">
              <w:rPr>
                <w:rStyle w:val="Hypertextovodkaz"/>
                <w:noProof/>
                <w:snapToGrid w:val="0"/>
                <w:lang w:val="fr-FR"/>
              </w:rPr>
              <w:t>Doplňující informace k EO 9</w:t>
            </w:r>
            <w:r w:rsidR="00E96F43">
              <w:rPr>
                <w:noProof/>
                <w:webHidden/>
              </w:rPr>
              <w:tab/>
            </w:r>
            <w:r w:rsidR="00E96F43">
              <w:rPr>
                <w:noProof/>
                <w:webHidden/>
              </w:rPr>
              <w:fldChar w:fldCharType="begin"/>
            </w:r>
            <w:r w:rsidR="00E96F43">
              <w:rPr>
                <w:noProof/>
                <w:webHidden/>
              </w:rPr>
              <w:instrText xml:space="preserve"> PAGEREF _Toc50456789 \h </w:instrText>
            </w:r>
            <w:r w:rsidR="00E96F43">
              <w:rPr>
                <w:noProof/>
                <w:webHidden/>
              </w:rPr>
            </w:r>
            <w:r w:rsidR="00E96F43">
              <w:rPr>
                <w:noProof/>
                <w:webHidden/>
              </w:rPr>
              <w:fldChar w:fldCharType="separate"/>
            </w:r>
            <w:r w:rsidR="006F13AC">
              <w:rPr>
                <w:noProof/>
                <w:webHidden/>
              </w:rPr>
              <w:t>36</w:t>
            </w:r>
            <w:r w:rsidR="00E96F43">
              <w:rPr>
                <w:noProof/>
                <w:webHidden/>
              </w:rPr>
              <w:fldChar w:fldCharType="end"/>
            </w:r>
          </w:hyperlink>
        </w:p>
        <w:p w14:paraId="381384BF" w14:textId="408B0FFE" w:rsidR="00E96F43" w:rsidRDefault="00C050DB">
          <w:pPr>
            <w:pStyle w:val="Obsah1"/>
            <w:tabs>
              <w:tab w:val="left" w:pos="660"/>
              <w:tab w:val="right" w:leader="dot" w:pos="9060"/>
            </w:tabs>
            <w:rPr>
              <w:rFonts w:eastAsiaTheme="minorEastAsia"/>
              <w:noProof/>
              <w:lang w:eastAsia="cs-CZ"/>
            </w:rPr>
          </w:pPr>
          <w:hyperlink w:anchor="_Toc50456790" w:history="1">
            <w:r w:rsidR="00E96F43" w:rsidRPr="00227C0C">
              <w:rPr>
                <w:rStyle w:val="Hypertextovodkaz"/>
                <w:noProof/>
                <w:snapToGrid w:val="0"/>
                <w:lang w:val="fr-FR"/>
              </w:rPr>
              <w:t>10</w:t>
            </w:r>
            <w:r w:rsidR="00E96F43">
              <w:rPr>
                <w:rFonts w:eastAsiaTheme="minorEastAsia"/>
                <w:noProof/>
                <w:lang w:eastAsia="cs-CZ"/>
              </w:rPr>
              <w:tab/>
            </w:r>
            <w:r w:rsidR="00E96F43" w:rsidRPr="00227C0C">
              <w:rPr>
                <w:rStyle w:val="Hypertextovodkaz"/>
                <w:noProof/>
                <w:snapToGrid w:val="0"/>
                <w:lang w:val="fr-FR"/>
              </w:rPr>
              <w:t>Doplňující informace k EO 10</w:t>
            </w:r>
            <w:r w:rsidR="00E96F43">
              <w:rPr>
                <w:noProof/>
                <w:webHidden/>
              </w:rPr>
              <w:tab/>
            </w:r>
            <w:r w:rsidR="00E96F43">
              <w:rPr>
                <w:noProof/>
                <w:webHidden/>
              </w:rPr>
              <w:fldChar w:fldCharType="begin"/>
            </w:r>
            <w:r w:rsidR="00E96F43">
              <w:rPr>
                <w:noProof/>
                <w:webHidden/>
              </w:rPr>
              <w:instrText xml:space="preserve"> PAGEREF _Toc50456790 \h </w:instrText>
            </w:r>
            <w:r w:rsidR="00E96F43">
              <w:rPr>
                <w:noProof/>
                <w:webHidden/>
              </w:rPr>
            </w:r>
            <w:r w:rsidR="00E96F43">
              <w:rPr>
                <w:noProof/>
                <w:webHidden/>
              </w:rPr>
              <w:fldChar w:fldCharType="separate"/>
            </w:r>
            <w:r w:rsidR="006F13AC">
              <w:rPr>
                <w:noProof/>
                <w:webHidden/>
              </w:rPr>
              <w:t>40</w:t>
            </w:r>
            <w:r w:rsidR="00E96F43">
              <w:rPr>
                <w:noProof/>
                <w:webHidden/>
              </w:rPr>
              <w:fldChar w:fldCharType="end"/>
            </w:r>
          </w:hyperlink>
        </w:p>
        <w:p w14:paraId="5FD8716C" w14:textId="12A51DAF" w:rsidR="00E96F43" w:rsidRDefault="00C050DB">
          <w:pPr>
            <w:pStyle w:val="Obsah1"/>
            <w:tabs>
              <w:tab w:val="left" w:pos="660"/>
              <w:tab w:val="right" w:leader="dot" w:pos="9060"/>
            </w:tabs>
            <w:rPr>
              <w:rFonts w:eastAsiaTheme="minorEastAsia"/>
              <w:noProof/>
              <w:lang w:eastAsia="cs-CZ"/>
            </w:rPr>
          </w:pPr>
          <w:hyperlink w:anchor="_Toc50456791" w:history="1">
            <w:r w:rsidR="00E96F43" w:rsidRPr="00227C0C">
              <w:rPr>
                <w:rStyle w:val="Hypertextovodkaz"/>
                <w:noProof/>
                <w:snapToGrid w:val="0"/>
                <w:lang w:val="fr-FR"/>
              </w:rPr>
              <w:t>11</w:t>
            </w:r>
            <w:r w:rsidR="00E96F43">
              <w:rPr>
                <w:rFonts w:eastAsiaTheme="minorEastAsia"/>
                <w:noProof/>
                <w:lang w:eastAsia="cs-CZ"/>
              </w:rPr>
              <w:tab/>
            </w:r>
            <w:r w:rsidR="00E96F43" w:rsidRPr="00227C0C">
              <w:rPr>
                <w:rStyle w:val="Hypertextovodkaz"/>
                <w:noProof/>
                <w:snapToGrid w:val="0"/>
                <w:lang w:val="fr-FR"/>
              </w:rPr>
              <w:t>Doplňující informace k EO 11</w:t>
            </w:r>
            <w:r w:rsidR="00E96F43">
              <w:rPr>
                <w:noProof/>
                <w:webHidden/>
              </w:rPr>
              <w:tab/>
            </w:r>
            <w:r w:rsidR="00E96F43">
              <w:rPr>
                <w:noProof/>
                <w:webHidden/>
              </w:rPr>
              <w:fldChar w:fldCharType="begin"/>
            </w:r>
            <w:r w:rsidR="00E96F43">
              <w:rPr>
                <w:noProof/>
                <w:webHidden/>
              </w:rPr>
              <w:instrText xml:space="preserve"> PAGEREF _Toc50456791 \h </w:instrText>
            </w:r>
            <w:r w:rsidR="00E96F43">
              <w:rPr>
                <w:noProof/>
                <w:webHidden/>
              </w:rPr>
            </w:r>
            <w:r w:rsidR="00E96F43">
              <w:rPr>
                <w:noProof/>
                <w:webHidden/>
              </w:rPr>
              <w:fldChar w:fldCharType="separate"/>
            </w:r>
            <w:r w:rsidR="006F13AC">
              <w:rPr>
                <w:noProof/>
                <w:webHidden/>
              </w:rPr>
              <w:t>43</w:t>
            </w:r>
            <w:r w:rsidR="00E96F43">
              <w:rPr>
                <w:noProof/>
                <w:webHidden/>
              </w:rPr>
              <w:fldChar w:fldCharType="end"/>
            </w:r>
          </w:hyperlink>
        </w:p>
        <w:p w14:paraId="0D841481" w14:textId="706454BD" w:rsidR="00E96F43" w:rsidRDefault="00C050DB">
          <w:pPr>
            <w:pStyle w:val="Obsah1"/>
            <w:tabs>
              <w:tab w:val="left" w:pos="660"/>
              <w:tab w:val="right" w:leader="dot" w:pos="9060"/>
            </w:tabs>
            <w:rPr>
              <w:rFonts w:eastAsiaTheme="minorEastAsia"/>
              <w:noProof/>
              <w:lang w:eastAsia="cs-CZ"/>
            </w:rPr>
          </w:pPr>
          <w:hyperlink w:anchor="_Toc50456792" w:history="1">
            <w:r w:rsidR="00E96F43" w:rsidRPr="00227C0C">
              <w:rPr>
                <w:rStyle w:val="Hypertextovodkaz"/>
                <w:noProof/>
                <w:snapToGrid w:val="0"/>
                <w:lang w:val="fr-FR"/>
              </w:rPr>
              <w:t>12</w:t>
            </w:r>
            <w:r w:rsidR="00E96F43">
              <w:rPr>
                <w:rFonts w:eastAsiaTheme="minorEastAsia"/>
                <w:noProof/>
                <w:lang w:eastAsia="cs-CZ"/>
              </w:rPr>
              <w:tab/>
            </w:r>
            <w:r w:rsidR="00E96F43" w:rsidRPr="00227C0C">
              <w:rPr>
                <w:rStyle w:val="Hypertextovodkaz"/>
                <w:noProof/>
              </w:rPr>
              <w:t>Doplňující informace k EO 12</w:t>
            </w:r>
            <w:r w:rsidR="00E96F43">
              <w:rPr>
                <w:noProof/>
                <w:webHidden/>
              </w:rPr>
              <w:tab/>
            </w:r>
            <w:r w:rsidR="00E96F43">
              <w:rPr>
                <w:noProof/>
                <w:webHidden/>
              </w:rPr>
              <w:fldChar w:fldCharType="begin"/>
            </w:r>
            <w:r w:rsidR="00E96F43">
              <w:rPr>
                <w:noProof/>
                <w:webHidden/>
              </w:rPr>
              <w:instrText xml:space="preserve"> PAGEREF _Toc50456792 \h </w:instrText>
            </w:r>
            <w:r w:rsidR="00E96F43">
              <w:rPr>
                <w:noProof/>
                <w:webHidden/>
              </w:rPr>
            </w:r>
            <w:r w:rsidR="00E96F43">
              <w:rPr>
                <w:noProof/>
                <w:webHidden/>
              </w:rPr>
              <w:fldChar w:fldCharType="separate"/>
            </w:r>
            <w:r w:rsidR="006F13AC">
              <w:rPr>
                <w:noProof/>
                <w:webHidden/>
              </w:rPr>
              <w:t>44</w:t>
            </w:r>
            <w:r w:rsidR="00E96F43">
              <w:rPr>
                <w:noProof/>
                <w:webHidden/>
              </w:rPr>
              <w:fldChar w:fldCharType="end"/>
            </w:r>
          </w:hyperlink>
        </w:p>
        <w:p w14:paraId="1F134B4B" w14:textId="188B4995" w:rsidR="00E96F43" w:rsidRDefault="00C050DB">
          <w:pPr>
            <w:pStyle w:val="Obsah1"/>
            <w:tabs>
              <w:tab w:val="left" w:pos="660"/>
              <w:tab w:val="right" w:leader="dot" w:pos="9060"/>
            </w:tabs>
            <w:rPr>
              <w:rFonts w:eastAsiaTheme="minorEastAsia"/>
              <w:noProof/>
              <w:lang w:eastAsia="cs-CZ"/>
            </w:rPr>
          </w:pPr>
          <w:hyperlink w:anchor="_Toc50456793" w:history="1">
            <w:r w:rsidR="00E96F43" w:rsidRPr="00227C0C">
              <w:rPr>
                <w:rStyle w:val="Hypertextovodkaz"/>
                <w:noProof/>
                <w:lang w:val="fr-FR"/>
              </w:rPr>
              <w:t>13</w:t>
            </w:r>
            <w:r w:rsidR="00E96F43">
              <w:rPr>
                <w:rFonts w:eastAsiaTheme="minorEastAsia"/>
                <w:noProof/>
                <w:lang w:eastAsia="cs-CZ"/>
              </w:rPr>
              <w:tab/>
            </w:r>
            <w:r w:rsidR="00E96F43" w:rsidRPr="00227C0C">
              <w:rPr>
                <w:rStyle w:val="Hypertextovodkaz"/>
                <w:noProof/>
              </w:rPr>
              <w:t>Doplňující</w:t>
            </w:r>
            <w:r w:rsidR="00E96F43" w:rsidRPr="00227C0C">
              <w:rPr>
                <w:rStyle w:val="Hypertextovodkaz"/>
                <w:noProof/>
                <w:lang w:val="fr-FR"/>
              </w:rPr>
              <w:t xml:space="preserve"> informace k EO 13</w:t>
            </w:r>
            <w:r w:rsidR="00E96F43">
              <w:rPr>
                <w:noProof/>
                <w:webHidden/>
              </w:rPr>
              <w:tab/>
            </w:r>
            <w:r w:rsidR="00E96F43">
              <w:rPr>
                <w:noProof/>
                <w:webHidden/>
              </w:rPr>
              <w:fldChar w:fldCharType="begin"/>
            </w:r>
            <w:r w:rsidR="00E96F43">
              <w:rPr>
                <w:noProof/>
                <w:webHidden/>
              </w:rPr>
              <w:instrText xml:space="preserve"> PAGEREF _Toc50456793 \h </w:instrText>
            </w:r>
            <w:r w:rsidR="00E96F43">
              <w:rPr>
                <w:noProof/>
                <w:webHidden/>
              </w:rPr>
            </w:r>
            <w:r w:rsidR="00E96F43">
              <w:rPr>
                <w:noProof/>
                <w:webHidden/>
              </w:rPr>
              <w:fldChar w:fldCharType="separate"/>
            </w:r>
            <w:r w:rsidR="006F13AC">
              <w:rPr>
                <w:noProof/>
                <w:webHidden/>
              </w:rPr>
              <w:t>50</w:t>
            </w:r>
            <w:r w:rsidR="00E96F43">
              <w:rPr>
                <w:noProof/>
                <w:webHidden/>
              </w:rPr>
              <w:fldChar w:fldCharType="end"/>
            </w:r>
          </w:hyperlink>
        </w:p>
        <w:p w14:paraId="423C3917" w14:textId="3E8FE0CC" w:rsidR="00E96F43" w:rsidRDefault="00C050DB">
          <w:pPr>
            <w:pStyle w:val="Obsah1"/>
            <w:tabs>
              <w:tab w:val="left" w:pos="660"/>
              <w:tab w:val="right" w:leader="dot" w:pos="9060"/>
            </w:tabs>
            <w:rPr>
              <w:rFonts w:eastAsiaTheme="minorEastAsia"/>
              <w:noProof/>
              <w:lang w:eastAsia="cs-CZ"/>
            </w:rPr>
          </w:pPr>
          <w:hyperlink w:anchor="_Toc50456794" w:history="1">
            <w:r w:rsidR="00E96F43" w:rsidRPr="00227C0C">
              <w:rPr>
                <w:rStyle w:val="Hypertextovodkaz"/>
                <w:noProof/>
                <w:lang w:val="fr-FR"/>
              </w:rPr>
              <w:t>14</w:t>
            </w:r>
            <w:r w:rsidR="00E96F43">
              <w:rPr>
                <w:rFonts w:eastAsiaTheme="minorEastAsia"/>
                <w:noProof/>
                <w:lang w:eastAsia="cs-CZ"/>
              </w:rPr>
              <w:tab/>
            </w:r>
            <w:r w:rsidR="00E96F43" w:rsidRPr="00227C0C">
              <w:rPr>
                <w:rStyle w:val="Hypertextovodkaz"/>
                <w:noProof/>
              </w:rPr>
              <w:t>Doplňující</w:t>
            </w:r>
            <w:r w:rsidR="00E96F43" w:rsidRPr="00227C0C">
              <w:rPr>
                <w:rStyle w:val="Hypertextovodkaz"/>
                <w:noProof/>
                <w:lang w:val="fr-FR"/>
              </w:rPr>
              <w:t xml:space="preserve"> informace k EO 14</w:t>
            </w:r>
            <w:r w:rsidR="00E96F43">
              <w:rPr>
                <w:noProof/>
                <w:webHidden/>
              </w:rPr>
              <w:tab/>
            </w:r>
            <w:r w:rsidR="00E96F43">
              <w:rPr>
                <w:noProof/>
                <w:webHidden/>
              </w:rPr>
              <w:fldChar w:fldCharType="begin"/>
            </w:r>
            <w:r w:rsidR="00E96F43">
              <w:rPr>
                <w:noProof/>
                <w:webHidden/>
              </w:rPr>
              <w:instrText xml:space="preserve"> PAGEREF _Toc50456794 \h </w:instrText>
            </w:r>
            <w:r w:rsidR="00E96F43">
              <w:rPr>
                <w:noProof/>
                <w:webHidden/>
              </w:rPr>
            </w:r>
            <w:r w:rsidR="00E96F43">
              <w:rPr>
                <w:noProof/>
                <w:webHidden/>
              </w:rPr>
              <w:fldChar w:fldCharType="separate"/>
            </w:r>
            <w:r w:rsidR="006F13AC">
              <w:rPr>
                <w:noProof/>
                <w:webHidden/>
              </w:rPr>
              <w:t>57</w:t>
            </w:r>
            <w:r w:rsidR="00E96F43">
              <w:rPr>
                <w:noProof/>
                <w:webHidden/>
              </w:rPr>
              <w:fldChar w:fldCharType="end"/>
            </w:r>
          </w:hyperlink>
        </w:p>
        <w:p w14:paraId="1B66EDB7" w14:textId="5FF70010" w:rsidR="00E96F43" w:rsidRDefault="00C050DB">
          <w:pPr>
            <w:pStyle w:val="Obsah1"/>
            <w:tabs>
              <w:tab w:val="left" w:pos="660"/>
              <w:tab w:val="right" w:leader="dot" w:pos="9060"/>
            </w:tabs>
            <w:rPr>
              <w:rFonts w:eastAsiaTheme="minorEastAsia"/>
              <w:noProof/>
              <w:lang w:eastAsia="cs-CZ"/>
            </w:rPr>
          </w:pPr>
          <w:hyperlink w:anchor="_Toc50456795" w:history="1">
            <w:r w:rsidR="00E96F43" w:rsidRPr="00227C0C">
              <w:rPr>
                <w:rStyle w:val="Hypertextovodkaz"/>
                <w:noProof/>
                <w:lang w:val="fr-FR"/>
              </w:rPr>
              <w:t>15</w:t>
            </w:r>
            <w:r w:rsidR="00E96F43">
              <w:rPr>
                <w:rFonts w:eastAsiaTheme="minorEastAsia"/>
                <w:noProof/>
                <w:lang w:eastAsia="cs-CZ"/>
              </w:rPr>
              <w:tab/>
            </w:r>
            <w:r w:rsidR="00E96F43" w:rsidRPr="00227C0C">
              <w:rPr>
                <w:rStyle w:val="Hypertextovodkaz"/>
                <w:noProof/>
              </w:rPr>
              <w:t>Doplňující</w:t>
            </w:r>
            <w:r w:rsidR="00E96F43" w:rsidRPr="00227C0C">
              <w:rPr>
                <w:rStyle w:val="Hypertextovodkaz"/>
                <w:noProof/>
                <w:lang w:val="fr-FR"/>
              </w:rPr>
              <w:t xml:space="preserve"> informace k EO 15</w:t>
            </w:r>
            <w:r w:rsidR="00E96F43">
              <w:rPr>
                <w:noProof/>
                <w:webHidden/>
              </w:rPr>
              <w:tab/>
            </w:r>
            <w:r w:rsidR="00E96F43">
              <w:rPr>
                <w:noProof/>
                <w:webHidden/>
              </w:rPr>
              <w:fldChar w:fldCharType="begin"/>
            </w:r>
            <w:r w:rsidR="00E96F43">
              <w:rPr>
                <w:noProof/>
                <w:webHidden/>
              </w:rPr>
              <w:instrText xml:space="preserve"> PAGEREF _Toc50456795 \h </w:instrText>
            </w:r>
            <w:r w:rsidR="00E96F43">
              <w:rPr>
                <w:noProof/>
                <w:webHidden/>
              </w:rPr>
            </w:r>
            <w:r w:rsidR="00E96F43">
              <w:rPr>
                <w:noProof/>
                <w:webHidden/>
              </w:rPr>
              <w:fldChar w:fldCharType="separate"/>
            </w:r>
            <w:r w:rsidR="006F13AC">
              <w:rPr>
                <w:noProof/>
                <w:webHidden/>
              </w:rPr>
              <w:t>66</w:t>
            </w:r>
            <w:r w:rsidR="00E96F43">
              <w:rPr>
                <w:noProof/>
                <w:webHidden/>
              </w:rPr>
              <w:fldChar w:fldCharType="end"/>
            </w:r>
          </w:hyperlink>
        </w:p>
        <w:p w14:paraId="56BA4E76" w14:textId="6BAD2526" w:rsidR="00E96F43" w:rsidRDefault="00C050DB">
          <w:pPr>
            <w:pStyle w:val="Obsah1"/>
            <w:tabs>
              <w:tab w:val="left" w:pos="660"/>
              <w:tab w:val="right" w:leader="dot" w:pos="9060"/>
            </w:tabs>
            <w:rPr>
              <w:rFonts w:eastAsiaTheme="minorEastAsia"/>
              <w:noProof/>
              <w:lang w:eastAsia="cs-CZ"/>
            </w:rPr>
          </w:pPr>
          <w:hyperlink w:anchor="_Toc50456796" w:history="1">
            <w:r w:rsidR="00E96F43" w:rsidRPr="00227C0C">
              <w:rPr>
                <w:rStyle w:val="Hypertextovodkaz"/>
                <w:noProof/>
                <w:lang w:val="fr-FR"/>
              </w:rPr>
              <w:t>16</w:t>
            </w:r>
            <w:r w:rsidR="00E96F43">
              <w:rPr>
                <w:rFonts w:eastAsiaTheme="minorEastAsia"/>
                <w:noProof/>
                <w:lang w:eastAsia="cs-CZ"/>
              </w:rPr>
              <w:tab/>
            </w:r>
            <w:r w:rsidR="00E96F43" w:rsidRPr="00227C0C">
              <w:rPr>
                <w:rStyle w:val="Hypertextovodkaz"/>
                <w:noProof/>
                <w:lang w:val="fr-FR"/>
              </w:rPr>
              <w:t>Doplňující informace k EO 16</w:t>
            </w:r>
            <w:r w:rsidR="00E96F43">
              <w:rPr>
                <w:noProof/>
                <w:webHidden/>
              </w:rPr>
              <w:tab/>
            </w:r>
            <w:r w:rsidR="00E96F43">
              <w:rPr>
                <w:noProof/>
                <w:webHidden/>
              </w:rPr>
              <w:fldChar w:fldCharType="begin"/>
            </w:r>
            <w:r w:rsidR="00E96F43">
              <w:rPr>
                <w:noProof/>
                <w:webHidden/>
              </w:rPr>
              <w:instrText xml:space="preserve"> PAGEREF _Toc50456796 \h </w:instrText>
            </w:r>
            <w:r w:rsidR="00E96F43">
              <w:rPr>
                <w:noProof/>
                <w:webHidden/>
              </w:rPr>
            </w:r>
            <w:r w:rsidR="00E96F43">
              <w:rPr>
                <w:noProof/>
                <w:webHidden/>
              </w:rPr>
              <w:fldChar w:fldCharType="separate"/>
            </w:r>
            <w:r w:rsidR="006F13AC">
              <w:rPr>
                <w:noProof/>
                <w:webHidden/>
              </w:rPr>
              <w:t>69</w:t>
            </w:r>
            <w:r w:rsidR="00E96F43">
              <w:rPr>
                <w:noProof/>
                <w:webHidden/>
              </w:rPr>
              <w:fldChar w:fldCharType="end"/>
            </w:r>
          </w:hyperlink>
        </w:p>
        <w:p w14:paraId="4460DB8F" w14:textId="316736D2" w:rsidR="00E96F43" w:rsidRDefault="00C050DB">
          <w:pPr>
            <w:pStyle w:val="Obsah1"/>
            <w:tabs>
              <w:tab w:val="left" w:pos="660"/>
              <w:tab w:val="right" w:leader="dot" w:pos="9060"/>
            </w:tabs>
            <w:rPr>
              <w:rFonts w:eastAsiaTheme="minorEastAsia"/>
              <w:noProof/>
              <w:lang w:eastAsia="cs-CZ"/>
            </w:rPr>
          </w:pPr>
          <w:hyperlink w:anchor="_Toc50456797" w:history="1">
            <w:r w:rsidR="00E96F43" w:rsidRPr="00227C0C">
              <w:rPr>
                <w:rStyle w:val="Hypertextovodkaz"/>
                <w:noProof/>
              </w:rPr>
              <w:t>17</w:t>
            </w:r>
            <w:r w:rsidR="00E96F43">
              <w:rPr>
                <w:rFonts w:eastAsiaTheme="minorEastAsia"/>
                <w:noProof/>
                <w:lang w:eastAsia="cs-CZ"/>
              </w:rPr>
              <w:tab/>
            </w:r>
            <w:r w:rsidR="00E96F43" w:rsidRPr="00227C0C">
              <w:rPr>
                <w:rStyle w:val="Hypertextovodkaz"/>
                <w:noProof/>
              </w:rPr>
              <w:t>Informační zdroje</w:t>
            </w:r>
            <w:r w:rsidR="00E96F43">
              <w:rPr>
                <w:noProof/>
                <w:webHidden/>
              </w:rPr>
              <w:tab/>
            </w:r>
            <w:r w:rsidR="00E96F43">
              <w:rPr>
                <w:noProof/>
                <w:webHidden/>
              </w:rPr>
              <w:fldChar w:fldCharType="begin"/>
            </w:r>
            <w:r w:rsidR="00E96F43">
              <w:rPr>
                <w:noProof/>
                <w:webHidden/>
              </w:rPr>
              <w:instrText xml:space="preserve"> PAGEREF _Toc50456797 \h </w:instrText>
            </w:r>
            <w:r w:rsidR="00E96F43">
              <w:rPr>
                <w:noProof/>
                <w:webHidden/>
              </w:rPr>
            </w:r>
            <w:r w:rsidR="00E96F43">
              <w:rPr>
                <w:noProof/>
                <w:webHidden/>
              </w:rPr>
              <w:fldChar w:fldCharType="separate"/>
            </w:r>
            <w:r w:rsidR="006F13AC">
              <w:rPr>
                <w:noProof/>
                <w:webHidden/>
              </w:rPr>
              <w:t>72</w:t>
            </w:r>
            <w:r w:rsidR="00E96F43">
              <w:rPr>
                <w:noProof/>
                <w:webHidden/>
              </w:rPr>
              <w:fldChar w:fldCharType="end"/>
            </w:r>
          </w:hyperlink>
        </w:p>
        <w:p w14:paraId="018DCBA9" w14:textId="52D3DCDB" w:rsidR="00855C6F" w:rsidRDefault="00375887" w:rsidP="00855C6F">
          <w:r>
            <w:rPr>
              <w:b/>
              <w:bCs/>
            </w:rPr>
            <w:fldChar w:fldCharType="end"/>
          </w:r>
        </w:p>
      </w:sdtContent>
    </w:sdt>
    <w:p w14:paraId="37CAD083" w14:textId="77777777" w:rsidR="001D10AB" w:rsidRDefault="001D10AB" w:rsidP="001D10AB">
      <w:pPr>
        <w:rPr>
          <w:lang w:eastAsia="cs-CZ"/>
        </w:rPr>
      </w:pPr>
    </w:p>
    <w:p w14:paraId="7AADFB51" w14:textId="77777777" w:rsidR="00274F44" w:rsidRDefault="00274F44" w:rsidP="001D10AB">
      <w:pPr>
        <w:rPr>
          <w:lang w:eastAsia="cs-CZ"/>
        </w:rPr>
      </w:pPr>
    </w:p>
    <w:p w14:paraId="7F8F53E6" w14:textId="77777777" w:rsidR="00274F44" w:rsidRDefault="00274F44" w:rsidP="001D10AB">
      <w:pPr>
        <w:rPr>
          <w:lang w:eastAsia="cs-CZ"/>
        </w:rPr>
      </w:pPr>
    </w:p>
    <w:p w14:paraId="389299F6" w14:textId="77777777" w:rsidR="00274F44" w:rsidRDefault="00274F44" w:rsidP="001D10AB">
      <w:pPr>
        <w:rPr>
          <w:lang w:eastAsia="cs-CZ"/>
        </w:rPr>
      </w:pPr>
    </w:p>
    <w:p w14:paraId="6B29527F" w14:textId="77777777" w:rsidR="006A0837" w:rsidRPr="006A0837" w:rsidRDefault="006A0837" w:rsidP="006A0837">
      <w:pPr>
        <w:rPr>
          <w:lang w:eastAsia="cs-CZ"/>
        </w:rPr>
      </w:pPr>
      <w:bookmarkStart w:id="2" w:name="_Hlk20979367"/>
    </w:p>
    <w:p w14:paraId="2B4ED410" w14:textId="77777777" w:rsidR="006A0837" w:rsidRDefault="006A0837">
      <w:pPr>
        <w:spacing w:after="200"/>
        <w:jc w:val="left"/>
        <w:rPr>
          <w:rFonts w:eastAsia="Times New Roman" w:cs="Times New Roman"/>
          <w:b/>
          <w:bCs/>
          <w:color w:val="0D3B5E" w:themeColor="accent1"/>
          <w:kern w:val="32"/>
          <w:sz w:val="44"/>
          <w:szCs w:val="52"/>
          <w:lang w:eastAsia="cs-CZ"/>
        </w:rPr>
      </w:pPr>
      <w:r>
        <w:br w:type="page"/>
      </w:r>
    </w:p>
    <w:p w14:paraId="0A2A4275" w14:textId="77777777" w:rsidR="00B31377" w:rsidRDefault="00B31377" w:rsidP="003D01DB">
      <w:pPr>
        <w:rPr>
          <w:lang w:eastAsia="cs-CZ"/>
        </w:rPr>
        <w:sectPr w:rsidR="00B31377" w:rsidSect="00C173BC">
          <w:headerReference w:type="default" r:id="rId13"/>
          <w:footerReference w:type="default" r:id="rId14"/>
          <w:headerReference w:type="first" r:id="rId15"/>
          <w:footerReference w:type="first" r:id="rId16"/>
          <w:pgSz w:w="11906" w:h="16838"/>
          <w:pgMar w:top="1712" w:right="1418" w:bottom="1418" w:left="1418" w:header="284" w:footer="709" w:gutter="0"/>
          <w:cols w:space="708"/>
          <w:titlePg/>
          <w:docGrid w:linePitch="360"/>
        </w:sectPr>
      </w:pPr>
    </w:p>
    <w:p w14:paraId="1244316A" w14:textId="77777777" w:rsidR="00E45FE8" w:rsidRDefault="00E45FE8" w:rsidP="0018047C">
      <w:pPr>
        <w:pStyle w:val="Nadpis1"/>
        <w:numPr>
          <w:ilvl w:val="0"/>
          <w:numId w:val="0"/>
        </w:numPr>
        <w:ind w:left="431" w:hanging="431"/>
      </w:pPr>
      <w:bookmarkStart w:id="3" w:name="_Toc50456780"/>
      <w:r>
        <w:lastRenderedPageBreak/>
        <w:t>Seznam tabulek, grafů a obrázků</w:t>
      </w:r>
      <w:bookmarkEnd w:id="3"/>
    </w:p>
    <w:p w14:paraId="004289EB" w14:textId="563BE847" w:rsidR="00E96F43" w:rsidRDefault="00375887">
      <w:pPr>
        <w:pStyle w:val="Seznamobrzk"/>
        <w:tabs>
          <w:tab w:val="right" w:leader="dot" w:pos="9062"/>
        </w:tabs>
        <w:rPr>
          <w:rFonts w:eastAsiaTheme="minorEastAsia"/>
          <w:noProof/>
          <w:lang w:eastAsia="cs-CZ"/>
        </w:rPr>
      </w:pPr>
      <w:r>
        <w:rPr>
          <w:lang w:eastAsia="cs-CZ"/>
        </w:rPr>
        <w:fldChar w:fldCharType="begin"/>
      </w:r>
      <w:r w:rsidR="00E45FE8">
        <w:rPr>
          <w:lang w:eastAsia="cs-CZ"/>
        </w:rPr>
        <w:instrText xml:space="preserve"> TOC \h \z \c "Tabulka" </w:instrText>
      </w:r>
      <w:r>
        <w:rPr>
          <w:lang w:eastAsia="cs-CZ"/>
        </w:rPr>
        <w:fldChar w:fldCharType="separate"/>
      </w:r>
      <w:hyperlink w:anchor="_Toc50456734" w:history="1">
        <w:r w:rsidR="00E96F43" w:rsidRPr="00165104">
          <w:rPr>
            <w:rStyle w:val="Hypertextovodkaz"/>
            <w:noProof/>
          </w:rPr>
          <w:t>Tabulka 1: Počet změn OM dle období</w:t>
        </w:r>
        <w:r w:rsidR="00E96F43">
          <w:rPr>
            <w:noProof/>
            <w:webHidden/>
          </w:rPr>
          <w:tab/>
        </w:r>
        <w:r w:rsidR="00E96F43">
          <w:rPr>
            <w:noProof/>
            <w:webHidden/>
          </w:rPr>
          <w:fldChar w:fldCharType="begin"/>
        </w:r>
        <w:r w:rsidR="00E96F43">
          <w:rPr>
            <w:noProof/>
            <w:webHidden/>
          </w:rPr>
          <w:instrText xml:space="preserve"> PAGEREF _Toc50456734 \h </w:instrText>
        </w:r>
        <w:r w:rsidR="00E96F43">
          <w:rPr>
            <w:noProof/>
            <w:webHidden/>
          </w:rPr>
        </w:r>
        <w:r w:rsidR="00E96F43">
          <w:rPr>
            <w:noProof/>
            <w:webHidden/>
          </w:rPr>
          <w:fldChar w:fldCharType="separate"/>
        </w:r>
        <w:r w:rsidR="006F13AC">
          <w:rPr>
            <w:noProof/>
            <w:webHidden/>
          </w:rPr>
          <w:t>6</w:t>
        </w:r>
        <w:r w:rsidR="00E96F43">
          <w:rPr>
            <w:noProof/>
            <w:webHidden/>
          </w:rPr>
          <w:fldChar w:fldCharType="end"/>
        </w:r>
      </w:hyperlink>
    </w:p>
    <w:p w14:paraId="13B1B4A5" w14:textId="79A04616" w:rsidR="00E96F43" w:rsidRDefault="00C050DB">
      <w:pPr>
        <w:pStyle w:val="Seznamobrzk"/>
        <w:tabs>
          <w:tab w:val="right" w:leader="dot" w:pos="9062"/>
        </w:tabs>
        <w:rPr>
          <w:rFonts w:eastAsiaTheme="minorEastAsia"/>
          <w:noProof/>
          <w:lang w:eastAsia="cs-CZ"/>
        </w:rPr>
      </w:pPr>
      <w:hyperlink w:anchor="_Toc50456735" w:history="1">
        <w:r w:rsidR="00E96F43" w:rsidRPr="00165104">
          <w:rPr>
            <w:rStyle w:val="Hypertextovodkaz"/>
            <w:noProof/>
          </w:rPr>
          <w:t>Tabulka 2: Přehled změn evaluovaných procesů</w:t>
        </w:r>
        <w:r w:rsidR="00E96F43">
          <w:rPr>
            <w:noProof/>
            <w:webHidden/>
          </w:rPr>
          <w:tab/>
        </w:r>
        <w:r w:rsidR="00E96F43">
          <w:rPr>
            <w:noProof/>
            <w:webHidden/>
          </w:rPr>
          <w:fldChar w:fldCharType="begin"/>
        </w:r>
        <w:r w:rsidR="00E96F43">
          <w:rPr>
            <w:noProof/>
            <w:webHidden/>
          </w:rPr>
          <w:instrText xml:space="preserve"> PAGEREF _Toc50456735 \h </w:instrText>
        </w:r>
        <w:r w:rsidR="00E96F43">
          <w:rPr>
            <w:noProof/>
            <w:webHidden/>
          </w:rPr>
        </w:r>
        <w:r w:rsidR="00E96F43">
          <w:rPr>
            <w:noProof/>
            <w:webHidden/>
          </w:rPr>
          <w:fldChar w:fldCharType="separate"/>
        </w:r>
        <w:r w:rsidR="006F13AC">
          <w:rPr>
            <w:noProof/>
            <w:webHidden/>
          </w:rPr>
          <w:t>6</w:t>
        </w:r>
        <w:r w:rsidR="00E96F43">
          <w:rPr>
            <w:noProof/>
            <w:webHidden/>
          </w:rPr>
          <w:fldChar w:fldCharType="end"/>
        </w:r>
      </w:hyperlink>
    </w:p>
    <w:p w14:paraId="236BE13B" w14:textId="653D7F65" w:rsidR="00E96F43" w:rsidRDefault="00C050DB">
      <w:pPr>
        <w:pStyle w:val="Seznamobrzk"/>
        <w:tabs>
          <w:tab w:val="right" w:leader="dot" w:pos="9062"/>
        </w:tabs>
        <w:rPr>
          <w:rFonts w:eastAsiaTheme="minorEastAsia"/>
          <w:noProof/>
          <w:lang w:eastAsia="cs-CZ"/>
        </w:rPr>
      </w:pPr>
      <w:hyperlink w:anchor="_Toc50456736" w:history="1">
        <w:r w:rsidR="00E96F43" w:rsidRPr="00165104">
          <w:rPr>
            <w:rStyle w:val="Hypertextovodkaz"/>
            <w:noProof/>
          </w:rPr>
          <w:t>Tabulka 3: Struktura alokace OP PIK</w:t>
        </w:r>
        <w:r w:rsidR="00E96F43">
          <w:rPr>
            <w:noProof/>
            <w:webHidden/>
          </w:rPr>
          <w:tab/>
        </w:r>
        <w:r w:rsidR="00E96F43">
          <w:rPr>
            <w:noProof/>
            <w:webHidden/>
          </w:rPr>
          <w:fldChar w:fldCharType="begin"/>
        </w:r>
        <w:r w:rsidR="00E96F43">
          <w:rPr>
            <w:noProof/>
            <w:webHidden/>
          </w:rPr>
          <w:instrText xml:space="preserve"> PAGEREF _Toc50456736 \h </w:instrText>
        </w:r>
        <w:r w:rsidR="00E96F43">
          <w:rPr>
            <w:noProof/>
            <w:webHidden/>
          </w:rPr>
        </w:r>
        <w:r w:rsidR="00E96F43">
          <w:rPr>
            <w:noProof/>
            <w:webHidden/>
          </w:rPr>
          <w:fldChar w:fldCharType="separate"/>
        </w:r>
        <w:r w:rsidR="006F13AC">
          <w:rPr>
            <w:noProof/>
            <w:webHidden/>
          </w:rPr>
          <w:t>17</w:t>
        </w:r>
        <w:r w:rsidR="00E96F43">
          <w:rPr>
            <w:noProof/>
            <w:webHidden/>
          </w:rPr>
          <w:fldChar w:fldCharType="end"/>
        </w:r>
      </w:hyperlink>
    </w:p>
    <w:p w14:paraId="7CAC5A9F" w14:textId="448DEA3D" w:rsidR="00E96F43" w:rsidRDefault="00C050DB">
      <w:pPr>
        <w:pStyle w:val="Seznamobrzk"/>
        <w:tabs>
          <w:tab w:val="right" w:leader="dot" w:pos="9062"/>
        </w:tabs>
        <w:rPr>
          <w:rFonts w:eastAsiaTheme="minorEastAsia"/>
          <w:noProof/>
          <w:lang w:eastAsia="cs-CZ"/>
        </w:rPr>
      </w:pPr>
      <w:hyperlink w:anchor="_Toc50456737" w:history="1">
        <w:r w:rsidR="00E96F43" w:rsidRPr="00165104">
          <w:rPr>
            <w:rStyle w:val="Hypertextovodkaz"/>
            <w:noProof/>
          </w:rPr>
          <w:t>Tabulka 4: Projekty ŘO, 2016 – 2018</w:t>
        </w:r>
        <w:r w:rsidR="00E96F43">
          <w:rPr>
            <w:noProof/>
            <w:webHidden/>
          </w:rPr>
          <w:tab/>
        </w:r>
        <w:r w:rsidR="00E96F43">
          <w:rPr>
            <w:noProof/>
            <w:webHidden/>
          </w:rPr>
          <w:fldChar w:fldCharType="begin"/>
        </w:r>
        <w:r w:rsidR="00E96F43">
          <w:rPr>
            <w:noProof/>
            <w:webHidden/>
          </w:rPr>
          <w:instrText xml:space="preserve"> PAGEREF _Toc50456737 \h </w:instrText>
        </w:r>
        <w:r w:rsidR="00E96F43">
          <w:rPr>
            <w:noProof/>
            <w:webHidden/>
          </w:rPr>
        </w:r>
        <w:r w:rsidR="00E96F43">
          <w:rPr>
            <w:noProof/>
            <w:webHidden/>
          </w:rPr>
          <w:fldChar w:fldCharType="separate"/>
        </w:r>
        <w:r w:rsidR="006F13AC">
          <w:rPr>
            <w:noProof/>
            <w:webHidden/>
          </w:rPr>
          <w:t>18</w:t>
        </w:r>
        <w:r w:rsidR="00E96F43">
          <w:rPr>
            <w:noProof/>
            <w:webHidden/>
          </w:rPr>
          <w:fldChar w:fldCharType="end"/>
        </w:r>
      </w:hyperlink>
    </w:p>
    <w:p w14:paraId="7B1D6F08" w14:textId="627764FF" w:rsidR="00E96F43" w:rsidRDefault="00C050DB">
      <w:pPr>
        <w:pStyle w:val="Seznamobrzk"/>
        <w:tabs>
          <w:tab w:val="right" w:leader="dot" w:pos="9062"/>
        </w:tabs>
        <w:rPr>
          <w:rFonts w:eastAsiaTheme="minorEastAsia"/>
          <w:noProof/>
          <w:lang w:eastAsia="cs-CZ"/>
        </w:rPr>
      </w:pPr>
      <w:hyperlink w:anchor="_Toc50456738" w:history="1">
        <w:r w:rsidR="00E96F43" w:rsidRPr="00165104">
          <w:rPr>
            <w:rStyle w:val="Hypertextovodkaz"/>
            <w:noProof/>
          </w:rPr>
          <w:t>Tabulka 5: Projekty API, 2016 – 2018</w:t>
        </w:r>
        <w:r w:rsidR="00E96F43">
          <w:rPr>
            <w:noProof/>
            <w:webHidden/>
          </w:rPr>
          <w:tab/>
        </w:r>
        <w:r w:rsidR="00E96F43">
          <w:rPr>
            <w:noProof/>
            <w:webHidden/>
          </w:rPr>
          <w:fldChar w:fldCharType="begin"/>
        </w:r>
        <w:r w:rsidR="00E96F43">
          <w:rPr>
            <w:noProof/>
            <w:webHidden/>
          </w:rPr>
          <w:instrText xml:space="preserve"> PAGEREF _Toc50456738 \h </w:instrText>
        </w:r>
        <w:r w:rsidR="00E96F43">
          <w:rPr>
            <w:noProof/>
            <w:webHidden/>
          </w:rPr>
        </w:r>
        <w:r w:rsidR="00E96F43">
          <w:rPr>
            <w:noProof/>
            <w:webHidden/>
          </w:rPr>
          <w:fldChar w:fldCharType="separate"/>
        </w:r>
        <w:r w:rsidR="006F13AC">
          <w:rPr>
            <w:noProof/>
            <w:webHidden/>
          </w:rPr>
          <w:t>18</w:t>
        </w:r>
        <w:r w:rsidR="00E96F43">
          <w:rPr>
            <w:noProof/>
            <w:webHidden/>
          </w:rPr>
          <w:fldChar w:fldCharType="end"/>
        </w:r>
      </w:hyperlink>
    </w:p>
    <w:p w14:paraId="33398E0D" w14:textId="23359BA1" w:rsidR="00E96F43" w:rsidRDefault="00C050DB">
      <w:pPr>
        <w:pStyle w:val="Seznamobrzk"/>
        <w:tabs>
          <w:tab w:val="right" w:leader="dot" w:pos="9062"/>
        </w:tabs>
        <w:rPr>
          <w:rFonts w:eastAsiaTheme="minorEastAsia"/>
          <w:noProof/>
          <w:lang w:eastAsia="cs-CZ"/>
        </w:rPr>
      </w:pPr>
      <w:hyperlink w:anchor="_Toc50456739" w:history="1">
        <w:r w:rsidR="00E96F43" w:rsidRPr="00165104">
          <w:rPr>
            <w:rStyle w:val="Hypertextovodkaz"/>
            <w:noProof/>
          </w:rPr>
          <w:t>Tabulka 6: Projekty TP celkem, 2016 – 2018</w:t>
        </w:r>
        <w:r w:rsidR="00E96F43">
          <w:rPr>
            <w:noProof/>
            <w:webHidden/>
          </w:rPr>
          <w:tab/>
        </w:r>
        <w:r w:rsidR="00E96F43">
          <w:rPr>
            <w:noProof/>
            <w:webHidden/>
          </w:rPr>
          <w:fldChar w:fldCharType="begin"/>
        </w:r>
        <w:r w:rsidR="00E96F43">
          <w:rPr>
            <w:noProof/>
            <w:webHidden/>
          </w:rPr>
          <w:instrText xml:space="preserve"> PAGEREF _Toc50456739 \h </w:instrText>
        </w:r>
        <w:r w:rsidR="00E96F43">
          <w:rPr>
            <w:noProof/>
            <w:webHidden/>
          </w:rPr>
        </w:r>
        <w:r w:rsidR="00E96F43">
          <w:rPr>
            <w:noProof/>
            <w:webHidden/>
          </w:rPr>
          <w:fldChar w:fldCharType="separate"/>
        </w:r>
        <w:r w:rsidR="006F13AC">
          <w:rPr>
            <w:noProof/>
            <w:webHidden/>
          </w:rPr>
          <w:t>18</w:t>
        </w:r>
        <w:r w:rsidR="00E96F43">
          <w:rPr>
            <w:noProof/>
            <w:webHidden/>
          </w:rPr>
          <w:fldChar w:fldCharType="end"/>
        </w:r>
      </w:hyperlink>
    </w:p>
    <w:p w14:paraId="420B6436" w14:textId="50A2FEC6" w:rsidR="00E96F43" w:rsidRDefault="00C050DB">
      <w:pPr>
        <w:pStyle w:val="Seznamobrzk"/>
        <w:tabs>
          <w:tab w:val="right" w:leader="dot" w:pos="9062"/>
        </w:tabs>
        <w:rPr>
          <w:rFonts w:eastAsiaTheme="minorEastAsia"/>
          <w:noProof/>
          <w:lang w:eastAsia="cs-CZ"/>
        </w:rPr>
      </w:pPr>
      <w:hyperlink w:anchor="_Toc50456740" w:history="1">
        <w:r w:rsidR="00E96F43" w:rsidRPr="00165104">
          <w:rPr>
            <w:rStyle w:val="Hypertextovodkaz"/>
            <w:noProof/>
          </w:rPr>
          <w:t>Tabulka 7: Projekty ŘO, 2019 – 2021</w:t>
        </w:r>
        <w:r w:rsidR="00E96F43">
          <w:rPr>
            <w:noProof/>
            <w:webHidden/>
          </w:rPr>
          <w:tab/>
        </w:r>
        <w:r w:rsidR="00E96F43">
          <w:rPr>
            <w:noProof/>
            <w:webHidden/>
          </w:rPr>
          <w:fldChar w:fldCharType="begin"/>
        </w:r>
        <w:r w:rsidR="00E96F43">
          <w:rPr>
            <w:noProof/>
            <w:webHidden/>
          </w:rPr>
          <w:instrText xml:space="preserve"> PAGEREF _Toc50456740 \h </w:instrText>
        </w:r>
        <w:r w:rsidR="00E96F43">
          <w:rPr>
            <w:noProof/>
            <w:webHidden/>
          </w:rPr>
        </w:r>
        <w:r w:rsidR="00E96F43">
          <w:rPr>
            <w:noProof/>
            <w:webHidden/>
          </w:rPr>
          <w:fldChar w:fldCharType="separate"/>
        </w:r>
        <w:r w:rsidR="006F13AC">
          <w:rPr>
            <w:noProof/>
            <w:webHidden/>
          </w:rPr>
          <w:t>19</w:t>
        </w:r>
        <w:r w:rsidR="00E96F43">
          <w:rPr>
            <w:noProof/>
            <w:webHidden/>
          </w:rPr>
          <w:fldChar w:fldCharType="end"/>
        </w:r>
      </w:hyperlink>
    </w:p>
    <w:p w14:paraId="4A103D24" w14:textId="7449AEA9" w:rsidR="00E96F43" w:rsidRDefault="00C050DB">
      <w:pPr>
        <w:pStyle w:val="Seznamobrzk"/>
        <w:tabs>
          <w:tab w:val="right" w:leader="dot" w:pos="9062"/>
        </w:tabs>
        <w:rPr>
          <w:rFonts w:eastAsiaTheme="minorEastAsia"/>
          <w:noProof/>
          <w:lang w:eastAsia="cs-CZ"/>
        </w:rPr>
      </w:pPr>
      <w:hyperlink w:anchor="_Toc50456741" w:history="1">
        <w:r w:rsidR="00E96F43" w:rsidRPr="00165104">
          <w:rPr>
            <w:rStyle w:val="Hypertextovodkaz"/>
            <w:noProof/>
          </w:rPr>
          <w:t>Tabulka 8: Projekty API, 2019 – 2021</w:t>
        </w:r>
        <w:r w:rsidR="00E96F43">
          <w:rPr>
            <w:noProof/>
            <w:webHidden/>
          </w:rPr>
          <w:tab/>
        </w:r>
        <w:r w:rsidR="00E96F43">
          <w:rPr>
            <w:noProof/>
            <w:webHidden/>
          </w:rPr>
          <w:fldChar w:fldCharType="begin"/>
        </w:r>
        <w:r w:rsidR="00E96F43">
          <w:rPr>
            <w:noProof/>
            <w:webHidden/>
          </w:rPr>
          <w:instrText xml:space="preserve"> PAGEREF _Toc50456741 \h </w:instrText>
        </w:r>
        <w:r w:rsidR="00E96F43">
          <w:rPr>
            <w:noProof/>
            <w:webHidden/>
          </w:rPr>
        </w:r>
        <w:r w:rsidR="00E96F43">
          <w:rPr>
            <w:noProof/>
            <w:webHidden/>
          </w:rPr>
          <w:fldChar w:fldCharType="separate"/>
        </w:r>
        <w:r w:rsidR="006F13AC">
          <w:rPr>
            <w:noProof/>
            <w:webHidden/>
          </w:rPr>
          <w:t>19</w:t>
        </w:r>
        <w:r w:rsidR="00E96F43">
          <w:rPr>
            <w:noProof/>
            <w:webHidden/>
          </w:rPr>
          <w:fldChar w:fldCharType="end"/>
        </w:r>
      </w:hyperlink>
    </w:p>
    <w:p w14:paraId="6C065987" w14:textId="2E5DFC92" w:rsidR="00E96F43" w:rsidRDefault="00C050DB">
      <w:pPr>
        <w:pStyle w:val="Seznamobrzk"/>
        <w:tabs>
          <w:tab w:val="right" w:leader="dot" w:pos="9062"/>
        </w:tabs>
        <w:rPr>
          <w:rFonts w:eastAsiaTheme="minorEastAsia"/>
          <w:noProof/>
          <w:lang w:eastAsia="cs-CZ"/>
        </w:rPr>
      </w:pPr>
      <w:hyperlink w:anchor="_Toc50456742" w:history="1">
        <w:r w:rsidR="00E96F43" w:rsidRPr="00165104">
          <w:rPr>
            <w:rStyle w:val="Hypertextovodkaz"/>
            <w:noProof/>
          </w:rPr>
          <w:t>Tabulka 9: Projekty TP celkem, 2019 – 2021</w:t>
        </w:r>
        <w:r w:rsidR="00E96F43">
          <w:rPr>
            <w:noProof/>
            <w:webHidden/>
          </w:rPr>
          <w:tab/>
        </w:r>
        <w:r w:rsidR="00E96F43">
          <w:rPr>
            <w:noProof/>
            <w:webHidden/>
          </w:rPr>
          <w:fldChar w:fldCharType="begin"/>
        </w:r>
        <w:r w:rsidR="00E96F43">
          <w:rPr>
            <w:noProof/>
            <w:webHidden/>
          </w:rPr>
          <w:instrText xml:space="preserve"> PAGEREF _Toc50456742 \h </w:instrText>
        </w:r>
        <w:r w:rsidR="00E96F43">
          <w:rPr>
            <w:noProof/>
            <w:webHidden/>
          </w:rPr>
        </w:r>
        <w:r w:rsidR="00E96F43">
          <w:rPr>
            <w:noProof/>
            <w:webHidden/>
          </w:rPr>
          <w:fldChar w:fldCharType="separate"/>
        </w:r>
        <w:r w:rsidR="006F13AC">
          <w:rPr>
            <w:noProof/>
            <w:webHidden/>
          </w:rPr>
          <w:t>19</w:t>
        </w:r>
        <w:r w:rsidR="00E96F43">
          <w:rPr>
            <w:noProof/>
            <w:webHidden/>
          </w:rPr>
          <w:fldChar w:fldCharType="end"/>
        </w:r>
      </w:hyperlink>
    </w:p>
    <w:p w14:paraId="4AA58CE0" w14:textId="6BA9A9A5" w:rsidR="00E96F43" w:rsidRDefault="00C050DB">
      <w:pPr>
        <w:pStyle w:val="Seznamobrzk"/>
        <w:tabs>
          <w:tab w:val="right" w:leader="dot" w:pos="9062"/>
        </w:tabs>
        <w:rPr>
          <w:rFonts w:eastAsiaTheme="minorEastAsia"/>
          <w:noProof/>
          <w:lang w:eastAsia="cs-CZ"/>
        </w:rPr>
      </w:pPr>
      <w:hyperlink w:anchor="_Toc50456743" w:history="1">
        <w:r w:rsidR="00E96F43" w:rsidRPr="00165104">
          <w:rPr>
            <w:rStyle w:val="Hypertextovodkaz"/>
            <w:noProof/>
          </w:rPr>
          <w:t>Tabulka 10: Hlavní ukazatele výsledku TP OP PIK</w:t>
        </w:r>
        <w:r w:rsidR="00E96F43">
          <w:rPr>
            <w:noProof/>
            <w:webHidden/>
          </w:rPr>
          <w:tab/>
        </w:r>
        <w:r w:rsidR="00E96F43">
          <w:rPr>
            <w:noProof/>
            <w:webHidden/>
          </w:rPr>
          <w:fldChar w:fldCharType="begin"/>
        </w:r>
        <w:r w:rsidR="00E96F43">
          <w:rPr>
            <w:noProof/>
            <w:webHidden/>
          </w:rPr>
          <w:instrText xml:space="preserve"> PAGEREF _Toc50456743 \h </w:instrText>
        </w:r>
        <w:r w:rsidR="00E96F43">
          <w:rPr>
            <w:noProof/>
            <w:webHidden/>
          </w:rPr>
        </w:r>
        <w:r w:rsidR="00E96F43">
          <w:rPr>
            <w:noProof/>
            <w:webHidden/>
          </w:rPr>
          <w:fldChar w:fldCharType="separate"/>
        </w:r>
        <w:r w:rsidR="006F13AC">
          <w:rPr>
            <w:noProof/>
            <w:webHidden/>
          </w:rPr>
          <w:t>24</w:t>
        </w:r>
        <w:r w:rsidR="00E96F43">
          <w:rPr>
            <w:noProof/>
            <w:webHidden/>
          </w:rPr>
          <w:fldChar w:fldCharType="end"/>
        </w:r>
      </w:hyperlink>
    </w:p>
    <w:p w14:paraId="4C1A3887" w14:textId="6D643967" w:rsidR="00E96F43" w:rsidRDefault="00C050DB">
      <w:pPr>
        <w:pStyle w:val="Seznamobrzk"/>
        <w:tabs>
          <w:tab w:val="right" w:leader="dot" w:pos="9062"/>
        </w:tabs>
        <w:rPr>
          <w:rFonts w:eastAsiaTheme="minorEastAsia"/>
          <w:noProof/>
          <w:lang w:eastAsia="cs-CZ"/>
        </w:rPr>
      </w:pPr>
      <w:hyperlink w:anchor="_Toc50456744" w:history="1">
        <w:r w:rsidR="00E96F43" w:rsidRPr="00165104">
          <w:rPr>
            <w:rStyle w:val="Hypertextovodkaz"/>
            <w:noProof/>
          </w:rPr>
          <w:t>Tabulka 11: Hodnoty hlavních ukazatelů</w:t>
        </w:r>
        <w:r w:rsidR="00E96F43" w:rsidRPr="00165104">
          <w:rPr>
            <w:rStyle w:val="Hypertextovodkaz"/>
            <w:rFonts w:cstheme="minorHAnsi"/>
            <w:noProof/>
          </w:rPr>
          <w:t xml:space="preserve"> výsledku:</w:t>
        </w:r>
        <w:r w:rsidR="00E96F43">
          <w:rPr>
            <w:noProof/>
            <w:webHidden/>
          </w:rPr>
          <w:tab/>
        </w:r>
        <w:r w:rsidR="00E96F43">
          <w:rPr>
            <w:noProof/>
            <w:webHidden/>
          </w:rPr>
          <w:fldChar w:fldCharType="begin"/>
        </w:r>
        <w:r w:rsidR="00E96F43">
          <w:rPr>
            <w:noProof/>
            <w:webHidden/>
          </w:rPr>
          <w:instrText xml:space="preserve"> PAGEREF _Toc50456744 \h </w:instrText>
        </w:r>
        <w:r w:rsidR="00E96F43">
          <w:rPr>
            <w:noProof/>
            <w:webHidden/>
          </w:rPr>
        </w:r>
        <w:r w:rsidR="00E96F43">
          <w:rPr>
            <w:noProof/>
            <w:webHidden/>
          </w:rPr>
          <w:fldChar w:fldCharType="separate"/>
        </w:r>
        <w:r w:rsidR="006F13AC">
          <w:rPr>
            <w:noProof/>
            <w:webHidden/>
          </w:rPr>
          <w:t>25</w:t>
        </w:r>
        <w:r w:rsidR="00E96F43">
          <w:rPr>
            <w:noProof/>
            <w:webHidden/>
          </w:rPr>
          <w:fldChar w:fldCharType="end"/>
        </w:r>
      </w:hyperlink>
    </w:p>
    <w:p w14:paraId="24F77401" w14:textId="1348F5A6" w:rsidR="00E96F43" w:rsidRDefault="00C050DB">
      <w:pPr>
        <w:pStyle w:val="Seznamobrzk"/>
        <w:tabs>
          <w:tab w:val="right" w:leader="dot" w:pos="9062"/>
        </w:tabs>
        <w:rPr>
          <w:rFonts w:eastAsiaTheme="minorEastAsia"/>
          <w:noProof/>
          <w:lang w:eastAsia="cs-CZ"/>
        </w:rPr>
      </w:pPr>
      <w:hyperlink w:anchor="_Toc50456745" w:history="1">
        <w:r w:rsidR="00E96F43" w:rsidRPr="00165104">
          <w:rPr>
            <w:rStyle w:val="Hypertextovodkaz"/>
            <w:noProof/>
          </w:rPr>
          <w:t>Tabulka 12: Interní ukazatele výsledku TP OP PIK</w:t>
        </w:r>
        <w:r w:rsidR="00E96F43">
          <w:rPr>
            <w:noProof/>
            <w:webHidden/>
          </w:rPr>
          <w:tab/>
        </w:r>
        <w:r w:rsidR="00E96F43">
          <w:rPr>
            <w:noProof/>
            <w:webHidden/>
          </w:rPr>
          <w:fldChar w:fldCharType="begin"/>
        </w:r>
        <w:r w:rsidR="00E96F43">
          <w:rPr>
            <w:noProof/>
            <w:webHidden/>
          </w:rPr>
          <w:instrText xml:space="preserve"> PAGEREF _Toc50456745 \h </w:instrText>
        </w:r>
        <w:r w:rsidR="00E96F43">
          <w:rPr>
            <w:noProof/>
            <w:webHidden/>
          </w:rPr>
        </w:r>
        <w:r w:rsidR="00E96F43">
          <w:rPr>
            <w:noProof/>
            <w:webHidden/>
          </w:rPr>
          <w:fldChar w:fldCharType="separate"/>
        </w:r>
        <w:r w:rsidR="006F13AC">
          <w:rPr>
            <w:noProof/>
            <w:webHidden/>
          </w:rPr>
          <w:t>25</w:t>
        </w:r>
        <w:r w:rsidR="00E96F43">
          <w:rPr>
            <w:noProof/>
            <w:webHidden/>
          </w:rPr>
          <w:fldChar w:fldCharType="end"/>
        </w:r>
      </w:hyperlink>
    </w:p>
    <w:p w14:paraId="4429FF7D" w14:textId="5B9B027C" w:rsidR="00E96F43" w:rsidRDefault="00C050DB">
      <w:pPr>
        <w:pStyle w:val="Seznamobrzk"/>
        <w:tabs>
          <w:tab w:val="right" w:leader="dot" w:pos="9062"/>
        </w:tabs>
        <w:rPr>
          <w:rFonts w:eastAsiaTheme="minorEastAsia"/>
          <w:noProof/>
          <w:lang w:eastAsia="cs-CZ"/>
        </w:rPr>
      </w:pPr>
      <w:hyperlink w:anchor="_Toc50456746" w:history="1">
        <w:r w:rsidR="00E96F43" w:rsidRPr="00165104">
          <w:rPr>
            <w:rStyle w:val="Hypertextovodkaz"/>
            <w:noProof/>
          </w:rPr>
          <w:t>Tabulka 13: Trend vývoje a dosažené hodnoty interních ukazatelů výsledku</w:t>
        </w:r>
        <w:r w:rsidR="00E96F43">
          <w:rPr>
            <w:noProof/>
            <w:webHidden/>
          </w:rPr>
          <w:tab/>
        </w:r>
        <w:r w:rsidR="00E96F43">
          <w:rPr>
            <w:noProof/>
            <w:webHidden/>
          </w:rPr>
          <w:fldChar w:fldCharType="begin"/>
        </w:r>
        <w:r w:rsidR="00E96F43">
          <w:rPr>
            <w:noProof/>
            <w:webHidden/>
          </w:rPr>
          <w:instrText xml:space="preserve"> PAGEREF _Toc50456746 \h </w:instrText>
        </w:r>
        <w:r w:rsidR="00E96F43">
          <w:rPr>
            <w:noProof/>
            <w:webHidden/>
          </w:rPr>
        </w:r>
        <w:r w:rsidR="00E96F43">
          <w:rPr>
            <w:noProof/>
            <w:webHidden/>
          </w:rPr>
          <w:fldChar w:fldCharType="separate"/>
        </w:r>
        <w:r w:rsidR="006F13AC">
          <w:rPr>
            <w:noProof/>
            <w:webHidden/>
          </w:rPr>
          <w:t>25</w:t>
        </w:r>
        <w:r w:rsidR="00E96F43">
          <w:rPr>
            <w:noProof/>
            <w:webHidden/>
          </w:rPr>
          <w:fldChar w:fldCharType="end"/>
        </w:r>
      </w:hyperlink>
    </w:p>
    <w:p w14:paraId="1A3B2FEF" w14:textId="7E69781D" w:rsidR="00E96F43" w:rsidRDefault="00C050DB">
      <w:pPr>
        <w:pStyle w:val="Seznamobrzk"/>
        <w:tabs>
          <w:tab w:val="right" w:leader="dot" w:pos="9062"/>
        </w:tabs>
        <w:rPr>
          <w:rFonts w:eastAsiaTheme="minorEastAsia"/>
          <w:noProof/>
          <w:lang w:eastAsia="cs-CZ"/>
        </w:rPr>
      </w:pPr>
      <w:hyperlink w:anchor="_Toc50456747" w:history="1">
        <w:r w:rsidR="00E96F43" w:rsidRPr="00165104">
          <w:rPr>
            <w:rStyle w:val="Hypertextovodkaz"/>
            <w:noProof/>
          </w:rPr>
          <w:t>Tabulka 14: Hlavní ukazatele výstupu TP OP PIK</w:t>
        </w:r>
        <w:r w:rsidR="00E96F43">
          <w:rPr>
            <w:noProof/>
            <w:webHidden/>
          </w:rPr>
          <w:tab/>
        </w:r>
        <w:r w:rsidR="00E96F43">
          <w:rPr>
            <w:noProof/>
            <w:webHidden/>
          </w:rPr>
          <w:fldChar w:fldCharType="begin"/>
        </w:r>
        <w:r w:rsidR="00E96F43">
          <w:rPr>
            <w:noProof/>
            <w:webHidden/>
          </w:rPr>
          <w:instrText xml:space="preserve"> PAGEREF _Toc50456747 \h </w:instrText>
        </w:r>
        <w:r w:rsidR="00E96F43">
          <w:rPr>
            <w:noProof/>
            <w:webHidden/>
          </w:rPr>
        </w:r>
        <w:r w:rsidR="00E96F43">
          <w:rPr>
            <w:noProof/>
            <w:webHidden/>
          </w:rPr>
          <w:fldChar w:fldCharType="separate"/>
        </w:r>
        <w:r w:rsidR="006F13AC">
          <w:rPr>
            <w:noProof/>
            <w:webHidden/>
          </w:rPr>
          <w:t>25</w:t>
        </w:r>
        <w:r w:rsidR="00E96F43">
          <w:rPr>
            <w:noProof/>
            <w:webHidden/>
          </w:rPr>
          <w:fldChar w:fldCharType="end"/>
        </w:r>
      </w:hyperlink>
    </w:p>
    <w:p w14:paraId="6BAAAF46" w14:textId="26837BB9" w:rsidR="00E96F43" w:rsidRDefault="00C050DB">
      <w:pPr>
        <w:pStyle w:val="Seznamobrzk"/>
        <w:tabs>
          <w:tab w:val="right" w:leader="dot" w:pos="9062"/>
        </w:tabs>
        <w:rPr>
          <w:rFonts w:eastAsiaTheme="minorEastAsia"/>
          <w:noProof/>
          <w:lang w:eastAsia="cs-CZ"/>
        </w:rPr>
      </w:pPr>
      <w:hyperlink w:anchor="_Toc50456748" w:history="1">
        <w:r w:rsidR="00E96F43" w:rsidRPr="00165104">
          <w:rPr>
            <w:rStyle w:val="Hypertextovodkaz"/>
            <w:noProof/>
          </w:rPr>
          <w:t>Tabulka 15: Hodnoty hlavních ukazatelů výstupu</w:t>
        </w:r>
        <w:r w:rsidR="00E96F43">
          <w:rPr>
            <w:noProof/>
            <w:webHidden/>
          </w:rPr>
          <w:tab/>
        </w:r>
        <w:r w:rsidR="00E96F43">
          <w:rPr>
            <w:noProof/>
            <w:webHidden/>
          </w:rPr>
          <w:fldChar w:fldCharType="begin"/>
        </w:r>
        <w:r w:rsidR="00E96F43">
          <w:rPr>
            <w:noProof/>
            <w:webHidden/>
          </w:rPr>
          <w:instrText xml:space="preserve"> PAGEREF _Toc50456748 \h </w:instrText>
        </w:r>
        <w:r w:rsidR="00E96F43">
          <w:rPr>
            <w:noProof/>
            <w:webHidden/>
          </w:rPr>
        </w:r>
        <w:r w:rsidR="00E96F43">
          <w:rPr>
            <w:noProof/>
            <w:webHidden/>
          </w:rPr>
          <w:fldChar w:fldCharType="separate"/>
        </w:r>
        <w:r w:rsidR="006F13AC">
          <w:rPr>
            <w:noProof/>
            <w:webHidden/>
          </w:rPr>
          <w:t>26</w:t>
        </w:r>
        <w:r w:rsidR="00E96F43">
          <w:rPr>
            <w:noProof/>
            <w:webHidden/>
          </w:rPr>
          <w:fldChar w:fldCharType="end"/>
        </w:r>
      </w:hyperlink>
    </w:p>
    <w:p w14:paraId="0E130D43" w14:textId="11A8C38B" w:rsidR="00E96F43" w:rsidRDefault="00C050DB">
      <w:pPr>
        <w:pStyle w:val="Seznamobrzk"/>
        <w:tabs>
          <w:tab w:val="right" w:leader="dot" w:pos="9062"/>
        </w:tabs>
        <w:rPr>
          <w:rFonts w:eastAsiaTheme="minorEastAsia"/>
          <w:noProof/>
          <w:lang w:eastAsia="cs-CZ"/>
        </w:rPr>
      </w:pPr>
      <w:hyperlink w:anchor="_Toc50456749" w:history="1">
        <w:r w:rsidR="00E96F43" w:rsidRPr="00165104">
          <w:rPr>
            <w:rStyle w:val="Hypertextovodkaz"/>
            <w:noProof/>
          </w:rPr>
          <w:t>Tabulka 16: Interní ukazatele výstupu TP OP PIK</w:t>
        </w:r>
        <w:r w:rsidR="00E96F43">
          <w:rPr>
            <w:noProof/>
            <w:webHidden/>
          </w:rPr>
          <w:tab/>
        </w:r>
        <w:r w:rsidR="00E96F43">
          <w:rPr>
            <w:noProof/>
            <w:webHidden/>
          </w:rPr>
          <w:fldChar w:fldCharType="begin"/>
        </w:r>
        <w:r w:rsidR="00E96F43">
          <w:rPr>
            <w:noProof/>
            <w:webHidden/>
          </w:rPr>
          <w:instrText xml:space="preserve"> PAGEREF _Toc50456749 \h </w:instrText>
        </w:r>
        <w:r w:rsidR="00E96F43">
          <w:rPr>
            <w:noProof/>
            <w:webHidden/>
          </w:rPr>
        </w:r>
        <w:r w:rsidR="00E96F43">
          <w:rPr>
            <w:noProof/>
            <w:webHidden/>
          </w:rPr>
          <w:fldChar w:fldCharType="separate"/>
        </w:r>
        <w:r w:rsidR="006F13AC">
          <w:rPr>
            <w:noProof/>
            <w:webHidden/>
          </w:rPr>
          <w:t>26</w:t>
        </w:r>
        <w:r w:rsidR="00E96F43">
          <w:rPr>
            <w:noProof/>
            <w:webHidden/>
          </w:rPr>
          <w:fldChar w:fldCharType="end"/>
        </w:r>
      </w:hyperlink>
    </w:p>
    <w:p w14:paraId="0BF08E7F" w14:textId="660A03C9" w:rsidR="00E96F43" w:rsidRDefault="00C050DB">
      <w:pPr>
        <w:pStyle w:val="Seznamobrzk"/>
        <w:tabs>
          <w:tab w:val="right" w:leader="dot" w:pos="9062"/>
        </w:tabs>
        <w:rPr>
          <w:rFonts w:eastAsiaTheme="minorEastAsia"/>
          <w:noProof/>
          <w:lang w:eastAsia="cs-CZ"/>
        </w:rPr>
      </w:pPr>
      <w:hyperlink w:anchor="_Toc50456750" w:history="1">
        <w:r w:rsidR="00E96F43" w:rsidRPr="00165104">
          <w:rPr>
            <w:rStyle w:val="Hypertextovodkaz"/>
            <w:noProof/>
          </w:rPr>
          <w:t>Tabulka 17: Komparace indikátorové soustavy technické pomoci operačních programů v PO 2014 – 2020  (s výjimkou přeshraničních OP)</w:t>
        </w:r>
        <w:r w:rsidR="00E96F43">
          <w:rPr>
            <w:noProof/>
            <w:webHidden/>
          </w:rPr>
          <w:tab/>
        </w:r>
        <w:r w:rsidR="00E96F43">
          <w:rPr>
            <w:noProof/>
            <w:webHidden/>
          </w:rPr>
          <w:fldChar w:fldCharType="begin"/>
        </w:r>
        <w:r w:rsidR="00E96F43">
          <w:rPr>
            <w:noProof/>
            <w:webHidden/>
          </w:rPr>
          <w:instrText xml:space="preserve"> PAGEREF _Toc50456750 \h </w:instrText>
        </w:r>
        <w:r w:rsidR="00E96F43">
          <w:rPr>
            <w:noProof/>
            <w:webHidden/>
          </w:rPr>
        </w:r>
        <w:r w:rsidR="00E96F43">
          <w:rPr>
            <w:noProof/>
            <w:webHidden/>
          </w:rPr>
          <w:fldChar w:fldCharType="separate"/>
        </w:r>
        <w:r w:rsidR="006F13AC">
          <w:rPr>
            <w:noProof/>
            <w:webHidden/>
          </w:rPr>
          <w:t>29</w:t>
        </w:r>
        <w:r w:rsidR="00E96F43">
          <w:rPr>
            <w:noProof/>
            <w:webHidden/>
          </w:rPr>
          <w:fldChar w:fldCharType="end"/>
        </w:r>
      </w:hyperlink>
    </w:p>
    <w:p w14:paraId="269758BC" w14:textId="1E4AA771" w:rsidR="00E96F43" w:rsidRDefault="00C050DB">
      <w:pPr>
        <w:pStyle w:val="Seznamobrzk"/>
        <w:tabs>
          <w:tab w:val="right" w:leader="dot" w:pos="9062"/>
        </w:tabs>
        <w:rPr>
          <w:rFonts w:eastAsiaTheme="minorEastAsia"/>
          <w:noProof/>
          <w:lang w:eastAsia="cs-CZ"/>
        </w:rPr>
      </w:pPr>
      <w:hyperlink w:anchor="_Toc50456751" w:history="1">
        <w:r w:rsidR="00E96F43" w:rsidRPr="00165104">
          <w:rPr>
            <w:rStyle w:val="Hypertextovodkaz"/>
            <w:noProof/>
          </w:rPr>
          <w:t>Tabulka 18: IP pro období 2016 - 2018 realizované ŘO a ZS</w:t>
        </w:r>
        <w:r w:rsidR="00E96F43">
          <w:rPr>
            <w:noProof/>
            <w:webHidden/>
          </w:rPr>
          <w:tab/>
        </w:r>
        <w:r w:rsidR="00E96F43">
          <w:rPr>
            <w:noProof/>
            <w:webHidden/>
          </w:rPr>
          <w:fldChar w:fldCharType="begin"/>
        </w:r>
        <w:r w:rsidR="00E96F43">
          <w:rPr>
            <w:noProof/>
            <w:webHidden/>
          </w:rPr>
          <w:instrText xml:space="preserve"> PAGEREF _Toc50456751 \h </w:instrText>
        </w:r>
        <w:r w:rsidR="00E96F43">
          <w:rPr>
            <w:noProof/>
            <w:webHidden/>
          </w:rPr>
        </w:r>
        <w:r w:rsidR="00E96F43">
          <w:rPr>
            <w:noProof/>
            <w:webHidden/>
          </w:rPr>
          <w:fldChar w:fldCharType="separate"/>
        </w:r>
        <w:r w:rsidR="006F13AC">
          <w:rPr>
            <w:noProof/>
            <w:webHidden/>
          </w:rPr>
          <w:t>36</w:t>
        </w:r>
        <w:r w:rsidR="00E96F43">
          <w:rPr>
            <w:noProof/>
            <w:webHidden/>
          </w:rPr>
          <w:fldChar w:fldCharType="end"/>
        </w:r>
      </w:hyperlink>
    </w:p>
    <w:p w14:paraId="1733D96D" w14:textId="5EAA2E3C" w:rsidR="00E96F43" w:rsidRDefault="00C050DB">
      <w:pPr>
        <w:pStyle w:val="Seznamobrzk"/>
        <w:tabs>
          <w:tab w:val="right" w:leader="dot" w:pos="9062"/>
        </w:tabs>
        <w:rPr>
          <w:rFonts w:eastAsiaTheme="minorEastAsia"/>
          <w:noProof/>
          <w:lang w:eastAsia="cs-CZ"/>
        </w:rPr>
      </w:pPr>
      <w:hyperlink w:anchor="_Toc50456752" w:history="1">
        <w:r w:rsidR="00E96F43" w:rsidRPr="00165104">
          <w:rPr>
            <w:rStyle w:val="Hypertextovodkaz"/>
            <w:noProof/>
          </w:rPr>
          <w:t>Tabulka 19: IP pro období 2019-2021 realizované ŘO a ZS</w:t>
        </w:r>
        <w:r w:rsidR="00E96F43">
          <w:rPr>
            <w:noProof/>
            <w:webHidden/>
          </w:rPr>
          <w:tab/>
        </w:r>
        <w:r w:rsidR="00E96F43">
          <w:rPr>
            <w:noProof/>
            <w:webHidden/>
          </w:rPr>
          <w:fldChar w:fldCharType="begin"/>
        </w:r>
        <w:r w:rsidR="00E96F43">
          <w:rPr>
            <w:noProof/>
            <w:webHidden/>
          </w:rPr>
          <w:instrText xml:space="preserve"> PAGEREF _Toc50456752 \h </w:instrText>
        </w:r>
        <w:r w:rsidR="00E96F43">
          <w:rPr>
            <w:noProof/>
            <w:webHidden/>
          </w:rPr>
        </w:r>
        <w:r w:rsidR="00E96F43">
          <w:rPr>
            <w:noProof/>
            <w:webHidden/>
          </w:rPr>
          <w:fldChar w:fldCharType="separate"/>
        </w:r>
        <w:r w:rsidR="006F13AC">
          <w:rPr>
            <w:noProof/>
            <w:webHidden/>
          </w:rPr>
          <w:t>37</w:t>
        </w:r>
        <w:r w:rsidR="00E96F43">
          <w:rPr>
            <w:noProof/>
            <w:webHidden/>
          </w:rPr>
          <w:fldChar w:fldCharType="end"/>
        </w:r>
      </w:hyperlink>
    </w:p>
    <w:p w14:paraId="3B28D5C2" w14:textId="79059E38" w:rsidR="00E96F43" w:rsidRDefault="00C050DB">
      <w:pPr>
        <w:pStyle w:val="Seznamobrzk"/>
        <w:tabs>
          <w:tab w:val="right" w:leader="dot" w:pos="9062"/>
        </w:tabs>
        <w:rPr>
          <w:rFonts w:eastAsiaTheme="minorEastAsia"/>
          <w:noProof/>
          <w:lang w:eastAsia="cs-CZ"/>
        </w:rPr>
      </w:pPr>
      <w:hyperlink w:anchor="_Toc50456753" w:history="1">
        <w:r w:rsidR="00E96F43" w:rsidRPr="00165104">
          <w:rPr>
            <w:rStyle w:val="Hypertextovodkaz"/>
            <w:noProof/>
          </w:rPr>
          <w:t>Tabulka 20: Odhad časové náročnosti a počtu úkonů na pozici PIP (ŘO) přepočtený na jeden interní projekt</w:t>
        </w:r>
        <w:r w:rsidR="00E96F43">
          <w:rPr>
            <w:noProof/>
            <w:webHidden/>
          </w:rPr>
          <w:tab/>
        </w:r>
        <w:r w:rsidR="00E96F43">
          <w:rPr>
            <w:noProof/>
            <w:webHidden/>
          </w:rPr>
          <w:fldChar w:fldCharType="begin"/>
        </w:r>
        <w:r w:rsidR="00E96F43">
          <w:rPr>
            <w:noProof/>
            <w:webHidden/>
          </w:rPr>
          <w:instrText xml:space="preserve"> PAGEREF _Toc50456753 \h </w:instrText>
        </w:r>
        <w:r w:rsidR="00E96F43">
          <w:rPr>
            <w:noProof/>
            <w:webHidden/>
          </w:rPr>
        </w:r>
        <w:r w:rsidR="00E96F43">
          <w:rPr>
            <w:noProof/>
            <w:webHidden/>
          </w:rPr>
          <w:fldChar w:fldCharType="separate"/>
        </w:r>
        <w:r w:rsidR="006F13AC">
          <w:rPr>
            <w:noProof/>
            <w:webHidden/>
          </w:rPr>
          <w:t>40</w:t>
        </w:r>
        <w:r w:rsidR="00E96F43">
          <w:rPr>
            <w:noProof/>
            <w:webHidden/>
          </w:rPr>
          <w:fldChar w:fldCharType="end"/>
        </w:r>
      </w:hyperlink>
    </w:p>
    <w:p w14:paraId="289D3EEE" w14:textId="2D40FDDA" w:rsidR="00E96F43" w:rsidRDefault="00C050DB">
      <w:pPr>
        <w:pStyle w:val="Seznamobrzk"/>
        <w:tabs>
          <w:tab w:val="right" w:leader="dot" w:pos="9062"/>
        </w:tabs>
        <w:rPr>
          <w:rFonts w:eastAsiaTheme="minorEastAsia"/>
          <w:noProof/>
          <w:lang w:eastAsia="cs-CZ"/>
        </w:rPr>
      </w:pPr>
      <w:hyperlink w:anchor="_Toc50456754" w:history="1">
        <w:r w:rsidR="00E96F43" w:rsidRPr="00165104">
          <w:rPr>
            <w:rStyle w:val="Hypertextovodkaz"/>
            <w:noProof/>
          </w:rPr>
          <w:t>Tabulka 21: Odhad časové náročnosti a počtu úkonů na pozici PIP (ZS) přepočtený na jeden interní projekt</w:t>
        </w:r>
        <w:r w:rsidR="00E96F43">
          <w:rPr>
            <w:noProof/>
            <w:webHidden/>
          </w:rPr>
          <w:tab/>
        </w:r>
        <w:r w:rsidR="00E96F43">
          <w:rPr>
            <w:noProof/>
            <w:webHidden/>
          </w:rPr>
          <w:fldChar w:fldCharType="begin"/>
        </w:r>
        <w:r w:rsidR="00E96F43">
          <w:rPr>
            <w:noProof/>
            <w:webHidden/>
          </w:rPr>
          <w:instrText xml:space="preserve"> PAGEREF _Toc50456754 \h </w:instrText>
        </w:r>
        <w:r w:rsidR="00E96F43">
          <w:rPr>
            <w:noProof/>
            <w:webHidden/>
          </w:rPr>
        </w:r>
        <w:r w:rsidR="00E96F43">
          <w:rPr>
            <w:noProof/>
            <w:webHidden/>
          </w:rPr>
          <w:fldChar w:fldCharType="separate"/>
        </w:r>
        <w:r w:rsidR="006F13AC">
          <w:rPr>
            <w:noProof/>
            <w:webHidden/>
          </w:rPr>
          <w:t>40</w:t>
        </w:r>
        <w:r w:rsidR="00E96F43">
          <w:rPr>
            <w:noProof/>
            <w:webHidden/>
          </w:rPr>
          <w:fldChar w:fldCharType="end"/>
        </w:r>
      </w:hyperlink>
    </w:p>
    <w:p w14:paraId="338406EE" w14:textId="7D25FA7D" w:rsidR="00E96F43" w:rsidRDefault="00C050DB">
      <w:pPr>
        <w:pStyle w:val="Seznamobrzk"/>
        <w:tabs>
          <w:tab w:val="right" w:leader="dot" w:pos="9062"/>
        </w:tabs>
        <w:rPr>
          <w:rFonts w:eastAsiaTheme="minorEastAsia"/>
          <w:noProof/>
          <w:lang w:eastAsia="cs-CZ"/>
        </w:rPr>
      </w:pPr>
      <w:hyperlink w:anchor="_Toc50456755" w:history="1">
        <w:r w:rsidR="00E96F43" w:rsidRPr="00165104">
          <w:rPr>
            <w:rStyle w:val="Hypertextovodkaz"/>
            <w:noProof/>
          </w:rPr>
          <w:t>Tabulka 22: Celkový časofond nutný pro administraci interních projektů</w:t>
        </w:r>
        <w:r w:rsidR="00E96F43">
          <w:rPr>
            <w:noProof/>
            <w:webHidden/>
          </w:rPr>
          <w:tab/>
        </w:r>
        <w:r w:rsidR="00E96F43">
          <w:rPr>
            <w:noProof/>
            <w:webHidden/>
          </w:rPr>
          <w:fldChar w:fldCharType="begin"/>
        </w:r>
        <w:r w:rsidR="00E96F43">
          <w:rPr>
            <w:noProof/>
            <w:webHidden/>
          </w:rPr>
          <w:instrText xml:space="preserve"> PAGEREF _Toc50456755 \h </w:instrText>
        </w:r>
        <w:r w:rsidR="00E96F43">
          <w:rPr>
            <w:noProof/>
            <w:webHidden/>
          </w:rPr>
        </w:r>
        <w:r w:rsidR="00E96F43">
          <w:rPr>
            <w:noProof/>
            <w:webHidden/>
          </w:rPr>
          <w:fldChar w:fldCharType="separate"/>
        </w:r>
        <w:r w:rsidR="006F13AC">
          <w:rPr>
            <w:noProof/>
            <w:webHidden/>
          </w:rPr>
          <w:t>40</w:t>
        </w:r>
        <w:r w:rsidR="00E96F43">
          <w:rPr>
            <w:noProof/>
            <w:webHidden/>
          </w:rPr>
          <w:fldChar w:fldCharType="end"/>
        </w:r>
      </w:hyperlink>
    </w:p>
    <w:p w14:paraId="6B0AA376" w14:textId="7C9CFF8B" w:rsidR="00E96F43" w:rsidRDefault="00C050DB">
      <w:pPr>
        <w:pStyle w:val="Seznamobrzk"/>
        <w:tabs>
          <w:tab w:val="right" w:leader="dot" w:pos="9062"/>
        </w:tabs>
        <w:rPr>
          <w:rFonts w:eastAsiaTheme="minorEastAsia"/>
          <w:noProof/>
          <w:lang w:eastAsia="cs-CZ"/>
        </w:rPr>
      </w:pPr>
      <w:hyperlink w:anchor="_Toc50456756" w:history="1">
        <w:r w:rsidR="00E96F43" w:rsidRPr="00165104">
          <w:rPr>
            <w:rStyle w:val="Hypertextovodkaz"/>
            <w:noProof/>
          </w:rPr>
          <w:t>Tabulka 23: Administrativní kapacita realizace interních projektů TP dle pozic</w:t>
        </w:r>
        <w:r w:rsidR="00E96F43">
          <w:rPr>
            <w:noProof/>
            <w:webHidden/>
          </w:rPr>
          <w:tab/>
        </w:r>
        <w:r w:rsidR="00E96F43">
          <w:rPr>
            <w:noProof/>
            <w:webHidden/>
          </w:rPr>
          <w:fldChar w:fldCharType="begin"/>
        </w:r>
        <w:r w:rsidR="00E96F43">
          <w:rPr>
            <w:noProof/>
            <w:webHidden/>
          </w:rPr>
          <w:instrText xml:space="preserve"> PAGEREF _Toc50456756 \h </w:instrText>
        </w:r>
        <w:r w:rsidR="00E96F43">
          <w:rPr>
            <w:noProof/>
            <w:webHidden/>
          </w:rPr>
        </w:r>
        <w:r w:rsidR="00E96F43">
          <w:rPr>
            <w:noProof/>
            <w:webHidden/>
          </w:rPr>
          <w:fldChar w:fldCharType="separate"/>
        </w:r>
        <w:r w:rsidR="006F13AC">
          <w:rPr>
            <w:noProof/>
            <w:webHidden/>
          </w:rPr>
          <w:t>41</w:t>
        </w:r>
        <w:r w:rsidR="00E96F43">
          <w:rPr>
            <w:noProof/>
            <w:webHidden/>
          </w:rPr>
          <w:fldChar w:fldCharType="end"/>
        </w:r>
      </w:hyperlink>
    </w:p>
    <w:p w14:paraId="122DDF41" w14:textId="7977221E" w:rsidR="00E96F43" w:rsidRDefault="00C050DB">
      <w:pPr>
        <w:pStyle w:val="Seznamobrzk"/>
        <w:tabs>
          <w:tab w:val="right" w:leader="dot" w:pos="9062"/>
        </w:tabs>
        <w:rPr>
          <w:rFonts w:eastAsiaTheme="minorEastAsia"/>
          <w:noProof/>
          <w:lang w:eastAsia="cs-CZ"/>
        </w:rPr>
      </w:pPr>
      <w:hyperlink w:anchor="_Toc50456757" w:history="1">
        <w:r w:rsidR="00E96F43" w:rsidRPr="00165104">
          <w:rPr>
            <w:rStyle w:val="Hypertextovodkaz"/>
            <w:noProof/>
          </w:rPr>
          <w:t>Tabulka 24: Počet úkonů a délka jejich trvání</w:t>
        </w:r>
        <w:r w:rsidR="00E96F43">
          <w:rPr>
            <w:noProof/>
            <w:webHidden/>
          </w:rPr>
          <w:tab/>
        </w:r>
        <w:r w:rsidR="00E96F43">
          <w:rPr>
            <w:noProof/>
            <w:webHidden/>
          </w:rPr>
          <w:fldChar w:fldCharType="begin"/>
        </w:r>
        <w:r w:rsidR="00E96F43">
          <w:rPr>
            <w:noProof/>
            <w:webHidden/>
          </w:rPr>
          <w:instrText xml:space="preserve"> PAGEREF _Toc50456757 \h </w:instrText>
        </w:r>
        <w:r w:rsidR="00E96F43">
          <w:rPr>
            <w:noProof/>
            <w:webHidden/>
          </w:rPr>
        </w:r>
        <w:r w:rsidR="00E96F43">
          <w:rPr>
            <w:noProof/>
            <w:webHidden/>
          </w:rPr>
          <w:fldChar w:fldCharType="separate"/>
        </w:r>
        <w:r w:rsidR="006F13AC">
          <w:rPr>
            <w:noProof/>
            <w:webHidden/>
          </w:rPr>
          <w:t>52</w:t>
        </w:r>
        <w:r w:rsidR="00E96F43">
          <w:rPr>
            <w:noProof/>
            <w:webHidden/>
          </w:rPr>
          <w:fldChar w:fldCharType="end"/>
        </w:r>
      </w:hyperlink>
    </w:p>
    <w:p w14:paraId="04DA7DFC" w14:textId="38DE384C" w:rsidR="00E96F43" w:rsidRDefault="00C050DB">
      <w:pPr>
        <w:pStyle w:val="Seznamobrzk"/>
        <w:tabs>
          <w:tab w:val="right" w:leader="dot" w:pos="9062"/>
        </w:tabs>
        <w:rPr>
          <w:rFonts w:eastAsiaTheme="minorEastAsia"/>
          <w:noProof/>
          <w:lang w:eastAsia="cs-CZ"/>
        </w:rPr>
      </w:pPr>
      <w:hyperlink w:anchor="_Toc50456758" w:history="1">
        <w:r w:rsidR="00E96F43" w:rsidRPr="00165104">
          <w:rPr>
            <w:rStyle w:val="Hypertextovodkaz"/>
            <w:noProof/>
          </w:rPr>
          <w:t>Tabulka 25: Vypočtená administrativní kapacita dle odborů</w:t>
        </w:r>
        <w:r w:rsidR="00E96F43">
          <w:rPr>
            <w:noProof/>
            <w:webHidden/>
          </w:rPr>
          <w:tab/>
        </w:r>
        <w:r w:rsidR="00E96F43">
          <w:rPr>
            <w:noProof/>
            <w:webHidden/>
          </w:rPr>
          <w:fldChar w:fldCharType="begin"/>
        </w:r>
        <w:r w:rsidR="00E96F43">
          <w:rPr>
            <w:noProof/>
            <w:webHidden/>
          </w:rPr>
          <w:instrText xml:space="preserve"> PAGEREF _Toc50456758 \h </w:instrText>
        </w:r>
        <w:r w:rsidR="00E96F43">
          <w:rPr>
            <w:noProof/>
            <w:webHidden/>
          </w:rPr>
        </w:r>
        <w:r w:rsidR="00E96F43">
          <w:rPr>
            <w:noProof/>
            <w:webHidden/>
          </w:rPr>
          <w:fldChar w:fldCharType="separate"/>
        </w:r>
        <w:r w:rsidR="006F13AC">
          <w:rPr>
            <w:noProof/>
            <w:webHidden/>
          </w:rPr>
          <w:t>54</w:t>
        </w:r>
        <w:r w:rsidR="00E96F43">
          <w:rPr>
            <w:noProof/>
            <w:webHidden/>
          </w:rPr>
          <w:fldChar w:fldCharType="end"/>
        </w:r>
      </w:hyperlink>
    </w:p>
    <w:p w14:paraId="4D1FD6F5" w14:textId="06037A09" w:rsidR="00E96F43" w:rsidRDefault="00C050DB">
      <w:pPr>
        <w:pStyle w:val="Seznamobrzk"/>
        <w:tabs>
          <w:tab w:val="right" w:leader="dot" w:pos="9062"/>
        </w:tabs>
        <w:rPr>
          <w:rFonts w:eastAsiaTheme="minorEastAsia"/>
          <w:noProof/>
          <w:lang w:eastAsia="cs-CZ"/>
        </w:rPr>
      </w:pPr>
      <w:hyperlink w:anchor="_Toc50456759" w:history="1">
        <w:r w:rsidR="00E96F43" w:rsidRPr="00165104">
          <w:rPr>
            <w:rStyle w:val="Hypertextovodkaz"/>
            <w:noProof/>
          </w:rPr>
          <w:t>Tabulka 26: Medián dob administrace žádosti o podporu a žádosti o platbu</w:t>
        </w:r>
        <w:r w:rsidR="00E96F43">
          <w:rPr>
            <w:noProof/>
            <w:webHidden/>
          </w:rPr>
          <w:tab/>
        </w:r>
        <w:r w:rsidR="00E96F43">
          <w:rPr>
            <w:noProof/>
            <w:webHidden/>
          </w:rPr>
          <w:fldChar w:fldCharType="begin"/>
        </w:r>
        <w:r w:rsidR="00E96F43">
          <w:rPr>
            <w:noProof/>
            <w:webHidden/>
          </w:rPr>
          <w:instrText xml:space="preserve"> PAGEREF _Toc50456759 \h </w:instrText>
        </w:r>
        <w:r w:rsidR="00E96F43">
          <w:rPr>
            <w:noProof/>
            <w:webHidden/>
          </w:rPr>
        </w:r>
        <w:r w:rsidR="00E96F43">
          <w:rPr>
            <w:noProof/>
            <w:webHidden/>
          </w:rPr>
          <w:fldChar w:fldCharType="separate"/>
        </w:r>
        <w:r w:rsidR="006F13AC">
          <w:rPr>
            <w:noProof/>
            <w:webHidden/>
          </w:rPr>
          <w:t>55</w:t>
        </w:r>
        <w:r w:rsidR="00E96F43">
          <w:rPr>
            <w:noProof/>
            <w:webHidden/>
          </w:rPr>
          <w:fldChar w:fldCharType="end"/>
        </w:r>
      </w:hyperlink>
    </w:p>
    <w:p w14:paraId="59864780" w14:textId="55EF6A83" w:rsidR="00E96F43" w:rsidRDefault="00C050DB">
      <w:pPr>
        <w:pStyle w:val="Seznamobrzk"/>
        <w:tabs>
          <w:tab w:val="right" w:leader="dot" w:pos="9062"/>
        </w:tabs>
        <w:rPr>
          <w:rFonts w:eastAsiaTheme="minorEastAsia"/>
          <w:noProof/>
          <w:lang w:eastAsia="cs-CZ"/>
        </w:rPr>
      </w:pPr>
      <w:hyperlink w:anchor="_Toc50456760" w:history="1">
        <w:r w:rsidR="00E96F43" w:rsidRPr="00165104">
          <w:rPr>
            <w:rStyle w:val="Hypertextovodkaz"/>
            <w:noProof/>
          </w:rPr>
          <w:t>Tabulka 27: Vývoj fluktuace zaměstnanců MPO a API v letech 2016 - 2019</w:t>
        </w:r>
        <w:r w:rsidR="00E96F43">
          <w:rPr>
            <w:noProof/>
            <w:webHidden/>
          </w:rPr>
          <w:tab/>
        </w:r>
        <w:r w:rsidR="00E96F43">
          <w:rPr>
            <w:noProof/>
            <w:webHidden/>
          </w:rPr>
          <w:fldChar w:fldCharType="begin"/>
        </w:r>
        <w:r w:rsidR="00E96F43">
          <w:rPr>
            <w:noProof/>
            <w:webHidden/>
          </w:rPr>
          <w:instrText xml:space="preserve"> PAGEREF _Toc50456760 \h </w:instrText>
        </w:r>
        <w:r w:rsidR="00E96F43">
          <w:rPr>
            <w:noProof/>
            <w:webHidden/>
          </w:rPr>
        </w:r>
        <w:r w:rsidR="00E96F43">
          <w:rPr>
            <w:noProof/>
            <w:webHidden/>
          </w:rPr>
          <w:fldChar w:fldCharType="separate"/>
        </w:r>
        <w:r w:rsidR="006F13AC">
          <w:rPr>
            <w:noProof/>
            <w:webHidden/>
          </w:rPr>
          <w:t>57</w:t>
        </w:r>
        <w:r w:rsidR="00E96F43">
          <w:rPr>
            <w:noProof/>
            <w:webHidden/>
          </w:rPr>
          <w:fldChar w:fldCharType="end"/>
        </w:r>
      </w:hyperlink>
    </w:p>
    <w:p w14:paraId="368F56C8" w14:textId="0F71D2D1" w:rsidR="00E45FE8" w:rsidRDefault="00375887" w:rsidP="00E45FE8">
      <w:pPr>
        <w:rPr>
          <w:lang w:eastAsia="cs-CZ"/>
        </w:rPr>
      </w:pPr>
      <w:r>
        <w:rPr>
          <w:lang w:eastAsia="cs-CZ"/>
        </w:rPr>
        <w:fldChar w:fldCharType="end"/>
      </w:r>
    </w:p>
    <w:p w14:paraId="3401191D" w14:textId="77777777" w:rsidR="00E45FE8" w:rsidRDefault="00E45FE8" w:rsidP="00E45FE8">
      <w:pPr>
        <w:rPr>
          <w:lang w:eastAsia="cs-CZ"/>
        </w:rPr>
      </w:pPr>
    </w:p>
    <w:p w14:paraId="428306E9" w14:textId="1BACB100" w:rsidR="00E96F43" w:rsidRDefault="00375887">
      <w:pPr>
        <w:pStyle w:val="Seznamobrzk"/>
        <w:tabs>
          <w:tab w:val="right" w:leader="dot" w:pos="9062"/>
        </w:tabs>
        <w:rPr>
          <w:rFonts w:eastAsiaTheme="minorEastAsia"/>
          <w:noProof/>
          <w:lang w:eastAsia="cs-CZ"/>
        </w:rPr>
      </w:pPr>
      <w:r>
        <w:rPr>
          <w:lang w:eastAsia="cs-CZ"/>
        </w:rPr>
        <w:fldChar w:fldCharType="begin"/>
      </w:r>
      <w:r w:rsidR="00E45FE8">
        <w:rPr>
          <w:lang w:eastAsia="cs-CZ"/>
        </w:rPr>
        <w:instrText xml:space="preserve"> TOC \h \z \c "Graf" </w:instrText>
      </w:r>
      <w:r>
        <w:rPr>
          <w:lang w:eastAsia="cs-CZ"/>
        </w:rPr>
        <w:fldChar w:fldCharType="separate"/>
      </w:r>
      <w:hyperlink w:anchor="_Toc50456761" w:history="1">
        <w:r w:rsidR="00E96F43" w:rsidRPr="009B3E51">
          <w:rPr>
            <w:rStyle w:val="Hypertextovodkaz"/>
            <w:noProof/>
          </w:rPr>
          <w:t>Graf 1: Vývoj počtu změn OM, které se váží na všechny procesy</w:t>
        </w:r>
        <w:r w:rsidR="00E96F43">
          <w:rPr>
            <w:noProof/>
            <w:webHidden/>
          </w:rPr>
          <w:tab/>
        </w:r>
        <w:r w:rsidR="00E96F43">
          <w:rPr>
            <w:noProof/>
            <w:webHidden/>
          </w:rPr>
          <w:fldChar w:fldCharType="begin"/>
        </w:r>
        <w:r w:rsidR="00E96F43">
          <w:rPr>
            <w:noProof/>
            <w:webHidden/>
          </w:rPr>
          <w:instrText xml:space="preserve"> PAGEREF _Toc50456761 \h </w:instrText>
        </w:r>
        <w:r w:rsidR="00E96F43">
          <w:rPr>
            <w:noProof/>
            <w:webHidden/>
          </w:rPr>
        </w:r>
        <w:r w:rsidR="00E96F43">
          <w:rPr>
            <w:noProof/>
            <w:webHidden/>
          </w:rPr>
          <w:fldChar w:fldCharType="separate"/>
        </w:r>
        <w:r w:rsidR="006F13AC">
          <w:rPr>
            <w:noProof/>
            <w:webHidden/>
          </w:rPr>
          <w:t>5</w:t>
        </w:r>
        <w:r w:rsidR="00E96F43">
          <w:rPr>
            <w:noProof/>
            <w:webHidden/>
          </w:rPr>
          <w:fldChar w:fldCharType="end"/>
        </w:r>
      </w:hyperlink>
    </w:p>
    <w:p w14:paraId="37ACFE06" w14:textId="1DC249C2" w:rsidR="00E96F43" w:rsidRDefault="00C050DB">
      <w:pPr>
        <w:pStyle w:val="Seznamobrzk"/>
        <w:tabs>
          <w:tab w:val="right" w:leader="dot" w:pos="9062"/>
        </w:tabs>
        <w:rPr>
          <w:rFonts w:eastAsiaTheme="minorEastAsia"/>
          <w:noProof/>
          <w:lang w:eastAsia="cs-CZ"/>
        </w:rPr>
      </w:pPr>
      <w:hyperlink w:anchor="_Toc50456762" w:history="1">
        <w:r w:rsidR="00E96F43" w:rsidRPr="009B3E51">
          <w:rPr>
            <w:rStyle w:val="Hypertextovodkaz"/>
            <w:noProof/>
          </w:rPr>
          <w:t>Graf 2: Činnosti respondentů v rámci procesu administrace VŘ</w:t>
        </w:r>
        <w:r w:rsidR="00E96F43">
          <w:rPr>
            <w:noProof/>
            <w:webHidden/>
          </w:rPr>
          <w:tab/>
        </w:r>
        <w:r w:rsidR="00E96F43">
          <w:rPr>
            <w:noProof/>
            <w:webHidden/>
          </w:rPr>
          <w:fldChar w:fldCharType="begin"/>
        </w:r>
        <w:r w:rsidR="00E96F43">
          <w:rPr>
            <w:noProof/>
            <w:webHidden/>
          </w:rPr>
          <w:instrText xml:space="preserve"> PAGEREF _Toc50456762 \h </w:instrText>
        </w:r>
        <w:r w:rsidR="00E96F43">
          <w:rPr>
            <w:noProof/>
            <w:webHidden/>
          </w:rPr>
        </w:r>
        <w:r w:rsidR="00E96F43">
          <w:rPr>
            <w:noProof/>
            <w:webHidden/>
          </w:rPr>
          <w:fldChar w:fldCharType="separate"/>
        </w:r>
        <w:r w:rsidR="006F13AC">
          <w:rPr>
            <w:noProof/>
            <w:webHidden/>
          </w:rPr>
          <w:t>45</w:t>
        </w:r>
        <w:r w:rsidR="00E96F43">
          <w:rPr>
            <w:noProof/>
            <w:webHidden/>
          </w:rPr>
          <w:fldChar w:fldCharType="end"/>
        </w:r>
      </w:hyperlink>
    </w:p>
    <w:p w14:paraId="0299FCCE" w14:textId="7096699D" w:rsidR="00E96F43" w:rsidRDefault="00C050DB">
      <w:pPr>
        <w:pStyle w:val="Seznamobrzk"/>
        <w:tabs>
          <w:tab w:val="right" w:leader="dot" w:pos="9062"/>
        </w:tabs>
        <w:rPr>
          <w:rFonts w:eastAsiaTheme="minorEastAsia"/>
          <w:noProof/>
          <w:lang w:eastAsia="cs-CZ"/>
        </w:rPr>
      </w:pPr>
      <w:hyperlink w:anchor="_Toc50456763" w:history="1">
        <w:r w:rsidR="00E96F43" w:rsidRPr="009B3E51">
          <w:rPr>
            <w:rStyle w:val="Hypertextovodkaz"/>
            <w:noProof/>
          </w:rPr>
          <w:t>Graf 3: Vnímání nadbytečnosti a náročnosti úkonů</w:t>
        </w:r>
        <w:r w:rsidR="00E96F43">
          <w:rPr>
            <w:noProof/>
            <w:webHidden/>
          </w:rPr>
          <w:tab/>
        </w:r>
        <w:r w:rsidR="00E96F43">
          <w:rPr>
            <w:noProof/>
            <w:webHidden/>
          </w:rPr>
          <w:fldChar w:fldCharType="begin"/>
        </w:r>
        <w:r w:rsidR="00E96F43">
          <w:rPr>
            <w:noProof/>
            <w:webHidden/>
          </w:rPr>
          <w:instrText xml:space="preserve"> PAGEREF _Toc50456763 \h </w:instrText>
        </w:r>
        <w:r w:rsidR="00E96F43">
          <w:rPr>
            <w:noProof/>
            <w:webHidden/>
          </w:rPr>
        </w:r>
        <w:r w:rsidR="00E96F43">
          <w:rPr>
            <w:noProof/>
            <w:webHidden/>
          </w:rPr>
          <w:fldChar w:fldCharType="separate"/>
        </w:r>
        <w:r w:rsidR="006F13AC">
          <w:rPr>
            <w:noProof/>
            <w:webHidden/>
          </w:rPr>
          <w:t>46</w:t>
        </w:r>
        <w:r w:rsidR="00E96F43">
          <w:rPr>
            <w:noProof/>
            <w:webHidden/>
          </w:rPr>
          <w:fldChar w:fldCharType="end"/>
        </w:r>
      </w:hyperlink>
    </w:p>
    <w:p w14:paraId="68842F65" w14:textId="28847A0E" w:rsidR="00E96F43" w:rsidRDefault="00C050DB">
      <w:pPr>
        <w:pStyle w:val="Seznamobrzk"/>
        <w:tabs>
          <w:tab w:val="right" w:leader="dot" w:pos="9062"/>
        </w:tabs>
        <w:rPr>
          <w:rFonts w:eastAsiaTheme="minorEastAsia"/>
          <w:noProof/>
          <w:lang w:eastAsia="cs-CZ"/>
        </w:rPr>
      </w:pPr>
      <w:hyperlink w:anchor="_Toc50456764" w:history="1">
        <w:r w:rsidR="00E96F43" w:rsidRPr="009B3E51">
          <w:rPr>
            <w:rStyle w:val="Hypertextovodkaz"/>
            <w:noProof/>
          </w:rPr>
          <w:t>Graf 4: Úkony, které negativně ovlivňují trvání VŘ</w:t>
        </w:r>
        <w:r w:rsidR="00E96F43">
          <w:rPr>
            <w:noProof/>
            <w:webHidden/>
          </w:rPr>
          <w:tab/>
        </w:r>
        <w:r w:rsidR="00E96F43">
          <w:rPr>
            <w:noProof/>
            <w:webHidden/>
          </w:rPr>
          <w:fldChar w:fldCharType="begin"/>
        </w:r>
        <w:r w:rsidR="00E96F43">
          <w:rPr>
            <w:noProof/>
            <w:webHidden/>
          </w:rPr>
          <w:instrText xml:space="preserve"> PAGEREF _Toc50456764 \h </w:instrText>
        </w:r>
        <w:r w:rsidR="00E96F43">
          <w:rPr>
            <w:noProof/>
            <w:webHidden/>
          </w:rPr>
        </w:r>
        <w:r w:rsidR="00E96F43">
          <w:rPr>
            <w:noProof/>
            <w:webHidden/>
          </w:rPr>
          <w:fldChar w:fldCharType="separate"/>
        </w:r>
        <w:r w:rsidR="006F13AC">
          <w:rPr>
            <w:noProof/>
            <w:webHidden/>
          </w:rPr>
          <w:t>47</w:t>
        </w:r>
        <w:r w:rsidR="00E96F43">
          <w:rPr>
            <w:noProof/>
            <w:webHidden/>
          </w:rPr>
          <w:fldChar w:fldCharType="end"/>
        </w:r>
      </w:hyperlink>
    </w:p>
    <w:p w14:paraId="321B1740" w14:textId="4827D1BB" w:rsidR="00E96F43" w:rsidRDefault="00C050DB">
      <w:pPr>
        <w:pStyle w:val="Seznamobrzk"/>
        <w:tabs>
          <w:tab w:val="right" w:leader="dot" w:pos="9062"/>
        </w:tabs>
        <w:rPr>
          <w:rFonts w:eastAsiaTheme="minorEastAsia"/>
          <w:noProof/>
          <w:lang w:eastAsia="cs-CZ"/>
        </w:rPr>
      </w:pPr>
      <w:hyperlink w:anchor="_Toc50456765" w:history="1">
        <w:r w:rsidR="00E96F43" w:rsidRPr="009B3E51">
          <w:rPr>
            <w:rStyle w:val="Hypertextovodkaz"/>
            <w:noProof/>
          </w:rPr>
          <w:t>Graf 5: Hodnocení faktorů ovlivňujících kvalitu dodaných výstupů</w:t>
        </w:r>
        <w:r w:rsidR="00E96F43">
          <w:rPr>
            <w:noProof/>
            <w:webHidden/>
          </w:rPr>
          <w:tab/>
        </w:r>
        <w:r w:rsidR="00E96F43">
          <w:rPr>
            <w:noProof/>
            <w:webHidden/>
          </w:rPr>
          <w:fldChar w:fldCharType="begin"/>
        </w:r>
        <w:r w:rsidR="00E96F43">
          <w:rPr>
            <w:noProof/>
            <w:webHidden/>
          </w:rPr>
          <w:instrText xml:space="preserve"> PAGEREF _Toc50456765 \h </w:instrText>
        </w:r>
        <w:r w:rsidR="00E96F43">
          <w:rPr>
            <w:noProof/>
            <w:webHidden/>
          </w:rPr>
        </w:r>
        <w:r w:rsidR="00E96F43">
          <w:rPr>
            <w:noProof/>
            <w:webHidden/>
          </w:rPr>
          <w:fldChar w:fldCharType="separate"/>
        </w:r>
        <w:r w:rsidR="006F13AC">
          <w:rPr>
            <w:noProof/>
            <w:webHidden/>
          </w:rPr>
          <w:t>48</w:t>
        </w:r>
        <w:r w:rsidR="00E96F43">
          <w:rPr>
            <w:noProof/>
            <w:webHidden/>
          </w:rPr>
          <w:fldChar w:fldCharType="end"/>
        </w:r>
      </w:hyperlink>
    </w:p>
    <w:p w14:paraId="5457CFC2" w14:textId="06BBCD73" w:rsidR="00E96F43" w:rsidRDefault="00C050DB">
      <w:pPr>
        <w:pStyle w:val="Seznamobrzk"/>
        <w:tabs>
          <w:tab w:val="right" w:leader="dot" w:pos="9062"/>
        </w:tabs>
        <w:rPr>
          <w:rFonts w:eastAsiaTheme="minorEastAsia"/>
          <w:noProof/>
          <w:lang w:eastAsia="cs-CZ"/>
        </w:rPr>
      </w:pPr>
      <w:hyperlink w:anchor="_Toc50456766" w:history="1">
        <w:r w:rsidR="00E96F43" w:rsidRPr="009B3E51">
          <w:rPr>
            <w:rStyle w:val="Hypertextovodkaz"/>
            <w:noProof/>
          </w:rPr>
          <w:t>Graf 6: Srovnání spokojenosti se stanovenými aspekty mezi respondenty MPO a API</w:t>
        </w:r>
        <w:r w:rsidR="00E96F43">
          <w:rPr>
            <w:noProof/>
            <w:webHidden/>
          </w:rPr>
          <w:tab/>
        </w:r>
        <w:r w:rsidR="00E96F43">
          <w:rPr>
            <w:noProof/>
            <w:webHidden/>
          </w:rPr>
          <w:fldChar w:fldCharType="begin"/>
        </w:r>
        <w:r w:rsidR="00E96F43">
          <w:rPr>
            <w:noProof/>
            <w:webHidden/>
          </w:rPr>
          <w:instrText xml:space="preserve"> PAGEREF _Toc50456766 \h </w:instrText>
        </w:r>
        <w:r w:rsidR="00E96F43">
          <w:rPr>
            <w:noProof/>
            <w:webHidden/>
          </w:rPr>
        </w:r>
        <w:r w:rsidR="00E96F43">
          <w:rPr>
            <w:noProof/>
            <w:webHidden/>
          </w:rPr>
          <w:fldChar w:fldCharType="separate"/>
        </w:r>
        <w:r w:rsidR="006F13AC">
          <w:rPr>
            <w:noProof/>
            <w:webHidden/>
          </w:rPr>
          <w:t>59</w:t>
        </w:r>
        <w:r w:rsidR="00E96F43">
          <w:rPr>
            <w:noProof/>
            <w:webHidden/>
          </w:rPr>
          <w:fldChar w:fldCharType="end"/>
        </w:r>
      </w:hyperlink>
    </w:p>
    <w:p w14:paraId="47CA39B1" w14:textId="489C5E87" w:rsidR="00E96F43" w:rsidRDefault="00C050DB">
      <w:pPr>
        <w:pStyle w:val="Seznamobrzk"/>
        <w:tabs>
          <w:tab w:val="right" w:leader="dot" w:pos="9062"/>
        </w:tabs>
        <w:rPr>
          <w:rFonts w:eastAsiaTheme="minorEastAsia"/>
          <w:noProof/>
          <w:lang w:eastAsia="cs-CZ"/>
        </w:rPr>
      </w:pPr>
      <w:hyperlink w:anchor="_Toc50456767" w:history="1">
        <w:r w:rsidR="00E96F43" w:rsidRPr="009B3E51">
          <w:rPr>
            <w:rStyle w:val="Hypertextovodkaz"/>
            <w:noProof/>
          </w:rPr>
          <w:t>Graf 7: Srovnání důležitosti stanovených aspektů mezi respondenty MPO a API</w:t>
        </w:r>
        <w:r w:rsidR="00E96F43">
          <w:rPr>
            <w:noProof/>
            <w:webHidden/>
          </w:rPr>
          <w:tab/>
        </w:r>
        <w:r w:rsidR="00E96F43">
          <w:rPr>
            <w:noProof/>
            <w:webHidden/>
          </w:rPr>
          <w:fldChar w:fldCharType="begin"/>
        </w:r>
        <w:r w:rsidR="00E96F43">
          <w:rPr>
            <w:noProof/>
            <w:webHidden/>
          </w:rPr>
          <w:instrText xml:space="preserve"> PAGEREF _Toc50456767 \h </w:instrText>
        </w:r>
        <w:r w:rsidR="00E96F43">
          <w:rPr>
            <w:noProof/>
            <w:webHidden/>
          </w:rPr>
        </w:r>
        <w:r w:rsidR="00E96F43">
          <w:rPr>
            <w:noProof/>
            <w:webHidden/>
          </w:rPr>
          <w:fldChar w:fldCharType="separate"/>
        </w:r>
        <w:r w:rsidR="006F13AC">
          <w:rPr>
            <w:noProof/>
            <w:webHidden/>
          </w:rPr>
          <w:t>60</w:t>
        </w:r>
        <w:r w:rsidR="00E96F43">
          <w:rPr>
            <w:noProof/>
            <w:webHidden/>
          </w:rPr>
          <w:fldChar w:fldCharType="end"/>
        </w:r>
      </w:hyperlink>
    </w:p>
    <w:p w14:paraId="34140A93" w14:textId="75624141" w:rsidR="00E96F43" w:rsidRDefault="00C050DB">
      <w:pPr>
        <w:pStyle w:val="Seznamobrzk"/>
        <w:tabs>
          <w:tab w:val="right" w:leader="dot" w:pos="9062"/>
        </w:tabs>
        <w:rPr>
          <w:rFonts w:eastAsiaTheme="minorEastAsia"/>
          <w:noProof/>
          <w:lang w:eastAsia="cs-CZ"/>
        </w:rPr>
      </w:pPr>
      <w:hyperlink w:anchor="_Toc50456768" w:history="1">
        <w:r w:rsidR="00E96F43" w:rsidRPr="009B3E51">
          <w:rPr>
            <w:rStyle w:val="Hypertextovodkaz"/>
            <w:noProof/>
          </w:rPr>
          <w:t>Graf 8: Hodnocení náročnosti práce</w:t>
        </w:r>
        <w:r w:rsidR="00E96F43">
          <w:rPr>
            <w:noProof/>
            <w:webHidden/>
          </w:rPr>
          <w:tab/>
        </w:r>
        <w:r w:rsidR="00E96F43">
          <w:rPr>
            <w:noProof/>
            <w:webHidden/>
          </w:rPr>
          <w:fldChar w:fldCharType="begin"/>
        </w:r>
        <w:r w:rsidR="00E96F43">
          <w:rPr>
            <w:noProof/>
            <w:webHidden/>
          </w:rPr>
          <w:instrText xml:space="preserve"> PAGEREF _Toc50456768 \h </w:instrText>
        </w:r>
        <w:r w:rsidR="00E96F43">
          <w:rPr>
            <w:noProof/>
            <w:webHidden/>
          </w:rPr>
        </w:r>
        <w:r w:rsidR="00E96F43">
          <w:rPr>
            <w:noProof/>
            <w:webHidden/>
          </w:rPr>
          <w:fldChar w:fldCharType="separate"/>
        </w:r>
        <w:r w:rsidR="006F13AC">
          <w:rPr>
            <w:noProof/>
            <w:webHidden/>
          </w:rPr>
          <w:t>60</w:t>
        </w:r>
        <w:r w:rsidR="00E96F43">
          <w:rPr>
            <w:noProof/>
            <w:webHidden/>
          </w:rPr>
          <w:fldChar w:fldCharType="end"/>
        </w:r>
      </w:hyperlink>
    </w:p>
    <w:p w14:paraId="7FE689FB" w14:textId="031532E7" w:rsidR="00E96F43" w:rsidRDefault="00C050DB">
      <w:pPr>
        <w:pStyle w:val="Seznamobrzk"/>
        <w:tabs>
          <w:tab w:val="right" w:leader="dot" w:pos="9062"/>
        </w:tabs>
        <w:rPr>
          <w:rFonts w:eastAsiaTheme="minorEastAsia"/>
          <w:noProof/>
          <w:lang w:eastAsia="cs-CZ"/>
        </w:rPr>
      </w:pPr>
      <w:hyperlink w:anchor="_Toc50456769" w:history="1">
        <w:r w:rsidR="00E96F43" w:rsidRPr="009B3E51">
          <w:rPr>
            <w:rStyle w:val="Hypertextovodkaz"/>
            <w:noProof/>
          </w:rPr>
          <w:t>Graf 9: Vnímání náročnosti práce v rámci MPO</w:t>
        </w:r>
        <w:r w:rsidR="00E96F43">
          <w:rPr>
            <w:noProof/>
            <w:webHidden/>
          </w:rPr>
          <w:tab/>
        </w:r>
        <w:r w:rsidR="00E96F43">
          <w:rPr>
            <w:noProof/>
            <w:webHidden/>
          </w:rPr>
          <w:fldChar w:fldCharType="begin"/>
        </w:r>
        <w:r w:rsidR="00E96F43">
          <w:rPr>
            <w:noProof/>
            <w:webHidden/>
          </w:rPr>
          <w:instrText xml:space="preserve"> PAGEREF _Toc50456769 \h </w:instrText>
        </w:r>
        <w:r w:rsidR="00E96F43">
          <w:rPr>
            <w:noProof/>
            <w:webHidden/>
          </w:rPr>
        </w:r>
        <w:r w:rsidR="00E96F43">
          <w:rPr>
            <w:noProof/>
            <w:webHidden/>
          </w:rPr>
          <w:fldChar w:fldCharType="separate"/>
        </w:r>
        <w:r w:rsidR="006F13AC">
          <w:rPr>
            <w:noProof/>
            <w:webHidden/>
          </w:rPr>
          <w:t>61</w:t>
        </w:r>
        <w:r w:rsidR="00E96F43">
          <w:rPr>
            <w:noProof/>
            <w:webHidden/>
          </w:rPr>
          <w:fldChar w:fldCharType="end"/>
        </w:r>
      </w:hyperlink>
    </w:p>
    <w:p w14:paraId="4A48678E" w14:textId="6372E5C0" w:rsidR="00E96F43" w:rsidRDefault="00C050DB">
      <w:pPr>
        <w:pStyle w:val="Seznamobrzk"/>
        <w:tabs>
          <w:tab w:val="right" w:leader="dot" w:pos="9062"/>
        </w:tabs>
        <w:rPr>
          <w:rFonts w:eastAsiaTheme="minorEastAsia"/>
          <w:noProof/>
          <w:lang w:eastAsia="cs-CZ"/>
        </w:rPr>
      </w:pPr>
      <w:hyperlink w:anchor="_Toc50456770" w:history="1">
        <w:r w:rsidR="00E96F43" w:rsidRPr="009B3E51">
          <w:rPr>
            <w:rStyle w:val="Hypertextovodkaz"/>
            <w:noProof/>
          </w:rPr>
          <w:t>Graf 10: Vnímání náročnosti práce v rámci API</w:t>
        </w:r>
        <w:r w:rsidR="00E96F43">
          <w:rPr>
            <w:noProof/>
            <w:webHidden/>
          </w:rPr>
          <w:tab/>
        </w:r>
        <w:r w:rsidR="00E96F43">
          <w:rPr>
            <w:noProof/>
            <w:webHidden/>
          </w:rPr>
          <w:fldChar w:fldCharType="begin"/>
        </w:r>
        <w:r w:rsidR="00E96F43">
          <w:rPr>
            <w:noProof/>
            <w:webHidden/>
          </w:rPr>
          <w:instrText xml:space="preserve"> PAGEREF _Toc50456770 \h </w:instrText>
        </w:r>
        <w:r w:rsidR="00E96F43">
          <w:rPr>
            <w:noProof/>
            <w:webHidden/>
          </w:rPr>
        </w:r>
        <w:r w:rsidR="00E96F43">
          <w:rPr>
            <w:noProof/>
            <w:webHidden/>
          </w:rPr>
          <w:fldChar w:fldCharType="separate"/>
        </w:r>
        <w:r w:rsidR="006F13AC">
          <w:rPr>
            <w:noProof/>
            <w:webHidden/>
          </w:rPr>
          <w:t>61</w:t>
        </w:r>
        <w:r w:rsidR="00E96F43">
          <w:rPr>
            <w:noProof/>
            <w:webHidden/>
          </w:rPr>
          <w:fldChar w:fldCharType="end"/>
        </w:r>
      </w:hyperlink>
    </w:p>
    <w:p w14:paraId="56B998B6" w14:textId="6A11C34D" w:rsidR="00E96F43" w:rsidRDefault="00C050DB">
      <w:pPr>
        <w:pStyle w:val="Seznamobrzk"/>
        <w:tabs>
          <w:tab w:val="right" w:leader="dot" w:pos="9062"/>
        </w:tabs>
        <w:rPr>
          <w:rFonts w:eastAsiaTheme="minorEastAsia"/>
          <w:noProof/>
          <w:lang w:eastAsia="cs-CZ"/>
        </w:rPr>
      </w:pPr>
      <w:hyperlink w:anchor="_Toc50456771" w:history="1">
        <w:r w:rsidR="00E96F43" w:rsidRPr="009B3E51">
          <w:rPr>
            <w:rStyle w:val="Hypertextovodkaz"/>
            <w:noProof/>
          </w:rPr>
          <w:t>Graf 11: Vnímání časové náročnosti pracovních činností</w:t>
        </w:r>
        <w:r w:rsidR="00E96F43">
          <w:rPr>
            <w:noProof/>
            <w:webHidden/>
          </w:rPr>
          <w:tab/>
        </w:r>
        <w:r w:rsidR="00E96F43">
          <w:rPr>
            <w:noProof/>
            <w:webHidden/>
          </w:rPr>
          <w:fldChar w:fldCharType="begin"/>
        </w:r>
        <w:r w:rsidR="00E96F43">
          <w:rPr>
            <w:noProof/>
            <w:webHidden/>
          </w:rPr>
          <w:instrText xml:space="preserve"> PAGEREF _Toc50456771 \h </w:instrText>
        </w:r>
        <w:r w:rsidR="00E96F43">
          <w:rPr>
            <w:noProof/>
            <w:webHidden/>
          </w:rPr>
        </w:r>
        <w:r w:rsidR="00E96F43">
          <w:rPr>
            <w:noProof/>
            <w:webHidden/>
          </w:rPr>
          <w:fldChar w:fldCharType="separate"/>
        </w:r>
        <w:r w:rsidR="006F13AC">
          <w:rPr>
            <w:noProof/>
            <w:webHidden/>
          </w:rPr>
          <w:t>62</w:t>
        </w:r>
        <w:r w:rsidR="00E96F43">
          <w:rPr>
            <w:noProof/>
            <w:webHidden/>
          </w:rPr>
          <w:fldChar w:fldCharType="end"/>
        </w:r>
      </w:hyperlink>
    </w:p>
    <w:p w14:paraId="29246E10" w14:textId="77466554" w:rsidR="00E96F43" w:rsidRDefault="00C050DB">
      <w:pPr>
        <w:pStyle w:val="Seznamobrzk"/>
        <w:tabs>
          <w:tab w:val="right" w:leader="dot" w:pos="9062"/>
        </w:tabs>
        <w:rPr>
          <w:rFonts w:eastAsiaTheme="minorEastAsia"/>
          <w:noProof/>
          <w:lang w:eastAsia="cs-CZ"/>
        </w:rPr>
      </w:pPr>
      <w:hyperlink w:anchor="_Toc50456772" w:history="1">
        <w:r w:rsidR="00E96F43" w:rsidRPr="009B3E51">
          <w:rPr>
            <w:rStyle w:val="Hypertextovodkaz"/>
            <w:noProof/>
          </w:rPr>
          <w:t>Graf 12: Vnímání časové náročnosti v závislosti na obecné náročnosti práce</w:t>
        </w:r>
        <w:r w:rsidR="00E96F43">
          <w:rPr>
            <w:noProof/>
            <w:webHidden/>
          </w:rPr>
          <w:tab/>
        </w:r>
        <w:r w:rsidR="00E96F43">
          <w:rPr>
            <w:noProof/>
            <w:webHidden/>
          </w:rPr>
          <w:fldChar w:fldCharType="begin"/>
        </w:r>
        <w:r w:rsidR="00E96F43">
          <w:rPr>
            <w:noProof/>
            <w:webHidden/>
          </w:rPr>
          <w:instrText xml:space="preserve"> PAGEREF _Toc50456772 \h </w:instrText>
        </w:r>
        <w:r w:rsidR="00E96F43">
          <w:rPr>
            <w:noProof/>
            <w:webHidden/>
          </w:rPr>
        </w:r>
        <w:r w:rsidR="00E96F43">
          <w:rPr>
            <w:noProof/>
            <w:webHidden/>
          </w:rPr>
          <w:fldChar w:fldCharType="separate"/>
        </w:r>
        <w:r w:rsidR="006F13AC">
          <w:rPr>
            <w:noProof/>
            <w:webHidden/>
          </w:rPr>
          <w:t>62</w:t>
        </w:r>
        <w:r w:rsidR="00E96F43">
          <w:rPr>
            <w:noProof/>
            <w:webHidden/>
          </w:rPr>
          <w:fldChar w:fldCharType="end"/>
        </w:r>
      </w:hyperlink>
    </w:p>
    <w:p w14:paraId="759F1D86" w14:textId="3A9C636F" w:rsidR="00E96F43" w:rsidRDefault="00C050DB">
      <w:pPr>
        <w:pStyle w:val="Seznamobrzk"/>
        <w:tabs>
          <w:tab w:val="right" w:leader="dot" w:pos="9062"/>
        </w:tabs>
        <w:rPr>
          <w:rFonts w:eastAsiaTheme="minorEastAsia"/>
          <w:noProof/>
          <w:lang w:eastAsia="cs-CZ"/>
        </w:rPr>
      </w:pPr>
      <w:hyperlink w:anchor="_Toc50456773" w:history="1">
        <w:r w:rsidR="00E96F43" w:rsidRPr="009B3E51">
          <w:rPr>
            <w:rStyle w:val="Hypertextovodkaz"/>
            <w:noProof/>
          </w:rPr>
          <w:t>Graf 13: Spokojenost respondentů s prací pro implementační strukturu OP PIK</w:t>
        </w:r>
        <w:r w:rsidR="00E96F43">
          <w:rPr>
            <w:noProof/>
            <w:webHidden/>
          </w:rPr>
          <w:tab/>
        </w:r>
        <w:r w:rsidR="00E96F43">
          <w:rPr>
            <w:noProof/>
            <w:webHidden/>
          </w:rPr>
          <w:fldChar w:fldCharType="begin"/>
        </w:r>
        <w:r w:rsidR="00E96F43">
          <w:rPr>
            <w:noProof/>
            <w:webHidden/>
          </w:rPr>
          <w:instrText xml:space="preserve"> PAGEREF _Toc50456773 \h </w:instrText>
        </w:r>
        <w:r w:rsidR="00E96F43">
          <w:rPr>
            <w:noProof/>
            <w:webHidden/>
          </w:rPr>
        </w:r>
        <w:r w:rsidR="00E96F43">
          <w:rPr>
            <w:noProof/>
            <w:webHidden/>
          </w:rPr>
          <w:fldChar w:fldCharType="separate"/>
        </w:r>
        <w:r w:rsidR="006F13AC">
          <w:rPr>
            <w:noProof/>
            <w:webHidden/>
          </w:rPr>
          <w:t>63</w:t>
        </w:r>
        <w:r w:rsidR="00E96F43">
          <w:rPr>
            <w:noProof/>
            <w:webHidden/>
          </w:rPr>
          <w:fldChar w:fldCharType="end"/>
        </w:r>
      </w:hyperlink>
    </w:p>
    <w:p w14:paraId="743C82FB" w14:textId="2C7C3F25" w:rsidR="00E96F43" w:rsidRDefault="00C050DB">
      <w:pPr>
        <w:pStyle w:val="Seznamobrzk"/>
        <w:tabs>
          <w:tab w:val="right" w:leader="dot" w:pos="9062"/>
        </w:tabs>
        <w:rPr>
          <w:rFonts w:eastAsiaTheme="minorEastAsia"/>
          <w:noProof/>
          <w:lang w:eastAsia="cs-CZ"/>
        </w:rPr>
      </w:pPr>
      <w:hyperlink w:anchor="_Toc50456774" w:history="1">
        <w:r w:rsidR="00E96F43" w:rsidRPr="009B3E51">
          <w:rPr>
            <w:rStyle w:val="Hypertextovodkaz"/>
            <w:noProof/>
          </w:rPr>
          <w:t>Graf 14: Nejčastější důvody fluktuace zaměstnanců</w:t>
        </w:r>
        <w:r w:rsidR="00E96F43">
          <w:rPr>
            <w:noProof/>
            <w:webHidden/>
          </w:rPr>
          <w:tab/>
        </w:r>
        <w:r w:rsidR="00E96F43">
          <w:rPr>
            <w:noProof/>
            <w:webHidden/>
          </w:rPr>
          <w:fldChar w:fldCharType="begin"/>
        </w:r>
        <w:r w:rsidR="00E96F43">
          <w:rPr>
            <w:noProof/>
            <w:webHidden/>
          </w:rPr>
          <w:instrText xml:space="preserve"> PAGEREF _Toc50456774 \h </w:instrText>
        </w:r>
        <w:r w:rsidR="00E96F43">
          <w:rPr>
            <w:noProof/>
            <w:webHidden/>
          </w:rPr>
        </w:r>
        <w:r w:rsidR="00E96F43">
          <w:rPr>
            <w:noProof/>
            <w:webHidden/>
          </w:rPr>
          <w:fldChar w:fldCharType="separate"/>
        </w:r>
        <w:r w:rsidR="006F13AC">
          <w:rPr>
            <w:noProof/>
            <w:webHidden/>
          </w:rPr>
          <w:t>64</w:t>
        </w:r>
        <w:r w:rsidR="00E96F43">
          <w:rPr>
            <w:noProof/>
            <w:webHidden/>
          </w:rPr>
          <w:fldChar w:fldCharType="end"/>
        </w:r>
      </w:hyperlink>
    </w:p>
    <w:p w14:paraId="5079C733" w14:textId="54E8E2EC" w:rsidR="00E96F43" w:rsidRDefault="00C050DB">
      <w:pPr>
        <w:pStyle w:val="Seznamobrzk"/>
        <w:tabs>
          <w:tab w:val="right" w:leader="dot" w:pos="9062"/>
        </w:tabs>
        <w:rPr>
          <w:rFonts w:eastAsiaTheme="minorEastAsia"/>
          <w:noProof/>
          <w:lang w:eastAsia="cs-CZ"/>
        </w:rPr>
      </w:pPr>
      <w:hyperlink w:anchor="_Toc50456775" w:history="1">
        <w:r w:rsidR="00E96F43" w:rsidRPr="009B3E51">
          <w:rPr>
            <w:rStyle w:val="Hypertextovodkaz"/>
            <w:noProof/>
          </w:rPr>
          <w:t>Graf 15: Faktory, které by respondenty přiměly uvažovat o změně pracovního místa</w:t>
        </w:r>
        <w:r w:rsidR="00E96F43">
          <w:rPr>
            <w:noProof/>
            <w:webHidden/>
          </w:rPr>
          <w:tab/>
        </w:r>
        <w:r w:rsidR="00E96F43">
          <w:rPr>
            <w:noProof/>
            <w:webHidden/>
          </w:rPr>
          <w:fldChar w:fldCharType="begin"/>
        </w:r>
        <w:r w:rsidR="00E96F43">
          <w:rPr>
            <w:noProof/>
            <w:webHidden/>
          </w:rPr>
          <w:instrText xml:space="preserve"> PAGEREF _Toc50456775 \h </w:instrText>
        </w:r>
        <w:r w:rsidR="00E96F43">
          <w:rPr>
            <w:noProof/>
            <w:webHidden/>
          </w:rPr>
        </w:r>
        <w:r w:rsidR="00E96F43">
          <w:rPr>
            <w:noProof/>
            <w:webHidden/>
          </w:rPr>
          <w:fldChar w:fldCharType="separate"/>
        </w:r>
        <w:r w:rsidR="006F13AC">
          <w:rPr>
            <w:noProof/>
            <w:webHidden/>
          </w:rPr>
          <w:t>65</w:t>
        </w:r>
        <w:r w:rsidR="00E96F43">
          <w:rPr>
            <w:noProof/>
            <w:webHidden/>
          </w:rPr>
          <w:fldChar w:fldCharType="end"/>
        </w:r>
      </w:hyperlink>
    </w:p>
    <w:p w14:paraId="6ADBDEA5" w14:textId="5CE0166D" w:rsidR="00E96F43" w:rsidRDefault="00C050DB">
      <w:pPr>
        <w:pStyle w:val="Seznamobrzk"/>
        <w:tabs>
          <w:tab w:val="right" w:leader="dot" w:pos="9062"/>
        </w:tabs>
        <w:rPr>
          <w:rFonts w:eastAsiaTheme="minorEastAsia"/>
          <w:noProof/>
          <w:lang w:eastAsia="cs-CZ"/>
        </w:rPr>
      </w:pPr>
      <w:hyperlink w:anchor="_Toc50456776" w:history="1">
        <w:r w:rsidR="00E96F43" w:rsidRPr="009B3E51">
          <w:rPr>
            <w:rStyle w:val="Hypertextovodkaz"/>
            <w:noProof/>
          </w:rPr>
          <w:t>Graf 16: Průměrné hodnocení systému dalšího vzdělávání dle odborů MPO</w:t>
        </w:r>
        <w:r w:rsidR="00E96F43">
          <w:rPr>
            <w:noProof/>
            <w:webHidden/>
          </w:rPr>
          <w:tab/>
        </w:r>
        <w:r w:rsidR="00E96F43">
          <w:rPr>
            <w:noProof/>
            <w:webHidden/>
          </w:rPr>
          <w:fldChar w:fldCharType="begin"/>
        </w:r>
        <w:r w:rsidR="00E96F43">
          <w:rPr>
            <w:noProof/>
            <w:webHidden/>
          </w:rPr>
          <w:instrText xml:space="preserve"> PAGEREF _Toc50456776 \h </w:instrText>
        </w:r>
        <w:r w:rsidR="00E96F43">
          <w:rPr>
            <w:noProof/>
            <w:webHidden/>
          </w:rPr>
        </w:r>
        <w:r w:rsidR="00E96F43">
          <w:rPr>
            <w:noProof/>
            <w:webHidden/>
          </w:rPr>
          <w:fldChar w:fldCharType="separate"/>
        </w:r>
        <w:r w:rsidR="006F13AC">
          <w:rPr>
            <w:noProof/>
            <w:webHidden/>
          </w:rPr>
          <w:t>67</w:t>
        </w:r>
        <w:r w:rsidR="00E96F43">
          <w:rPr>
            <w:noProof/>
            <w:webHidden/>
          </w:rPr>
          <w:fldChar w:fldCharType="end"/>
        </w:r>
      </w:hyperlink>
    </w:p>
    <w:p w14:paraId="0FF94818" w14:textId="0FD29402" w:rsidR="00E96F43" w:rsidRDefault="00C050DB">
      <w:pPr>
        <w:pStyle w:val="Seznamobrzk"/>
        <w:tabs>
          <w:tab w:val="right" w:leader="dot" w:pos="9062"/>
        </w:tabs>
        <w:rPr>
          <w:rFonts w:eastAsiaTheme="minorEastAsia"/>
          <w:noProof/>
          <w:lang w:eastAsia="cs-CZ"/>
        </w:rPr>
      </w:pPr>
      <w:hyperlink w:anchor="_Toc50456777" w:history="1">
        <w:r w:rsidR="00E96F43" w:rsidRPr="009B3E51">
          <w:rPr>
            <w:rStyle w:val="Hypertextovodkaz"/>
            <w:noProof/>
          </w:rPr>
          <w:t>Graf 17: Hodnocení adekvátnosti školení pro pracovní agendu</w:t>
        </w:r>
        <w:r w:rsidR="00E96F43">
          <w:rPr>
            <w:noProof/>
            <w:webHidden/>
          </w:rPr>
          <w:tab/>
        </w:r>
        <w:r w:rsidR="00E96F43">
          <w:rPr>
            <w:noProof/>
            <w:webHidden/>
          </w:rPr>
          <w:fldChar w:fldCharType="begin"/>
        </w:r>
        <w:r w:rsidR="00E96F43">
          <w:rPr>
            <w:noProof/>
            <w:webHidden/>
          </w:rPr>
          <w:instrText xml:space="preserve"> PAGEREF _Toc50456777 \h </w:instrText>
        </w:r>
        <w:r w:rsidR="00E96F43">
          <w:rPr>
            <w:noProof/>
            <w:webHidden/>
          </w:rPr>
        </w:r>
        <w:r w:rsidR="00E96F43">
          <w:rPr>
            <w:noProof/>
            <w:webHidden/>
          </w:rPr>
          <w:fldChar w:fldCharType="separate"/>
        </w:r>
        <w:r w:rsidR="006F13AC">
          <w:rPr>
            <w:noProof/>
            <w:webHidden/>
          </w:rPr>
          <w:t>68</w:t>
        </w:r>
        <w:r w:rsidR="00E96F43">
          <w:rPr>
            <w:noProof/>
            <w:webHidden/>
          </w:rPr>
          <w:fldChar w:fldCharType="end"/>
        </w:r>
      </w:hyperlink>
    </w:p>
    <w:p w14:paraId="40D3EF77" w14:textId="694F86C6" w:rsidR="003D01DB" w:rsidRDefault="00375887" w:rsidP="003D01DB">
      <w:pPr>
        <w:rPr>
          <w:lang w:eastAsia="cs-CZ"/>
        </w:rPr>
      </w:pPr>
      <w:r>
        <w:rPr>
          <w:lang w:eastAsia="cs-CZ"/>
        </w:rPr>
        <w:fldChar w:fldCharType="end"/>
      </w:r>
    </w:p>
    <w:p w14:paraId="615CBD56" w14:textId="2F6D0DC6" w:rsidR="00E96F43" w:rsidRDefault="00375887">
      <w:pPr>
        <w:pStyle w:val="Seznamobrzk"/>
        <w:tabs>
          <w:tab w:val="right" w:leader="dot" w:pos="9062"/>
        </w:tabs>
        <w:rPr>
          <w:rFonts w:eastAsiaTheme="minorEastAsia"/>
          <w:noProof/>
          <w:lang w:eastAsia="cs-CZ"/>
        </w:rPr>
      </w:pPr>
      <w:r>
        <w:rPr>
          <w:lang w:eastAsia="cs-CZ"/>
        </w:rPr>
        <w:fldChar w:fldCharType="begin"/>
      </w:r>
      <w:r w:rsidR="00524BC4">
        <w:rPr>
          <w:lang w:eastAsia="cs-CZ"/>
        </w:rPr>
        <w:instrText xml:space="preserve"> TOC \h \z \c "Obrázek" </w:instrText>
      </w:r>
      <w:r>
        <w:rPr>
          <w:lang w:eastAsia="cs-CZ"/>
        </w:rPr>
        <w:fldChar w:fldCharType="separate"/>
      </w:r>
      <w:hyperlink w:anchor="_Toc50456778" w:history="1">
        <w:r w:rsidR="00E96F43" w:rsidRPr="00F37D57">
          <w:rPr>
            <w:rStyle w:val="Hypertextovodkaz"/>
            <w:noProof/>
          </w:rPr>
          <w:t>Obrázek 1: Propojení cílů a výsledků TP s indikátory, SC 5.1</w:t>
        </w:r>
        <w:r w:rsidR="00E96F43">
          <w:rPr>
            <w:noProof/>
            <w:webHidden/>
          </w:rPr>
          <w:tab/>
        </w:r>
        <w:r w:rsidR="00E96F43">
          <w:rPr>
            <w:noProof/>
            <w:webHidden/>
          </w:rPr>
          <w:fldChar w:fldCharType="begin"/>
        </w:r>
        <w:r w:rsidR="00E96F43">
          <w:rPr>
            <w:noProof/>
            <w:webHidden/>
          </w:rPr>
          <w:instrText xml:space="preserve"> PAGEREF _Toc50456778 \h </w:instrText>
        </w:r>
        <w:r w:rsidR="00E96F43">
          <w:rPr>
            <w:noProof/>
            <w:webHidden/>
          </w:rPr>
        </w:r>
        <w:r w:rsidR="00E96F43">
          <w:rPr>
            <w:noProof/>
            <w:webHidden/>
          </w:rPr>
          <w:fldChar w:fldCharType="separate"/>
        </w:r>
        <w:r w:rsidR="006F13AC">
          <w:rPr>
            <w:noProof/>
            <w:webHidden/>
          </w:rPr>
          <w:t>32</w:t>
        </w:r>
        <w:r w:rsidR="00E96F43">
          <w:rPr>
            <w:noProof/>
            <w:webHidden/>
          </w:rPr>
          <w:fldChar w:fldCharType="end"/>
        </w:r>
      </w:hyperlink>
    </w:p>
    <w:p w14:paraId="3DD87B96" w14:textId="3C19F729" w:rsidR="00E96F43" w:rsidRDefault="00C050DB">
      <w:pPr>
        <w:pStyle w:val="Seznamobrzk"/>
        <w:tabs>
          <w:tab w:val="right" w:leader="dot" w:pos="9062"/>
        </w:tabs>
        <w:rPr>
          <w:rFonts w:eastAsiaTheme="minorEastAsia"/>
          <w:noProof/>
          <w:lang w:eastAsia="cs-CZ"/>
        </w:rPr>
      </w:pPr>
      <w:hyperlink w:anchor="_Toc50456779" w:history="1">
        <w:r w:rsidR="00E96F43" w:rsidRPr="00F37D57">
          <w:rPr>
            <w:rStyle w:val="Hypertextovodkaz"/>
            <w:noProof/>
          </w:rPr>
          <w:t>Obrázek 2: Propojení cílů a výsledků TP s indikátory, SC 5.2</w:t>
        </w:r>
        <w:r w:rsidR="00E96F43">
          <w:rPr>
            <w:noProof/>
            <w:webHidden/>
          </w:rPr>
          <w:tab/>
        </w:r>
        <w:r w:rsidR="00E96F43">
          <w:rPr>
            <w:noProof/>
            <w:webHidden/>
          </w:rPr>
          <w:fldChar w:fldCharType="begin"/>
        </w:r>
        <w:r w:rsidR="00E96F43">
          <w:rPr>
            <w:noProof/>
            <w:webHidden/>
          </w:rPr>
          <w:instrText xml:space="preserve"> PAGEREF _Toc50456779 \h </w:instrText>
        </w:r>
        <w:r w:rsidR="00E96F43">
          <w:rPr>
            <w:noProof/>
            <w:webHidden/>
          </w:rPr>
        </w:r>
        <w:r w:rsidR="00E96F43">
          <w:rPr>
            <w:noProof/>
            <w:webHidden/>
          </w:rPr>
          <w:fldChar w:fldCharType="separate"/>
        </w:r>
        <w:r w:rsidR="006F13AC">
          <w:rPr>
            <w:noProof/>
            <w:webHidden/>
          </w:rPr>
          <w:t>34</w:t>
        </w:r>
        <w:r w:rsidR="00E96F43">
          <w:rPr>
            <w:noProof/>
            <w:webHidden/>
          </w:rPr>
          <w:fldChar w:fldCharType="end"/>
        </w:r>
      </w:hyperlink>
    </w:p>
    <w:p w14:paraId="34599550" w14:textId="350A002F" w:rsidR="00524BC4" w:rsidRPr="004F162B" w:rsidRDefault="00375887" w:rsidP="003D01DB">
      <w:pPr>
        <w:rPr>
          <w:lang w:eastAsia="cs-CZ"/>
        </w:rPr>
      </w:pPr>
      <w:r>
        <w:rPr>
          <w:lang w:eastAsia="cs-CZ"/>
        </w:rPr>
        <w:fldChar w:fldCharType="end"/>
      </w:r>
    </w:p>
    <w:p w14:paraId="6BC1EC96" w14:textId="77777777" w:rsidR="004613AF" w:rsidRDefault="00E45FE8">
      <w:pPr>
        <w:spacing w:after="200"/>
        <w:jc w:val="left"/>
        <w:rPr>
          <w:lang w:eastAsia="cs-CZ"/>
        </w:rPr>
      </w:pPr>
      <w:r>
        <w:br w:type="page"/>
      </w:r>
    </w:p>
    <w:p w14:paraId="099E1E1F" w14:textId="77777777" w:rsidR="005C425E" w:rsidRDefault="005C425E" w:rsidP="00C173BC">
      <w:pPr>
        <w:pStyle w:val="Nadpis1"/>
        <w:rPr>
          <w:snapToGrid w:val="0"/>
          <w:lang w:val="fr-FR"/>
        </w:rPr>
      </w:pPr>
      <w:bookmarkStart w:id="4" w:name="_Toc50456781"/>
      <w:bookmarkEnd w:id="2"/>
      <w:r>
        <w:rPr>
          <w:snapToGrid w:val="0"/>
          <w:lang w:val="fr-FR"/>
        </w:rPr>
        <w:lastRenderedPageBreak/>
        <w:t>Doplňující informace k EO 1</w:t>
      </w:r>
      <w:bookmarkEnd w:id="4"/>
    </w:p>
    <w:p w14:paraId="11F646D5" w14:textId="77777777" w:rsidR="005C425E" w:rsidRDefault="005C425E" w:rsidP="005C425E">
      <w:pPr>
        <w:pStyle w:val="Nadpis6"/>
      </w:pPr>
      <w:r>
        <w:t>Zpracování, ověření a doplnění procesní mapy řízení TP OP PIK</w:t>
      </w:r>
    </w:p>
    <w:p w14:paraId="30081C5E" w14:textId="77777777" w:rsidR="005C425E" w:rsidRPr="00F8733A" w:rsidRDefault="005C425E" w:rsidP="005C425E">
      <w:pPr>
        <w:rPr>
          <w:lang w:eastAsia="cs-CZ"/>
        </w:rPr>
      </w:pPr>
      <w:r>
        <w:rPr>
          <w:lang w:eastAsia="cs-CZ"/>
        </w:rPr>
        <w:t xml:space="preserve">Metodické prostředí TP OP PIK je tvořeno Operačním manuálem (OM), který rozpracovává dílčí procesy související s implementací TP a obecněji řízením a administrací programu. Konkrétní aspekty jednotlivých procesů jsou v relevantních případech rozpracovány v přílohách OM, přiloženy jsou, mimo jiné, šablony dokumentů, které jsou pro daný proces relevantní. OM vychází z Jednotného metodického prostředí (JMP), jehož garantem je NOK. JMP je tvořen dílčími metodikami/metodickými pokyny, které rozpracovávají a koordinují detaily řízení operačních programů. OM v dílčích procesech na konkrétní metodiky JMP odkazuje. Další vrstvou, která definuje metodické prostředí OP PIK, jsou normy EU, především potom Obecné nařízení (Nařízení </w:t>
      </w:r>
      <w:r w:rsidR="00FB577C">
        <w:rPr>
          <w:lang w:eastAsia="cs-CZ"/>
        </w:rPr>
        <w:br/>
      </w:r>
      <w:r>
        <w:rPr>
          <w:lang w:eastAsia="cs-CZ"/>
        </w:rPr>
        <w:t>č. 1303/2013), které je základním zdrojem pro nastavení metodického prostředí. V konkrétních procesech metodické prostředí TP OP PIK bezprostředně vychází také z legislativy ČR (např. proces přijímání nových zaměstnanců do zaměstnaneckého nebo služebního poměru) případně z dalších externích zdrojů.</w:t>
      </w:r>
    </w:p>
    <w:p w14:paraId="42350476" w14:textId="77777777" w:rsidR="005C425E" w:rsidRPr="00504177" w:rsidRDefault="005C425E" w:rsidP="005C425E">
      <w:pPr>
        <w:rPr>
          <w:lang w:eastAsia="cs-CZ"/>
        </w:rPr>
      </w:pPr>
      <w:r>
        <w:rPr>
          <w:lang w:eastAsia="cs-CZ"/>
        </w:rPr>
        <w:t>Metodické prostředí TP OP PIK bylo evaluátorem detailně zpracováno do procesní mapy, která byla následně ověřována a doplněna dle reálného průběhu analyzovaných procesů. Výsledky jsou zpracovány v evaluační otázce 2.</w:t>
      </w:r>
    </w:p>
    <w:p w14:paraId="17966DDA" w14:textId="77777777" w:rsidR="005C425E" w:rsidRDefault="005C425E" w:rsidP="005C425E">
      <w:pPr>
        <w:pStyle w:val="Nadpis6"/>
      </w:pPr>
      <w:r>
        <w:t xml:space="preserve">Ověření stability metodického prostředí na základě změn řídící dokumentace (frekvence </w:t>
      </w:r>
      <w:r w:rsidR="0054088A">
        <w:br/>
      </w:r>
      <w:r>
        <w:t>a komplexita prováděných změn)</w:t>
      </w:r>
    </w:p>
    <w:p w14:paraId="01010FE1" w14:textId="4C49D245" w:rsidR="005C425E" w:rsidRDefault="005C425E" w:rsidP="005C425E">
      <w:r>
        <w:t>U všech procesů OM dlouhodobě dochází</w:t>
      </w:r>
      <w:r w:rsidR="00F20A0B">
        <w:t xml:space="preserve">, i přes občasné výkyvy, </w:t>
      </w:r>
      <w:r>
        <w:t xml:space="preserve">k mírnému snižování počtu změn v intervalu jednotlivých měsíců, </w:t>
      </w:r>
      <w:r w:rsidR="00F20A0B">
        <w:t xml:space="preserve">jak je patrno z </w:t>
      </w:r>
      <w:r>
        <w:t>graf</w:t>
      </w:r>
      <w:r w:rsidR="00F20A0B">
        <w:t>u</w:t>
      </w:r>
      <w:r>
        <w:t xml:space="preserve"> níže. Nejvyšší počet změn (13) ale nastal během června 2019, což je v druhé polovině všech monitorovaných případů. Průměrný počet změn v 1 měsíci nabývá 5,7.</w:t>
      </w:r>
    </w:p>
    <w:p w14:paraId="20CAC963" w14:textId="79EC6267" w:rsidR="005C425E" w:rsidRDefault="005C425E" w:rsidP="005C425E">
      <w:pPr>
        <w:pStyle w:val="Titulek"/>
      </w:pPr>
      <w:bookmarkStart w:id="5" w:name="_Toc45657589"/>
      <w:bookmarkStart w:id="6" w:name="_Toc50456761"/>
      <w:r>
        <w:t xml:space="preserve">Graf </w:t>
      </w:r>
      <w:r w:rsidR="00C050DB">
        <w:fldChar w:fldCharType="begin"/>
      </w:r>
      <w:r w:rsidR="00C050DB">
        <w:instrText xml:space="preserve"> SEQ Graf \* ARABIC </w:instrText>
      </w:r>
      <w:r w:rsidR="00C050DB">
        <w:fldChar w:fldCharType="separate"/>
      </w:r>
      <w:r w:rsidR="00E96F43">
        <w:rPr>
          <w:noProof/>
        </w:rPr>
        <w:t>1</w:t>
      </w:r>
      <w:r w:rsidR="00C050DB">
        <w:rPr>
          <w:noProof/>
        </w:rPr>
        <w:fldChar w:fldCharType="end"/>
      </w:r>
      <w:r>
        <w:t>: Vývoj počtu změn OM, které se váží na všechny procesy</w:t>
      </w:r>
      <w:bookmarkEnd w:id="5"/>
      <w:bookmarkEnd w:id="6"/>
    </w:p>
    <w:p w14:paraId="1E9C999C" w14:textId="77777777" w:rsidR="005C425E" w:rsidRDefault="005C425E" w:rsidP="005C425E">
      <w:r>
        <w:rPr>
          <w:noProof/>
          <w:lang w:eastAsia="cs-CZ"/>
        </w:rPr>
        <w:drawing>
          <wp:inline distT="0" distB="0" distL="0" distR="0" wp14:anchorId="5B6E3282" wp14:editId="440B5B2A">
            <wp:extent cx="5775960" cy="2758440"/>
            <wp:effectExtent l="0" t="0" r="15240" b="3810"/>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8BDAEF4" w14:textId="77777777" w:rsidR="005C425E" w:rsidRDefault="005C425E" w:rsidP="005C425E">
      <w:r>
        <w:rPr>
          <w:i/>
        </w:rPr>
        <w:t>Zdroj: Vlastní šetření dle dat MD</w:t>
      </w:r>
    </w:p>
    <w:p w14:paraId="1FEDAE75" w14:textId="47147D4E" w:rsidR="005C425E" w:rsidRDefault="005C425E" w:rsidP="005C425E">
      <w:r>
        <w:lastRenderedPageBreak/>
        <w:t>Zatímco v druhé polovině roku 2018 a v první polovině roku 2019 se počet změn blížil 40, během druhé poloviny roku 2019 dochází k významnému poklesu. Konkrétně od července do října proběhlo jen 11 změn OM. Ve zbývajících 2 měsících by tedy muselo dojít k téměř trojnásobnému nárůstu počtu změn, aby se počet změn přiblížil hodnotám z minulých dvou pololetí.</w:t>
      </w:r>
    </w:p>
    <w:p w14:paraId="7C4A7845" w14:textId="117085FE" w:rsidR="005C425E" w:rsidRDefault="005C425E" w:rsidP="005C425E">
      <w:pPr>
        <w:pStyle w:val="Titulek"/>
      </w:pPr>
      <w:bookmarkStart w:id="7" w:name="_Toc45657556"/>
      <w:bookmarkStart w:id="8" w:name="_Toc50456734"/>
      <w:r>
        <w:t xml:space="preserve">Tabulka </w:t>
      </w:r>
      <w:r w:rsidR="00C050DB">
        <w:fldChar w:fldCharType="begin"/>
      </w:r>
      <w:r w:rsidR="00C050DB">
        <w:instrText xml:space="preserve"> SEQ Tabulka \* ARABIC </w:instrText>
      </w:r>
      <w:r w:rsidR="00C050DB">
        <w:fldChar w:fldCharType="separate"/>
      </w:r>
      <w:r w:rsidR="00E96F43">
        <w:rPr>
          <w:noProof/>
        </w:rPr>
        <w:t>1</w:t>
      </w:r>
      <w:r w:rsidR="00C050DB">
        <w:rPr>
          <w:noProof/>
        </w:rPr>
        <w:fldChar w:fldCharType="end"/>
      </w:r>
      <w:r>
        <w:t>: Počet změn OM dle období</w:t>
      </w:r>
      <w:bookmarkEnd w:id="7"/>
      <w:bookmarkEnd w:id="8"/>
    </w:p>
    <w:tbl>
      <w:tblPr>
        <w:tblW w:w="38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20"/>
        <w:gridCol w:w="1920"/>
      </w:tblGrid>
      <w:tr w:rsidR="005C425E" w14:paraId="379E9E47" w14:textId="77777777" w:rsidTr="000F1C75">
        <w:trPr>
          <w:trHeight w:val="300"/>
        </w:trPr>
        <w:tc>
          <w:tcPr>
            <w:tcW w:w="192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FF4F0FE" w14:textId="77777777" w:rsidR="005C425E" w:rsidRDefault="005C425E" w:rsidP="000F1C75">
            <w:pPr>
              <w:spacing w:after="0" w:line="240" w:lineRule="auto"/>
              <w:jc w:val="center"/>
              <w:rPr>
                <w:rFonts w:ascii="Calibri" w:eastAsia="Times New Roman" w:hAnsi="Calibri" w:cs="Calibri"/>
                <w:b/>
                <w:color w:val="000000"/>
                <w:sz w:val="18"/>
                <w:lang w:eastAsia="cs-CZ"/>
              </w:rPr>
            </w:pPr>
            <w:r>
              <w:rPr>
                <w:rFonts w:ascii="Calibri" w:eastAsia="Times New Roman" w:hAnsi="Calibri" w:cs="Calibri"/>
                <w:b/>
                <w:color w:val="000000"/>
                <w:sz w:val="18"/>
                <w:lang w:eastAsia="cs-CZ"/>
              </w:rPr>
              <w:t>Období</w:t>
            </w:r>
          </w:p>
        </w:tc>
        <w:tc>
          <w:tcPr>
            <w:tcW w:w="192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2CE18EB" w14:textId="77777777" w:rsidR="005C425E" w:rsidRDefault="005C425E" w:rsidP="000F1C75">
            <w:pPr>
              <w:spacing w:after="0" w:line="240" w:lineRule="auto"/>
              <w:jc w:val="center"/>
              <w:rPr>
                <w:rFonts w:ascii="Calibri" w:eastAsia="Times New Roman" w:hAnsi="Calibri" w:cs="Calibri"/>
                <w:b/>
                <w:color w:val="000000"/>
                <w:sz w:val="18"/>
                <w:lang w:eastAsia="cs-CZ"/>
              </w:rPr>
            </w:pPr>
            <w:r>
              <w:rPr>
                <w:rFonts w:ascii="Calibri" w:eastAsia="Times New Roman" w:hAnsi="Calibri" w:cs="Calibri"/>
                <w:b/>
                <w:color w:val="000000"/>
                <w:sz w:val="18"/>
                <w:lang w:eastAsia="cs-CZ"/>
              </w:rPr>
              <w:t>Počet změn</w:t>
            </w:r>
          </w:p>
        </w:tc>
      </w:tr>
      <w:tr w:rsidR="005C425E" w14:paraId="7A9E4DC3" w14:textId="77777777" w:rsidTr="000F1C75">
        <w:trPr>
          <w:trHeight w:val="300"/>
        </w:trPr>
        <w:tc>
          <w:tcPr>
            <w:tcW w:w="1921" w:type="dxa"/>
            <w:tcBorders>
              <w:top w:val="single" w:sz="4" w:space="0" w:color="auto"/>
              <w:left w:val="single" w:sz="4" w:space="0" w:color="auto"/>
              <w:bottom w:val="single" w:sz="4" w:space="0" w:color="auto"/>
              <w:right w:val="single" w:sz="4" w:space="0" w:color="auto"/>
            </w:tcBorders>
            <w:noWrap/>
            <w:vAlign w:val="bottom"/>
            <w:hideMark/>
          </w:tcPr>
          <w:p w14:paraId="5B2AD865" w14:textId="77777777" w:rsidR="005C425E" w:rsidRDefault="005C425E" w:rsidP="000F1C75">
            <w:pPr>
              <w:spacing w:after="0" w:line="240" w:lineRule="auto"/>
              <w:jc w:val="left"/>
              <w:rPr>
                <w:rFonts w:ascii="Calibri" w:eastAsia="Times New Roman" w:hAnsi="Calibri" w:cs="Calibri"/>
                <w:color w:val="000000"/>
                <w:sz w:val="18"/>
                <w:lang w:eastAsia="cs-CZ"/>
              </w:rPr>
            </w:pPr>
            <w:r>
              <w:rPr>
                <w:rFonts w:ascii="Calibri" w:eastAsia="Times New Roman" w:hAnsi="Calibri" w:cs="Calibri"/>
                <w:color w:val="000000"/>
                <w:sz w:val="18"/>
                <w:lang w:eastAsia="cs-CZ"/>
              </w:rPr>
              <w:t>2. polovina 2018</w:t>
            </w:r>
          </w:p>
        </w:tc>
        <w:tc>
          <w:tcPr>
            <w:tcW w:w="1922" w:type="dxa"/>
            <w:tcBorders>
              <w:top w:val="single" w:sz="4" w:space="0" w:color="auto"/>
              <w:left w:val="single" w:sz="4" w:space="0" w:color="auto"/>
              <w:bottom w:val="single" w:sz="4" w:space="0" w:color="auto"/>
              <w:right w:val="single" w:sz="4" w:space="0" w:color="auto"/>
            </w:tcBorders>
            <w:noWrap/>
            <w:vAlign w:val="bottom"/>
            <w:hideMark/>
          </w:tcPr>
          <w:p w14:paraId="15BC79EE" w14:textId="77777777" w:rsidR="005C425E" w:rsidRDefault="005C425E" w:rsidP="000F1C75">
            <w:pPr>
              <w:spacing w:after="0" w:line="240" w:lineRule="auto"/>
              <w:jc w:val="right"/>
              <w:rPr>
                <w:rFonts w:ascii="Calibri" w:eastAsia="Times New Roman" w:hAnsi="Calibri" w:cs="Calibri"/>
                <w:color w:val="000000"/>
                <w:sz w:val="18"/>
                <w:lang w:eastAsia="cs-CZ"/>
              </w:rPr>
            </w:pPr>
            <w:r>
              <w:rPr>
                <w:rFonts w:ascii="Calibri" w:eastAsia="Times New Roman" w:hAnsi="Calibri" w:cs="Calibri"/>
                <w:color w:val="000000"/>
                <w:sz w:val="18"/>
                <w:lang w:eastAsia="cs-CZ"/>
              </w:rPr>
              <w:t>35</w:t>
            </w:r>
          </w:p>
        </w:tc>
      </w:tr>
      <w:tr w:rsidR="005C425E" w14:paraId="24519C2B" w14:textId="77777777" w:rsidTr="000F1C75">
        <w:trPr>
          <w:trHeight w:val="300"/>
        </w:trPr>
        <w:tc>
          <w:tcPr>
            <w:tcW w:w="1921" w:type="dxa"/>
            <w:tcBorders>
              <w:top w:val="single" w:sz="4" w:space="0" w:color="auto"/>
              <w:left w:val="single" w:sz="4" w:space="0" w:color="auto"/>
              <w:bottom w:val="single" w:sz="4" w:space="0" w:color="auto"/>
              <w:right w:val="single" w:sz="4" w:space="0" w:color="auto"/>
            </w:tcBorders>
            <w:noWrap/>
            <w:vAlign w:val="bottom"/>
            <w:hideMark/>
          </w:tcPr>
          <w:p w14:paraId="261A3BC9" w14:textId="77777777" w:rsidR="005C425E" w:rsidRDefault="005C425E" w:rsidP="000F1C75">
            <w:pPr>
              <w:spacing w:after="0" w:line="240" w:lineRule="auto"/>
              <w:jc w:val="left"/>
              <w:rPr>
                <w:rFonts w:ascii="Calibri" w:eastAsia="Times New Roman" w:hAnsi="Calibri" w:cs="Calibri"/>
                <w:color w:val="000000"/>
                <w:sz w:val="18"/>
                <w:lang w:eastAsia="cs-CZ"/>
              </w:rPr>
            </w:pPr>
            <w:r>
              <w:rPr>
                <w:rFonts w:ascii="Calibri" w:eastAsia="Times New Roman" w:hAnsi="Calibri" w:cs="Calibri"/>
                <w:color w:val="000000"/>
                <w:sz w:val="18"/>
                <w:lang w:eastAsia="cs-CZ"/>
              </w:rPr>
              <w:t>1. polovina 2019</w:t>
            </w:r>
          </w:p>
        </w:tc>
        <w:tc>
          <w:tcPr>
            <w:tcW w:w="1922" w:type="dxa"/>
            <w:tcBorders>
              <w:top w:val="single" w:sz="4" w:space="0" w:color="auto"/>
              <w:left w:val="single" w:sz="4" w:space="0" w:color="auto"/>
              <w:bottom w:val="single" w:sz="4" w:space="0" w:color="auto"/>
              <w:right w:val="single" w:sz="4" w:space="0" w:color="auto"/>
            </w:tcBorders>
            <w:noWrap/>
            <w:vAlign w:val="bottom"/>
            <w:hideMark/>
          </w:tcPr>
          <w:p w14:paraId="577450EE" w14:textId="77777777" w:rsidR="005C425E" w:rsidRDefault="005C425E" w:rsidP="000F1C75">
            <w:pPr>
              <w:spacing w:after="0" w:line="240" w:lineRule="auto"/>
              <w:jc w:val="right"/>
              <w:rPr>
                <w:rFonts w:ascii="Calibri" w:eastAsia="Times New Roman" w:hAnsi="Calibri" w:cs="Calibri"/>
                <w:color w:val="000000"/>
                <w:sz w:val="18"/>
                <w:lang w:eastAsia="cs-CZ"/>
              </w:rPr>
            </w:pPr>
            <w:r>
              <w:rPr>
                <w:rFonts w:ascii="Calibri" w:eastAsia="Times New Roman" w:hAnsi="Calibri" w:cs="Calibri"/>
                <w:color w:val="000000"/>
                <w:sz w:val="18"/>
                <w:lang w:eastAsia="cs-CZ"/>
              </w:rPr>
              <w:t>39</w:t>
            </w:r>
          </w:p>
        </w:tc>
      </w:tr>
      <w:tr w:rsidR="005C425E" w14:paraId="79652E64" w14:textId="77777777" w:rsidTr="000F1C75">
        <w:trPr>
          <w:trHeight w:val="300"/>
        </w:trPr>
        <w:tc>
          <w:tcPr>
            <w:tcW w:w="1921" w:type="dxa"/>
            <w:tcBorders>
              <w:top w:val="single" w:sz="4" w:space="0" w:color="auto"/>
              <w:left w:val="single" w:sz="4" w:space="0" w:color="auto"/>
              <w:bottom w:val="single" w:sz="4" w:space="0" w:color="auto"/>
              <w:right w:val="single" w:sz="4" w:space="0" w:color="auto"/>
            </w:tcBorders>
            <w:noWrap/>
            <w:vAlign w:val="bottom"/>
            <w:hideMark/>
          </w:tcPr>
          <w:p w14:paraId="69E0F210" w14:textId="77777777" w:rsidR="005C425E" w:rsidRDefault="005C425E" w:rsidP="000F1C75">
            <w:pPr>
              <w:spacing w:after="0" w:line="240" w:lineRule="auto"/>
              <w:jc w:val="left"/>
              <w:rPr>
                <w:rFonts w:ascii="Calibri" w:eastAsia="Times New Roman" w:hAnsi="Calibri" w:cs="Calibri"/>
                <w:color w:val="000000"/>
                <w:sz w:val="18"/>
                <w:lang w:eastAsia="cs-CZ"/>
              </w:rPr>
            </w:pPr>
            <w:r>
              <w:rPr>
                <w:rFonts w:ascii="Calibri" w:eastAsia="Times New Roman" w:hAnsi="Calibri" w:cs="Calibri"/>
                <w:color w:val="000000"/>
                <w:sz w:val="18"/>
                <w:lang w:eastAsia="cs-CZ"/>
              </w:rPr>
              <w:t>2. polovina 2019</w:t>
            </w:r>
          </w:p>
        </w:tc>
        <w:tc>
          <w:tcPr>
            <w:tcW w:w="1922" w:type="dxa"/>
            <w:tcBorders>
              <w:top w:val="single" w:sz="4" w:space="0" w:color="auto"/>
              <w:left w:val="single" w:sz="4" w:space="0" w:color="auto"/>
              <w:bottom w:val="single" w:sz="4" w:space="0" w:color="auto"/>
              <w:right w:val="single" w:sz="4" w:space="0" w:color="auto"/>
            </w:tcBorders>
            <w:noWrap/>
            <w:vAlign w:val="bottom"/>
            <w:hideMark/>
          </w:tcPr>
          <w:p w14:paraId="75B344D9" w14:textId="77777777" w:rsidR="005C425E" w:rsidRDefault="005C425E" w:rsidP="000F1C75">
            <w:pPr>
              <w:spacing w:after="0" w:line="240" w:lineRule="auto"/>
              <w:jc w:val="right"/>
              <w:rPr>
                <w:rFonts w:ascii="Calibri" w:eastAsia="Times New Roman" w:hAnsi="Calibri" w:cs="Calibri"/>
                <w:color w:val="000000"/>
                <w:sz w:val="18"/>
                <w:lang w:eastAsia="cs-CZ"/>
              </w:rPr>
            </w:pPr>
            <w:r>
              <w:rPr>
                <w:rFonts w:ascii="Calibri" w:eastAsia="Times New Roman" w:hAnsi="Calibri" w:cs="Calibri"/>
                <w:color w:val="000000"/>
                <w:sz w:val="18"/>
                <w:lang w:eastAsia="cs-CZ"/>
              </w:rPr>
              <w:t>11</w:t>
            </w:r>
          </w:p>
        </w:tc>
      </w:tr>
    </w:tbl>
    <w:p w14:paraId="39B1B262" w14:textId="77777777" w:rsidR="005C425E" w:rsidRDefault="005C425E" w:rsidP="005C425E">
      <w:pPr>
        <w:spacing w:after="0"/>
        <w:rPr>
          <w:i/>
        </w:rPr>
      </w:pPr>
      <w:r>
        <w:rPr>
          <w:i/>
        </w:rPr>
        <w:t>Zdroj: Vlastní šetření</w:t>
      </w:r>
    </w:p>
    <w:p w14:paraId="71151D69" w14:textId="77777777" w:rsidR="005C425E" w:rsidRDefault="005C425E" w:rsidP="005C425E">
      <w:pPr>
        <w:rPr>
          <w:i/>
        </w:rPr>
      </w:pPr>
      <w:r>
        <w:rPr>
          <w:i/>
        </w:rPr>
        <w:t>Pozn.: počet změn je z období srpen 2018 až říjen 2019</w:t>
      </w:r>
    </w:p>
    <w:p w14:paraId="52162DBE" w14:textId="77777777" w:rsidR="005C425E" w:rsidRDefault="005C425E" w:rsidP="005C425E">
      <w:r>
        <w:t>Na základě výše uvedených dat lze konstatovat, že i přes významný počet změn v některých měsících (říjen 2018 a červen 2019), lze očekávat postupný pokles počtu změn a průběžnou stabilizaci OM.</w:t>
      </w:r>
    </w:p>
    <w:p w14:paraId="37E5C1BE" w14:textId="77777777" w:rsidR="005C425E" w:rsidRDefault="005C425E" w:rsidP="005C425E">
      <w:r>
        <w:t xml:space="preserve">Významně se liší počet změn OM na základě rozdělení mezi evaluovanými procesy (tj. S2A, S2B, S3A, S4, S5, S6A, IP2, IP3) a ostatními procesy. Podíl změn, které spadají do obsahu evaluace, je pouze </w:t>
      </w:r>
      <w:r w:rsidR="005C578E">
        <w:br/>
      </w:r>
      <w:r>
        <w:t>8,2 %, konkrétně mezi výše vypsané procesy spadá 7 z 85 změn.</w:t>
      </w:r>
    </w:p>
    <w:p w14:paraId="04466933" w14:textId="77777777" w:rsidR="005C425E" w:rsidRDefault="005C425E" w:rsidP="005C425E">
      <w:r>
        <w:t>Ze zmíněných sedmi změn pocházejí čtyři z roku 2018 (z toho tři z listopadu) a zbylé tři z první poloviny roku 209 (viz tabulka níže).</w:t>
      </w:r>
    </w:p>
    <w:p w14:paraId="1C3E6E78" w14:textId="7C75A9E9" w:rsidR="005C425E" w:rsidRDefault="005C425E" w:rsidP="005C425E">
      <w:pPr>
        <w:pStyle w:val="Titulek"/>
      </w:pPr>
      <w:bookmarkStart w:id="9" w:name="_Toc45657557"/>
      <w:bookmarkStart w:id="10" w:name="_Toc50456735"/>
      <w:r>
        <w:t xml:space="preserve">Tabulka </w:t>
      </w:r>
      <w:r w:rsidR="00C050DB">
        <w:fldChar w:fldCharType="begin"/>
      </w:r>
      <w:r w:rsidR="00C050DB">
        <w:instrText xml:space="preserve"> SEQ Tabulka \* ARABIC </w:instrText>
      </w:r>
      <w:r w:rsidR="00C050DB">
        <w:fldChar w:fldCharType="separate"/>
      </w:r>
      <w:r w:rsidR="00E96F43">
        <w:rPr>
          <w:noProof/>
        </w:rPr>
        <w:t>2</w:t>
      </w:r>
      <w:r w:rsidR="00C050DB">
        <w:rPr>
          <w:noProof/>
        </w:rPr>
        <w:fldChar w:fldCharType="end"/>
      </w:r>
      <w:r>
        <w:t>: Přehled změn evaluovaných procesů</w:t>
      </w:r>
      <w:bookmarkEnd w:id="9"/>
      <w:bookmarkEnd w:id="10"/>
    </w:p>
    <w:tbl>
      <w:tblPr>
        <w:tblW w:w="5000" w:type="pct"/>
        <w:tblCellMar>
          <w:left w:w="70" w:type="dxa"/>
          <w:right w:w="70" w:type="dxa"/>
        </w:tblCellMar>
        <w:tblLook w:val="04A0" w:firstRow="1" w:lastRow="0" w:firstColumn="1" w:lastColumn="0" w:noHBand="0" w:noVBand="1"/>
      </w:tblPr>
      <w:tblGrid>
        <w:gridCol w:w="493"/>
        <w:gridCol w:w="1043"/>
        <w:gridCol w:w="2376"/>
        <w:gridCol w:w="1960"/>
        <w:gridCol w:w="3190"/>
      </w:tblGrid>
      <w:tr w:rsidR="005C425E" w14:paraId="2B496F61" w14:textId="77777777" w:rsidTr="000F1C75">
        <w:trPr>
          <w:trHeight w:val="300"/>
          <w:tblHeader/>
        </w:trPr>
        <w:tc>
          <w:tcPr>
            <w:tcW w:w="26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220BA20" w14:textId="77777777" w:rsidR="005C425E" w:rsidRDefault="005C425E" w:rsidP="000F1C75">
            <w:pPr>
              <w:spacing w:after="0" w:line="240" w:lineRule="auto"/>
              <w:jc w:val="center"/>
              <w:rPr>
                <w:rFonts w:ascii="Calibri" w:eastAsia="Times New Roman" w:hAnsi="Calibri" w:cs="Calibri"/>
                <w:b/>
                <w:color w:val="000000"/>
                <w:sz w:val="18"/>
                <w:lang w:eastAsia="cs-CZ"/>
              </w:rPr>
            </w:pPr>
            <w:r>
              <w:rPr>
                <w:rFonts w:ascii="Calibri" w:eastAsia="Times New Roman" w:hAnsi="Calibri" w:cs="Calibri"/>
                <w:b/>
                <w:color w:val="000000"/>
                <w:sz w:val="18"/>
                <w:lang w:eastAsia="cs-CZ"/>
              </w:rPr>
              <w:t>Číslo</w:t>
            </w:r>
          </w:p>
        </w:tc>
        <w:tc>
          <w:tcPr>
            <w:tcW w:w="56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C9130DE" w14:textId="77777777" w:rsidR="005C425E" w:rsidRDefault="005C425E" w:rsidP="000F1C75">
            <w:pPr>
              <w:spacing w:after="0" w:line="240" w:lineRule="auto"/>
              <w:jc w:val="center"/>
              <w:rPr>
                <w:rFonts w:ascii="Calibri" w:eastAsia="Times New Roman" w:hAnsi="Calibri" w:cs="Calibri"/>
                <w:b/>
                <w:color w:val="000000"/>
                <w:sz w:val="18"/>
                <w:lang w:eastAsia="cs-CZ"/>
              </w:rPr>
            </w:pPr>
            <w:r>
              <w:rPr>
                <w:rFonts w:ascii="Calibri" w:eastAsia="Times New Roman" w:hAnsi="Calibri" w:cs="Calibri"/>
                <w:b/>
                <w:color w:val="000000"/>
                <w:sz w:val="18"/>
                <w:lang w:eastAsia="cs-CZ"/>
              </w:rPr>
              <w:t>Datum</w:t>
            </w:r>
          </w:p>
        </w:tc>
        <w:tc>
          <w:tcPr>
            <w:tcW w:w="1290"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90CAD48" w14:textId="77777777" w:rsidR="005C425E" w:rsidRDefault="005C425E" w:rsidP="000F1C75">
            <w:pPr>
              <w:spacing w:after="0" w:line="240" w:lineRule="auto"/>
              <w:jc w:val="center"/>
              <w:rPr>
                <w:rFonts w:ascii="Calibri" w:eastAsia="Times New Roman" w:hAnsi="Calibri" w:cs="Calibri"/>
                <w:b/>
                <w:color w:val="000000"/>
                <w:sz w:val="18"/>
                <w:lang w:eastAsia="cs-CZ"/>
              </w:rPr>
            </w:pPr>
            <w:r>
              <w:rPr>
                <w:rFonts w:ascii="Calibri" w:eastAsia="Times New Roman" w:hAnsi="Calibri" w:cs="Calibri"/>
                <w:b/>
                <w:color w:val="000000"/>
                <w:sz w:val="18"/>
                <w:lang w:eastAsia="cs-CZ"/>
              </w:rPr>
              <w:t>Číslo jednací</w:t>
            </w:r>
          </w:p>
        </w:tc>
        <w:tc>
          <w:tcPr>
            <w:tcW w:w="1068"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6608DEF" w14:textId="77777777" w:rsidR="005C425E" w:rsidRDefault="005C425E" w:rsidP="000F1C75">
            <w:pPr>
              <w:spacing w:after="0" w:line="240" w:lineRule="auto"/>
              <w:jc w:val="center"/>
              <w:rPr>
                <w:rFonts w:ascii="Calibri" w:eastAsia="Times New Roman" w:hAnsi="Calibri" w:cs="Calibri"/>
                <w:b/>
                <w:color w:val="000000"/>
                <w:sz w:val="18"/>
                <w:lang w:eastAsia="cs-CZ"/>
              </w:rPr>
            </w:pPr>
            <w:r>
              <w:rPr>
                <w:rFonts w:ascii="Calibri" w:eastAsia="Times New Roman" w:hAnsi="Calibri" w:cs="Calibri"/>
                <w:b/>
                <w:color w:val="000000"/>
                <w:sz w:val="18"/>
                <w:lang w:eastAsia="cs-CZ"/>
              </w:rPr>
              <w:t>Vypracoval</w:t>
            </w:r>
          </w:p>
        </w:tc>
        <w:tc>
          <w:tcPr>
            <w:tcW w:w="1807"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131B715" w14:textId="77777777" w:rsidR="005C425E" w:rsidRDefault="005C425E" w:rsidP="000F1C75">
            <w:pPr>
              <w:spacing w:after="0" w:line="240" w:lineRule="auto"/>
              <w:jc w:val="center"/>
              <w:rPr>
                <w:rFonts w:ascii="Calibri" w:eastAsia="Times New Roman" w:hAnsi="Calibri" w:cs="Calibri"/>
                <w:b/>
                <w:color w:val="000000"/>
                <w:sz w:val="18"/>
                <w:lang w:eastAsia="cs-CZ"/>
              </w:rPr>
            </w:pPr>
            <w:r>
              <w:rPr>
                <w:rFonts w:ascii="Calibri" w:eastAsia="Times New Roman" w:hAnsi="Calibri" w:cs="Calibri"/>
                <w:b/>
                <w:color w:val="000000"/>
                <w:sz w:val="18"/>
                <w:lang w:eastAsia="cs-CZ"/>
              </w:rPr>
              <w:t>Název</w:t>
            </w:r>
          </w:p>
        </w:tc>
      </w:tr>
      <w:tr w:rsidR="005C425E" w14:paraId="31DA6741" w14:textId="77777777" w:rsidTr="000F1C75">
        <w:trPr>
          <w:trHeight w:val="1200"/>
        </w:trPr>
        <w:tc>
          <w:tcPr>
            <w:tcW w:w="269" w:type="pct"/>
            <w:tcBorders>
              <w:top w:val="nil"/>
              <w:left w:val="single" w:sz="4" w:space="0" w:color="auto"/>
              <w:bottom w:val="single" w:sz="4" w:space="0" w:color="auto"/>
              <w:right w:val="single" w:sz="4" w:space="0" w:color="auto"/>
            </w:tcBorders>
            <w:vAlign w:val="center"/>
            <w:hideMark/>
          </w:tcPr>
          <w:p w14:paraId="3B42B268" w14:textId="77777777" w:rsidR="005C425E" w:rsidRDefault="005C425E" w:rsidP="000F1C75">
            <w:pPr>
              <w:spacing w:after="0" w:line="240" w:lineRule="auto"/>
              <w:jc w:val="center"/>
              <w:rPr>
                <w:rFonts w:ascii="Calibri" w:eastAsia="Times New Roman" w:hAnsi="Calibri" w:cs="Calibri"/>
                <w:color w:val="000000"/>
                <w:sz w:val="18"/>
                <w:lang w:eastAsia="cs-CZ"/>
              </w:rPr>
            </w:pPr>
            <w:r>
              <w:rPr>
                <w:rFonts w:ascii="Calibri" w:eastAsia="Times New Roman" w:hAnsi="Calibri" w:cs="Calibri"/>
                <w:color w:val="000000"/>
                <w:sz w:val="18"/>
                <w:lang w:eastAsia="cs-CZ"/>
              </w:rPr>
              <w:t>1</w:t>
            </w:r>
          </w:p>
        </w:tc>
        <w:tc>
          <w:tcPr>
            <w:tcW w:w="566" w:type="pct"/>
            <w:tcBorders>
              <w:top w:val="nil"/>
              <w:left w:val="single" w:sz="4" w:space="0" w:color="auto"/>
              <w:bottom w:val="single" w:sz="4" w:space="0" w:color="auto"/>
              <w:right w:val="single" w:sz="4" w:space="0" w:color="auto"/>
            </w:tcBorders>
            <w:noWrap/>
            <w:vAlign w:val="center"/>
            <w:hideMark/>
          </w:tcPr>
          <w:p w14:paraId="08C31547" w14:textId="77777777" w:rsidR="005C425E" w:rsidRDefault="005C425E" w:rsidP="000F1C75">
            <w:pPr>
              <w:spacing w:after="0" w:line="240" w:lineRule="auto"/>
              <w:jc w:val="left"/>
              <w:rPr>
                <w:rFonts w:ascii="Calibri" w:eastAsia="Times New Roman" w:hAnsi="Calibri" w:cs="Calibri"/>
                <w:color w:val="000000"/>
                <w:sz w:val="18"/>
                <w:lang w:eastAsia="cs-CZ"/>
              </w:rPr>
            </w:pPr>
            <w:r>
              <w:rPr>
                <w:rFonts w:ascii="Calibri" w:eastAsia="Times New Roman" w:hAnsi="Calibri" w:cs="Calibri"/>
                <w:color w:val="000000"/>
                <w:sz w:val="18"/>
                <w:lang w:eastAsia="cs-CZ"/>
              </w:rPr>
              <w:t>19. 10. 2018</w:t>
            </w:r>
          </w:p>
        </w:tc>
        <w:tc>
          <w:tcPr>
            <w:tcW w:w="1290" w:type="pct"/>
            <w:tcBorders>
              <w:top w:val="nil"/>
              <w:left w:val="nil"/>
              <w:bottom w:val="single" w:sz="4" w:space="0" w:color="auto"/>
              <w:right w:val="single" w:sz="4" w:space="0" w:color="auto"/>
            </w:tcBorders>
            <w:noWrap/>
            <w:vAlign w:val="center"/>
            <w:hideMark/>
          </w:tcPr>
          <w:p w14:paraId="3F1401EF" w14:textId="77777777" w:rsidR="005C425E" w:rsidRDefault="005C425E" w:rsidP="000F1C75">
            <w:pPr>
              <w:spacing w:after="0" w:line="240" w:lineRule="auto"/>
              <w:jc w:val="left"/>
              <w:rPr>
                <w:rFonts w:ascii="Calibri" w:eastAsia="Times New Roman" w:hAnsi="Calibri" w:cs="Calibri"/>
                <w:color w:val="000000"/>
                <w:sz w:val="18"/>
                <w:lang w:eastAsia="cs-CZ"/>
              </w:rPr>
            </w:pPr>
            <w:r>
              <w:rPr>
                <w:rFonts w:ascii="Calibri" w:eastAsia="Times New Roman" w:hAnsi="Calibri" w:cs="Calibri"/>
                <w:color w:val="000000"/>
                <w:sz w:val="18"/>
                <w:lang w:eastAsia="cs-CZ"/>
              </w:rPr>
              <w:t>MPO 76300/18/61010/61000</w:t>
            </w:r>
          </w:p>
        </w:tc>
        <w:tc>
          <w:tcPr>
            <w:tcW w:w="1068" w:type="pct"/>
            <w:tcBorders>
              <w:top w:val="nil"/>
              <w:left w:val="nil"/>
              <w:bottom w:val="single" w:sz="4" w:space="0" w:color="auto"/>
              <w:right w:val="single" w:sz="4" w:space="0" w:color="auto"/>
            </w:tcBorders>
            <w:noWrap/>
            <w:vAlign w:val="center"/>
            <w:hideMark/>
          </w:tcPr>
          <w:p w14:paraId="7D9B100D" w14:textId="77777777" w:rsidR="005C425E" w:rsidRDefault="005C425E" w:rsidP="000F1C75">
            <w:pPr>
              <w:spacing w:after="0" w:line="240" w:lineRule="auto"/>
              <w:jc w:val="left"/>
              <w:rPr>
                <w:rFonts w:ascii="Calibri" w:eastAsia="Times New Roman" w:hAnsi="Calibri" w:cs="Calibri"/>
                <w:color w:val="000000"/>
                <w:sz w:val="18"/>
                <w:lang w:eastAsia="cs-CZ"/>
              </w:rPr>
            </w:pPr>
            <w:r>
              <w:rPr>
                <w:rFonts w:ascii="Calibri" w:eastAsia="Times New Roman" w:hAnsi="Calibri" w:cs="Calibri"/>
                <w:color w:val="000000"/>
                <w:sz w:val="18"/>
                <w:lang w:eastAsia="cs-CZ"/>
              </w:rPr>
              <w:t>Mgr. Kateřina Cenkerová</w:t>
            </w:r>
          </w:p>
        </w:tc>
        <w:tc>
          <w:tcPr>
            <w:tcW w:w="1807" w:type="pct"/>
            <w:tcBorders>
              <w:top w:val="nil"/>
              <w:left w:val="nil"/>
              <w:bottom w:val="single" w:sz="4" w:space="0" w:color="auto"/>
              <w:right w:val="single" w:sz="4" w:space="0" w:color="auto"/>
            </w:tcBorders>
            <w:vAlign w:val="center"/>
            <w:hideMark/>
          </w:tcPr>
          <w:p w14:paraId="40C3C7F2" w14:textId="77777777" w:rsidR="005C425E" w:rsidRDefault="005C425E" w:rsidP="000F1C75">
            <w:pPr>
              <w:spacing w:after="0" w:line="240" w:lineRule="auto"/>
              <w:jc w:val="left"/>
              <w:rPr>
                <w:rFonts w:ascii="Calibri" w:eastAsia="Times New Roman" w:hAnsi="Calibri" w:cs="Calibri"/>
                <w:color w:val="000000"/>
                <w:sz w:val="18"/>
                <w:lang w:eastAsia="cs-CZ"/>
              </w:rPr>
            </w:pPr>
            <w:r>
              <w:rPr>
                <w:rFonts w:ascii="Calibri" w:eastAsia="Times New Roman" w:hAnsi="Calibri" w:cs="Calibri"/>
                <w:color w:val="000000"/>
                <w:sz w:val="18"/>
                <w:lang w:eastAsia="cs-CZ"/>
              </w:rPr>
              <w:t>Aktualizace kapitol a příloh OP OP PIK 5.1 (IP3 Technická pomoc API a IP4 IP CzechInvest/CzechTrade a zrušení přílohy IP3_3_F _Prohlášení o schválení a IP4_2_F_Prohlášení o schválení)</w:t>
            </w:r>
          </w:p>
        </w:tc>
      </w:tr>
      <w:tr w:rsidR="005C425E" w14:paraId="19EA1002" w14:textId="77777777" w:rsidTr="000F1C75">
        <w:trPr>
          <w:trHeight w:val="300"/>
        </w:trPr>
        <w:tc>
          <w:tcPr>
            <w:tcW w:w="269" w:type="pct"/>
            <w:tcBorders>
              <w:top w:val="nil"/>
              <w:left w:val="single" w:sz="4" w:space="0" w:color="auto"/>
              <w:bottom w:val="single" w:sz="4" w:space="0" w:color="auto"/>
              <w:right w:val="single" w:sz="4" w:space="0" w:color="auto"/>
            </w:tcBorders>
            <w:vAlign w:val="center"/>
            <w:hideMark/>
          </w:tcPr>
          <w:p w14:paraId="22B80860" w14:textId="77777777" w:rsidR="005C425E" w:rsidRDefault="005C425E" w:rsidP="000F1C75">
            <w:pPr>
              <w:spacing w:after="0" w:line="240" w:lineRule="auto"/>
              <w:jc w:val="center"/>
              <w:rPr>
                <w:rFonts w:ascii="Calibri" w:eastAsia="Times New Roman" w:hAnsi="Calibri" w:cs="Calibri"/>
                <w:color w:val="000000"/>
                <w:sz w:val="18"/>
                <w:lang w:eastAsia="cs-CZ"/>
              </w:rPr>
            </w:pPr>
            <w:r>
              <w:rPr>
                <w:rFonts w:ascii="Calibri" w:eastAsia="Times New Roman" w:hAnsi="Calibri" w:cs="Calibri"/>
                <w:color w:val="000000"/>
                <w:sz w:val="18"/>
                <w:lang w:eastAsia="cs-CZ"/>
              </w:rPr>
              <w:t>2</w:t>
            </w:r>
          </w:p>
        </w:tc>
        <w:tc>
          <w:tcPr>
            <w:tcW w:w="566" w:type="pct"/>
            <w:tcBorders>
              <w:top w:val="nil"/>
              <w:left w:val="single" w:sz="4" w:space="0" w:color="auto"/>
              <w:bottom w:val="single" w:sz="4" w:space="0" w:color="auto"/>
              <w:right w:val="single" w:sz="4" w:space="0" w:color="auto"/>
            </w:tcBorders>
            <w:noWrap/>
            <w:vAlign w:val="center"/>
            <w:hideMark/>
          </w:tcPr>
          <w:p w14:paraId="09260399" w14:textId="77777777" w:rsidR="005C425E" w:rsidRDefault="005C425E" w:rsidP="000F1C75">
            <w:pPr>
              <w:spacing w:after="0" w:line="240" w:lineRule="auto"/>
              <w:jc w:val="left"/>
              <w:rPr>
                <w:rFonts w:ascii="Calibri" w:eastAsia="Times New Roman" w:hAnsi="Calibri" w:cs="Calibri"/>
                <w:color w:val="000000"/>
                <w:sz w:val="18"/>
                <w:lang w:eastAsia="cs-CZ"/>
              </w:rPr>
            </w:pPr>
            <w:r>
              <w:rPr>
                <w:rFonts w:ascii="Calibri" w:eastAsia="Times New Roman" w:hAnsi="Calibri" w:cs="Calibri"/>
                <w:color w:val="000000"/>
                <w:sz w:val="18"/>
                <w:lang w:eastAsia="cs-CZ"/>
              </w:rPr>
              <w:t>06. 11. 2018</w:t>
            </w:r>
          </w:p>
        </w:tc>
        <w:tc>
          <w:tcPr>
            <w:tcW w:w="1290" w:type="pct"/>
            <w:tcBorders>
              <w:top w:val="nil"/>
              <w:left w:val="nil"/>
              <w:bottom w:val="single" w:sz="4" w:space="0" w:color="auto"/>
              <w:right w:val="single" w:sz="4" w:space="0" w:color="auto"/>
            </w:tcBorders>
            <w:noWrap/>
            <w:vAlign w:val="center"/>
            <w:hideMark/>
          </w:tcPr>
          <w:p w14:paraId="1264CB51" w14:textId="77777777" w:rsidR="005C425E" w:rsidRDefault="005C425E" w:rsidP="000F1C75">
            <w:pPr>
              <w:spacing w:after="0" w:line="240" w:lineRule="auto"/>
              <w:jc w:val="left"/>
              <w:rPr>
                <w:rFonts w:ascii="Calibri" w:eastAsia="Times New Roman" w:hAnsi="Calibri" w:cs="Calibri"/>
                <w:color w:val="000000"/>
                <w:sz w:val="18"/>
                <w:lang w:eastAsia="cs-CZ"/>
              </w:rPr>
            </w:pPr>
            <w:r>
              <w:rPr>
                <w:rFonts w:ascii="Calibri" w:eastAsia="Times New Roman" w:hAnsi="Calibri" w:cs="Calibri"/>
                <w:color w:val="000000"/>
                <w:sz w:val="18"/>
                <w:lang w:eastAsia="cs-CZ"/>
              </w:rPr>
              <w:t>MPO 81004/18/61010/61000</w:t>
            </w:r>
          </w:p>
        </w:tc>
        <w:tc>
          <w:tcPr>
            <w:tcW w:w="1068" w:type="pct"/>
            <w:tcBorders>
              <w:top w:val="nil"/>
              <w:left w:val="nil"/>
              <w:bottom w:val="single" w:sz="4" w:space="0" w:color="auto"/>
              <w:right w:val="single" w:sz="4" w:space="0" w:color="auto"/>
            </w:tcBorders>
            <w:noWrap/>
            <w:vAlign w:val="center"/>
            <w:hideMark/>
          </w:tcPr>
          <w:p w14:paraId="3FD8A7E2" w14:textId="77777777" w:rsidR="005C425E" w:rsidRDefault="005C425E" w:rsidP="000F1C75">
            <w:pPr>
              <w:spacing w:after="0" w:line="240" w:lineRule="auto"/>
              <w:jc w:val="left"/>
              <w:rPr>
                <w:rFonts w:ascii="Calibri" w:eastAsia="Times New Roman" w:hAnsi="Calibri" w:cs="Calibri"/>
                <w:color w:val="000000"/>
                <w:sz w:val="18"/>
                <w:lang w:eastAsia="cs-CZ"/>
              </w:rPr>
            </w:pPr>
            <w:r>
              <w:rPr>
                <w:rFonts w:ascii="Calibri" w:eastAsia="Times New Roman" w:hAnsi="Calibri" w:cs="Calibri"/>
                <w:color w:val="000000"/>
                <w:sz w:val="18"/>
                <w:lang w:eastAsia="cs-CZ"/>
              </w:rPr>
              <w:t>Mgr. Kateřina Cenkerová</w:t>
            </w:r>
          </w:p>
        </w:tc>
        <w:tc>
          <w:tcPr>
            <w:tcW w:w="1807" w:type="pct"/>
            <w:tcBorders>
              <w:top w:val="nil"/>
              <w:left w:val="nil"/>
              <w:bottom w:val="single" w:sz="4" w:space="0" w:color="auto"/>
              <w:right w:val="single" w:sz="4" w:space="0" w:color="auto"/>
            </w:tcBorders>
            <w:vAlign w:val="center"/>
            <w:hideMark/>
          </w:tcPr>
          <w:p w14:paraId="75AD718C" w14:textId="77777777" w:rsidR="005C425E" w:rsidRDefault="005C425E" w:rsidP="000F1C75">
            <w:pPr>
              <w:spacing w:after="0" w:line="240" w:lineRule="auto"/>
              <w:jc w:val="left"/>
              <w:rPr>
                <w:rFonts w:ascii="Calibri" w:eastAsia="Times New Roman" w:hAnsi="Calibri" w:cs="Calibri"/>
                <w:color w:val="000000"/>
                <w:sz w:val="18"/>
                <w:lang w:eastAsia="cs-CZ"/>
              </w:rPr>
            </w:pPr>
            <w:r>
              <w:rPr>
                <w:rFonts w:ascii="Calibri" w:eastAsia="Times New Roman" w:hAnsi="Calibri" w:cs="Calibri"/>
                <w:color w:val="000000"/>
                <w:sz w:val="18"/>
                <w:lang w:eastAsia="cs-CZ"/>
              </w:rPr>
              <w:t xml:space="preserve">Metodický dopis k dílčí aktualizaci v kapitole IP3 OM OP PIK 5.1 </w:t>
            </w:r>
          </w:p>
        </w:tc>
      </w:tr>
      <w:tr w:rsidR="005C425E" w14:paraId="77CF0EF9" w14:textId="77777777" w:rsidTr="000F1C75">
        <w:trPr>
          <w:trHeight w:val="900"/>
        </w:trPr>
        <w:tc>
          <w:tcPr>
            <w:tcW w:w="269" w:type="pct"/>
            <w:tcBorders>
              <w:top w:val="nil"/>
              <w:left w:val="single" w:sz="4" w:space="0" w:color="auto"/>
              <w:bottom w:val="single" w:sz="4" w:space="0" w:color="auto"/>
              <w:right w:val="single" w:sz="4" w:space="0" w:color="auto"/>
            </w:tcBorders>
            <w:vAlign w:val="center"/>
            <w:hideMark/>
          </w:tcPr>
          <w:p w14:paraId="4374D1DA" w14:textId="77777777" w:rsidR="005C425E" w:rsidRDefault="005C425E" w:rsidP="000F1C75">
            <w:pPr>
              <w:spacing w:after="0" w:line="240" w:lineRule="auto"/>
              <w:jc w:val="center"/>
              <w:rPr>
                <w:rFonts w:ascii="Calibri" w:eastAsia="Times New Roman" w:hAnsi="Calibri" w:cs="Calibri"/>
                <w:color w:val="000000"/>
                <w:sz w:val="18"/>
                <w:lang w:eastAsia="cs-CZ"/>
              </w:rPr>
            </w:pPr>
            <w:r>
              <w:rPr>
                <w:rFonts w:ascii="Calibri" w:eastAsia="Times New Roman" w:hAnsi="Calibri" w:cs="Calibri"/>
                <w:color w:val="000000"/>
                <w:sz w:val="18"/>
                <w:lang w:eastAsia="cs-CZ"/>
              </w:rPr>
              <w:t>3</w:t>
            </w:r>
          </w:p>
        </w:tc>
        <w:tc>
          <w:tcPr>
            <w:tcW w:w="566" w:type="pct"/>
            <w:tcBorders>
              <w:top w:val="nil"/>
              <w:left w:val="single" w:sz="4" w:space="0" w:color="auto"/>
              <w:bottom w:val="single" w:sz="4" w:space="0" w:color="auto"/>
              <w:right w:val="single" w:sz="4" w:space="0" w:color="auto"/>
            </w:tcBorders>
            <w:noWrap/>
            <w:vAlign w:val="center"/>
            <w:hideMark/>
          </w:tcPr>
          <w:p w14:paraId="73A369B7" w14:textId="77777777" w:rsidR="005C425E" w:rsidRDefault="005C425E" w:rsidP="000F1C75">
            <w:pPr>
              <w:spacing w:after="0" w:line="240" w:lineRule="auto"/>
              <w:jc w:val="left"/>
              <w:rPr>
                <w:rFonts w:ascii="Calibri" w:eastAsia="Times New Roman" w:hAnsi="Calibri" w:cs="Calibri"/>
                <w:color w:val="000000"/>
                <w:sz w:val="18"/>
                <w:lang w:eastAsia="cs-CZ"/>
              </w:rPr>
            </w:pPr>
            <w:r>
              <w:rPr>
                <w:rFonts w:ascii="Calibri" w:eastAsia="Times New Roman" w:hAnsi="Calibri" w:cs="Calibri"/>
                <w:color w:val="000000"/>
                <w:sz w:val="18"/>
                <w:lang w:eastAsia="cs-CZ"/>
              </w:rPr>
              <w:t>12. 11. 2018</w:t>
            </w:r>
          </w:p>
        </w:tc>
        <w:tc>
          <w:tcPr>
            <w:tcW w:w="1290" w:type="pct"/>
            <w:tcBorders>
              <w:top w:val="nil"/>
              <w:left w:val="nil"/>
              <w:bottom w:val="single" w:sz="4" w:space="0" w:color="auto"/>
              <w:right w:val="single" w:sz="4" w:space="0" w:color="auto"/>
            </w:tcBorders>
            <w:noWrap/>
            <w:vAlign w:val="center"/>
            <w:hideMark/>
          </w:tcPr>
          <w:p w14:paraId="5F1B834C" w14:textId="77777777" w:rsidR="005C425E" w:rsidRDefault="005C425E" w:rsidP="000F1C75">
            <w:pPr>
              <w:spacing w:after="0" w:line="240" w:lineRule="auto"/>
              <w:jc w:val="left"/>
              <w:rPr>
                <w:rFonts w:ascii="Calibri" w:eastAsia="Times New Roman" w:hAnsi="Calibri" w:cs="Calibri"/>
                <w:color w:val="000000"/>
                <w:sz w:val="18"/>
                <w:lang w:eastAsia="cs-CZ"/>
              </w:rPr>
            </w:pPr>
            <w:r>
              <w:rPr>
                <w:rFonts w:ascii="Calibri" w:eastAsia="Times New Roman" w:hAnsi="Calibri" w:cs="Calibri"/>
                <w:color w:val="000000"/>
                <w:sz w:val="18"/>
                <w:lang w:eastAsia="cs-CZ"/>
              </w:rPr>
              <w:t>MPO 79552/18/61010/61000</w:t>
            </w:r>
          </w:p>
        </w:tc>
        <w:tc>
          <w:tcPr>
            <w:tcW w:w="1068" w:type="pct"/>
            <w:tcBorders>
              <w:top w:val="nil"/>
              <w:left w:val="nil"/>
              <w:bottom w:val="single" w:sz="4" w:space="0" w:color="auto"/>
              <w:right w:val="single" w:sz="4" w:space="0" w:color="auto"/>
            </w:tcBorders>
            <w:noWrap/>
            <w:vAlign w:val="center"/>
            <w:hideMark/>
          </w:tcPr>
          <w:p w14:paraId="3D88D127" w14:textId="77777777" w:rsidR="005C425E" w:rsidRDefault="005C425E" w:rsidP="000F1C75">
            <w:pPr>
              <w:spacing w:after="0" w:line="240" w:lineRule="auto"/>
              <w:jc w:val="left"/>
              <w:rPr>
                <w:rFonts w:ascii="Calibri" w:eastAsia="Times New Roman" w:hAnsi="Calibri" w:cs="Calibri"/>
                <w:color w:val="000000"/>
                <w:sz w:val="18"/>
                <w:lang w:eastAsia="cs-CZ"/>
              </w:rPr>
            </w:pPr>
            <w:r>
              <w:rPr>
                <w:rFonts w:ascii="Calibri" w:eastAsia="Times New Roman" w:hAnsi="Calibri" w:cs="Calibri"/>
                <w:color w:val="000000"/>
                <w:sz w:val="18"/>
                <w:lang w:eastAsia="cs-CZ"/>
              </w:rPr>
              <w:t>Mgr. Kateřina Cenkerová</w:t>
            </w:r>
          </w:p>
        </w:tc>
        <w:tc>
          <w:tcPr>
            <w:tcW w:w="1807" w:type="pct"/>
            <w:tcBorders>
              <w:top w:val="nil"/>
              <w:left w:val="nil"/>
              <w:bottom w:val="single" w:sz="4" w:space="0" w:color="auto"/>
              <w:right w:val="single" w:sz="4" w:space="0" w:color="auto"/>
            </w:tcBorders>
            <w:vAlign w:val="center"/>
            <w:hideMark/>
          </w:tcPr>
          <w:p w14:paraId="44CC9724" w14:textId="77777777" w:rsidR="005C425E" w:rsidRDefault="005C425E" w:rsidP="000F1C75">
            <w:pPr>
              <w:spacing w:after="0" w:line="240" w:lineRule="auto"/>
              <w:jc w:val="left"/>
              <w:rPr>
                <w:rFonts w:ascii="Calibri" w:eastAsia="Times New Roman" w:hAnsi="Calibri" w:cs="Calibri"/>
                <w:color w:val="000000"/>
                <w:sz w:val="18"/>
                <w:lang w:eastAsia="cs-CZ"/>
              </w:rPr>
            </w:pPr>
            <w:r>
              <w:rPr>
                <w:rFonts w:ascii="Calibri" w:eastAsia="Times New Roman" w:hAnsi="Calibri" w:cs="Calibri"/>
                <w:color w:val="000000"/>
                <w:sz w:val="18"/>
                <w:lang w:eastAsia="cs-CZ"/>
              </w:rPr>
              <w:t>Nová kontrolní otázka do KL IP2_1_KL_Kontrolní list I. stupeň věcné kontroly IP a do KL IP2_3_KL_Kontrolní list autorizace platby - IP</w:t>
            </w:r>
          </w:p>
        </w:tc>
      </w:tr>
      <w:tr w:rsidR="005C425E" w14:paraId="2D5FC984" w14:textId="77777777" w:rsidTr="000F1C75">
        <w:trPr>
          <w:trHeight w:val="600"/>
        </w:trPr>
        <w:tc>
          <w:tcPr>
            <w:tcW w:w="269" w:type="pct"/>
            <w:tcBorders>
              <w:top w:val="nil"/>
              <w:left w:val="single" w:sz="4" w:space="0" w:color="auto"/>
              <w:bottom w:val="single" w:sz="4" w:space="0" w:color="auto"/>
              <w:right w:val="single" w:sz="4" w:space="0" w:color="auto"/>
            </w:tcBorders>
            <w:vAlign w:val="center"/>
            <w:hideMark/>
          </w:tcPr>
          <w:p w14:paraId="5D7E70EC" w14:textId="77777777" w:rsidR="005C425E" w:rsidRDefault="005C425E" w:rsidP="000F1C75">
            <w:pPr>
              <w:spacing w:after="0" w:line="240" w:lineRule="auto"/>
              <w:jc w:val="center"/>
              <w:rPr>
                <w:rFonts w:ascii="Calibri" w:eastAsia="Times New Roman" w:hAnsi="Calibri" w:cs="Calibri"/>
                <w:color w:val="000000"/>
                <w:sz w:val="18"/>
                <w:lang w:eastAsia="cs-CZ"/>
              </w:rPr>
            </w:pPr>
            <w:r>
              <w:rPr>
                <w:rFonts w:ascii="Calibri" w:eastAsia="Times New Roman" w:hAnsi="Calibri" w:cs="Calibri"/>
                <w:color w:val="000000"/>
                <w:sz w:val="18"/>
                <w:lang w:eastAsia="cs-CZ"/>
              </w:rPr>
              <w:t>4</w:t>
            </w:r>
          </w:p>
        </w:tc>
        <w:tc>
          <w:tcPr>
            <w:tcW w:w="566" w:type="pct"/>
            <w:tcBorders>
              <w:top w:val="nil"/>
              <w:left w:val="single" w:sz="4" w:space="0" w:color="auto"/>
              <w:bottom w:val="single" w:sz="4" w:space="0" w:color="auto"/>
              <w:right w:val="single" w:sz="4" w:space="0" w:color="auto"/>
            </w:tcBorders>
            <w:noWrap/>
            <w:vAlign w:val="center"/>
            <w:hideMark/>
          </w:tcPr>
          <w:p w14:paraId="56BF0159" w14:textId="77777777" w:rsidR="005C425E" w:rsidRDefault="005C425E" w:rsidP="000F1C75">
            <w:pPr>
              <w:spacing w:after="0" w:line="240" w:lineRule="auto"/>
              <w:jc w:val="left"/>
              <w:rPr>
                <w:rFonts w:ascii="Calibri" w:eastAsia="Times New Roman" w:hAnsi="Calibri" w:cs="Calibri"/>
                <w:color w:val="000000"/>
                <w:sz w:val="18"/>
                <w:lang w:eastAsia="cs-CZ"/>
              </w:rPr>
            </w:pPr>
            <w:r>
              <w:rPr>
                <w:rFonts w:ascii="Calibri" w:eastAsia="Times New Roman" w:hAnsi="Calibri" w:cs="Calibri"/>
                <w:color w:val="000000"/>
                <w:sz w:val="18"/>
                <w:lang w:eastAsia="cs-CZ"/>
              </w:rPr>
              <w:t>20. 11. 2018</w:t>
            </w:r>
          </w:p>
        </w:tc>
        <w:tc>
          <w:tcPr>
            <w:tcW w:w="1290" w:type="pct"/>
            <w:tcBorders>
              <w:top w:val="nil"/>
              <w:left w:val="nil"/>
              <w:bottom w:val="single" w:sz="4" w:space="0" w:color="auto"/>
              <w:right w:val="single" w:sz="4" w:space="0" w:color="auto"/>
            </w:tcBorders>
            <w:noWrap/>
            <w:vAlign w:val="center"/>
            <w:hideMark/>
          </w:tcPr>
          <w:p w14:paraId="78A39795" w14:textId="77777777" w:rsidR="005C425E" w:rsidRDefault="005C425E" w:rsidP="000F1C75">
            <w:pPr>
              <w:spacing w:after="0" w:line="240" w:lineRule="auto"/>
              <w:jc w:val="left"/>
              <w:rPr>
                <w:rFonts w:ascii="Calibri" w:eastAsia="Times New Roman" w:hAnsi="Calibri" w:cs="Calibri"/>
                <w:color w:val="000000"/>
                <w:sz w:val="18"/>
                <w:lang w:eastAsia="cs-CZ"/>
              </w:rPr>
            </w:pPr>
            <w:r>
              <w:rPr>
                <w:rFonts w:ascii="Calibri" w:eastAsia="Times New Roman" w:hAnsi="Calibri" w:cs="Calibri"/>
                <w:color w:val="000000"/>
                <w:sz w:val="18"/>
                <w:lang w:eastAsia="cs-CZ"/>
              </w:rPr>
              <w:t>MPO 84375//18/61010/61000</w:t>
            </w:r>
          </w:p>
        </w:tc>
        <w:tc>
          <w:tcPr>
            <w:tcW w:w="1068" w:type="pct"/>
            <w:tcBorders>
              <w:top w:val="nil"/>
              <w:left w:val="nil"/>
              <w:bottom w:val="single" w:sz="4" w:space="0" w:color="auto"/>
              <w:right w:val="single" w:sz="4" w:space="0" w:color="auto"/>
            </w:tcBorders>
            <w:noWrap/>
            <w:vAlign w:val="center"/>
            <w:hideMark/>
          </w:tcPr>
          <w:p w14:paraId="36FB30AE" w14:textId="77777777" w:rsidR="005C425E" w:rsidRDefault="005C425E" w:rsidP="000F1C75">
            <w:pPr>
              <w:spacing w:after="0" w:line="240" w:lineRule="auto"/>
              <w:jc w:val="left"/>
              <w:rPr>
                <w:rFonts w:ascii="Calibri" w:eastAsia="Times New Roman" w:hAnsi="Calibri" w:cs="Calibri"/>
                <w:color w:val="000000"/>
                <w:sz w:val="18"/>
                <w:lang w:eastAsia="cs-CZ"/>
              </w:rPr>
            </w:pPr>
            <w:r>
              <w:rPr>
                <w:rFonts w:ascii="Calibri" w:eastAsia="Times New Roman" w:hAnsi="Calibri" w:cs="Calibri"/>
                <w:color w:val="000000"/>
                <w:sz w:val="18"/>
                <w:lang w:eastAsia="cs-CZ"/>
              </w:rPr>
              <w:t>Mgr. Kateřina Cenkerová</w:t>
            </w:r>
          </w:p>
        </w:tc>
        <w:tc>
          <w:tcPr>
            <w:tcW w:w="1807" w:type="pct"/>
            <w:tcBorders>
              <w:top w:val="nil"/>
              <w:left w:val="nil"/>
              <w:bottom w:val="single" w:sz="4" w:space="0" w:color="auto"/>
              <w:right w:val="single" w:sz="4" w:space="0" w:color="auto"/>
            </w:tcBorders>
            <w:vAlign w:val="center"/>
            <w:hideMark/>
          </w:tcPr>
          <w:p w14:paraId="5D875F4C" w14:textId="77777777" w:rsidR="005C425E" w:rsidRDefault="005C425E" w:rsidP="000F1C75">
            <w:pPr>
              <w:spacing w:after="0" w:line="240" w:lineRule="auto"/>
              <w:jc w:val="left"/>
              <w:rPr>
                <w:rFonts w:ascii="Calibri" w:eastAsia="Times New Roman" w:hAnsi="Calibri" w:cs="Calibri"/>
                <w:color w:val="000000"/>
                <w:sz w:val="18"/>
                <w:lang w:eastAsia="cs-CZ"/>
              </w:rPr>
            </w:pPr>
            <w:r>
              <w:rPr>
                <w:rFonts w:ascii="Calibri" w:eastAsia="Times New Roman" w:hAnsi="Calibri" w:cs="Calibri"/>
                <w:color w:val="000000"/>
                <w:sz w:val="18"/>
                <w:lang w:eastAsia="cs-CZ"/>
              </w:rPr>
              <w:t>Metodický dopis k aktualizaci bodu (24) v kapitole IP3 OM OP PIK 5.1</w:t>
            </w:r>
          </w:p>
        </w:tc>
      </w:tr>
      <w:tr w:rsidR="005C425E" w14:paraId="3318162B" w14:textId="77777777" w:rsidTr="000F1C75">
        <w:trPr>
          <w:trHeight w:val="1800"/>
        </w:trPr>
        <w:tc>
          <w:tcPr>
            <w:tcW w:w="269" w:type="pct"/>
            <w:tcBorders>
              <w:top w:val="nil"/>
              <w:left w:val="single" w:sz="4" w:space="0" w:color="auto"/>
              <w:bottom w:val="single" w:sz="4" w:space="0" w:color="auto"/>
              <w:right w:val="single" w:sz="4" w:space="0" w:color="auto"/>
            </w:tcBorders>
            <w:vAlign w:val="center"/>
            <w:hideMark/>
          </w:tcPr>
          <w:p w14:paraId="4EC29DCD" w14:textId="77777777" w:rsidR="005C425E" w:rsidRDefault="005C425E" w:rsidP="000F1C75">
            <w:pPr>
              <w:spacing w:after="0" w:line="240" w:lineRule="auto"/>
              <w:jc w:val="center"/>
              <w:rPr>
                <w:rFonts w:ascii="Calibri" w:eastAsia="Times New Roman" w:hAnsi="Calibri" w:cs="Calibri"/>
                <w:color w:val="000000"/>
                <w:sz w:val="18"/>
                <w:lang w:eastAsia="cs-CZ"/>
              </w:rPr>
            </w:pPr>
            <w:r>
              <w:rPr>
                <w:rFonts w:ascii="Calibri" w:eastAsia="Times New Roman" w:hAnsi="Calibri" w:cs="Calibri"/>
                <w:color w:val="000000"/>
                <w:sz w:val="18"/>
                <w:lang w:eastAsia="cs-CZ"/>
              </w:rPr>
              <w:t>5</w:t>
            </w:r>
          </w:p>
        </w:tc>
        <w:tc>
          <w:tcPr>
            <w:tcW w:w="566" w:type="pct"/>
            <w:tcBorders>
              <w:top w:val="nil"/>
              <w:left w:val="single" w:sz="4" w:space="0" w:color="auto"/>
              <w:bottom w:val="single" w:sz="4" w:space="0" w:color="auto"/>
              <w:right w:val="single" w:sz="4" w:space="0" w:color="auto"/>
            </w:tcBorders>
            <w:noWrap/>
            <w:vAlign w:val="center"/>
            <w:hideMark/>
          </w:tcPr>
          <w:p w14:paraId="1B2C9AF1" w14:textId="77777777" w:rsidR="005C425E" w:rsidRDefault="005C425E" w:rsidP="000F1C75">
            <w:pPr>
              <w:spacing w:after="0" w:line="240" w:lineRule="auto"/>
              <w:jc w:val="left"/>
              <w:rPr>
                <w:rFonts w:ascii="Calibri" w:eastAsia="Times New Roman" w:hAnsi="Calibri" w:cs="Calibri"/>
                <w:color w:val="000000"/>
                <w:sz w:val="18"/>
                <w:lang w:eastAsia="cs-CZ"/>
              </w:rPr>
            </w:pPr>
            <w:r>
              <w:rPr>
                <w:rFonts w:ascii="Calibri" w:eastAsia="Times New Roman" w:hAnsi="Calibri" w:cs="Calibri"/>
                <w:color w:val="000000"/>
                <w:sz w:val="18"/>
                <w:lang w:eastAsia="cs-CZ"/>
              </w:rPr>
              <w:t>19. 02. 2019</w:t>
            </w:r>
          </w:p>
        </w:tc>
        <w:tc>
          <w:tcPr>
            <w:tcW w:w="1290" w:type="pct"/>
            <w:tcBorders>
              <w:top w:val="nil"/>
              <w:left w:val="nil"/>
              <w:bottom w:val="single" w:sz="4" w:space="0" w:color="auto"/>
              <w:right w:val="single" w:sz="4" w:space="0" w:color="auto"/>
            </w:tcBorders>
            <w:noWrap/>
            <w:vAlign w:val="center"/>
            <w:hideMark/>
          </w:tcPr>
          <w:p w14:paraId="1940BE62" w14:textId="77777777" w:rsidR="005C425E" w:rsidRDefault="005C425E" w:rsidP="000F1C75">
            <w:pPr>
              <w:spacing w:after="0" w:line="240" w:lineRule="auto"/>
              <w:jc w:val="left"/>
              <w:rPr>
                <w:rFonts w:ascii="Calibri" w:eastAsia="Times New Roman" w:hAnsi="Calibri" w:cs="Calibri"/>
                <w:color w:val="000000"/>
                <w:sz w:val="18"/>
                <w:lang w:eastAsia="cs-CZ"/>
              </w:rPr>
            </w:pPr>
            <w:r>
              <w:rPr>
                <w:rFonts w:ascii="Calibri" w:eastAsia="Times New Roman" w:hAnsi="Calibri" w:cs="Calibri"/>
                <w:color w:val="000000"/>
                <w:sz w:val="18"/>
                <w:lang w:eastAsia="cs-CZ"/>
              </w:rPr>
              <w:t>MPO 11737/19/61010/61000</w:t>
            </w:r>
          </w:p>
        </w:tc>
        <w:tc>
          <w:tcPr>
            <w:tcW w:w="1068" w:type="pct"/>
            <w:tcBorders>
              <w:top w:val="nil"/>
              <w:left w:val="nil"/>
              <w:bottom w:val="single" w:sz="4" w:space="0" w:color="auto"/>
              <w:right w:val="single" w:sz="4" w:space="0" w:color="auto"/>
            </w:tcBorders>
            <w:noWrap/>
            <w:vAlign w:val="center"/>
            <w:hideMark/>
          </w:tcPr>
          <w:p w14:paraId="63D47D3B" w14:textId="77777777" w:rsidR="005C425E" w:rsidRDefault="005C425E" w:rsidP="000F1C75">
            <w:pPr>
              <w:spacing w:after="0" w:line="240" w:lineRule="auto"/>
              <w:jc w:val="left"/>
              <w:rPr>
                <w:rFonts w:ascii="Calibri" w:eastAsia="Times New Roman" w:hAnsi="Calibri" w:cs="Calibri"/>
                <w:color w:val="000000"/>
                <w:sz w:val="18"/>
                <w:lang w:eastAsia="cs-CZ"/>
              </w:rPr>
            </w:pPr>
            <w:r>
              <w:rPr>
                <w:rFonts w:ascii="Calibri" w:eastAsia="Times New Roman" w:hAnsi="Calibri" w:cs="Calibri"/>
                <w:color w:val="000000"/>
                <w:sz w:val="18"/>
                <w:lang w:eastAsia="cs-CZ"/>
              </w:rPr>
              <w:t>Mgr. Jana Nečasová</w:t>
            </w:r>
          </w:p>
        </w:tc>
        <w:tc>
          <w:tcPr>
            <w:tcW w:w="1807" w:type="pct"/>
            <w:tcBorders>
              <w:top w:val="nil"/>
              <w:left w:val="nil"/>
              <w:bottom w:val="single" w:sz="4" w:space="0" w:color="auto"/>
              <w:right w:val="single" w:sz="4" w:space="0" w:color="auto"/>
            </w:tcBorders>
            <w:vAlign w:val="center"/>
            <w:hideMark/>
          </w:tcPr>
          <w:p w14:paraId="69D53326" w14:textId="77777777" w:rsidR="005C425E" w:rsidRDefault="005C425E" w:rsidP="000F1C75">
            <w:pPr>
              <w:spacing w:after="0" w:line="240" w:lineRule="auto"/>
              <w:jc w:val="left"/>
              <w:rPr>
                <w:rFonts w:ascii="Calibri" w:eastAsia="Times New Roman" w:hAnsi="Calibri" w:cs="Calibri"/>
                <w:color w:val="000000"/>
                <w:sz w:val="18"/>
                <w:lang w:eastAsia="cs-CZ"/>
              </w:rPr>
            </w:pPr>
            <w:r>
              <w:rPr>
                <w:rFonts w:ascii="Calibri" w:eastAsia="Times New Roman" w:hAnsi="Calibri" w:cs="Calibri"/>
                <w:color w:val="000000"/>
                <w:sz w:val="18"/>
                <w:lang w:eastAsia="cs-CZ"/>
              </w:rPr>
              <w:t>Metodický dopis k aktualizaci kapitoly OM OP PIK 5.1 S5 - KOORDINACE  OP - LIDSKÉ ZDROJE a vydání nových příloh OM (S5_19_F_Závěrečná zpráva z průběhu mentoringu, S5_20_F_Hodnocení mentoringu, S5_21_F_Adaptační plán, S5_22_F_Vzorový hodnotící dotazník, S5_23_F_ Vzorový závěrečný test, S5_24_F_Prezenční listina)</w:t>
            </w:r>
          </w:p>
        </w:tc>
      </w:tr>
      <w:tr w:rsidR="005C425E" w14:paraId="7CDB319D" w14:textId="77777777" w:rsidTr="000F1C75">
        <w:trPr>
          <w:trHeight w:val="300"/>
        </w:trPr>
        <w:tc>
          <w:tcPr>
            <w:tcW w:w="269" w:type="pct"/>
            <w:tcBorders>
              <w:top w:val="nil"/>
              <w:left w:val="single" w:sz="4" w:space="0" w:color="auto"/>
              <w:bottom w:val="single" w:sz="4" w:space="0" w:color="auto"/>
              <w:right w:val="single" w:sz="4" w:space="0" w:color="auto"/>
            </w:tcBorders>
            <w:vAlign w:val="center"/>
            <w:hideMark/>
          </w:tcPr>
          <w:p w14:paraId="3E172F89" w14:textId="77777777" w:rsidR="005C425E" w:rsidRDefault="005C425E" w:rsidP="000F1C75">
            <w:pPr>
              <w:spacing w:after="0" w:line="240" w:lineRule="auto"/>
              <w:jc w:val="center"/>
              <w:rPr>
                <w:rFonts w:ascii="Calibri" w:eastAsia="Times New Roman" w:hAnsi="Calibri" w:cs="Calibri"/>
                <w:color w:val="000000"/>
                <w:sz w:val="18"/>
                <w:lang w:eastAsia="cs-CZ"/>
              </w:rPr>
            </w:pPr>
            <w:r>
              <w:rPr>
                <w:rFonts w:ascii="Calibri" w:eastAsia="Times New Roman" w:hAnsi="Calibri" w:cs="Calibri"/>
                <w:color w:val="000000"/>
                <w:sz w:val="18"/>
                <w:lang w:eastAsia="cs-CZ"/>
              </w:rPr>
              <w:t>6</w:t>
            </w:r>
          </w:p>
        </w:tc>
        <w:tc>
          <w:tcPr>
            <w:tcW w:w="566" w:type="pct"/>
            <w:tcBorders>
              <w:top w:val="nil"/>
              <w:left w:val="single" w:sz="4" w:space="0" w:color="auto"/>
              <w:bottom w:val="single" w:sz="4" w:space="0" w:color="auto"/>
              <w:right w:val="single" w:sz="4" w:space="0" w:color="auto"/>
            </w:tcBorders>
            <w:noWrap/>
            <w:vAlign w:val="center"/>
            <w:hideMark/>
          </w:tcPr>
          <w:p w14:paraId="1A87724A" w14:textId="77777777" w:rsidR="005C425E" w:rsidRDefault="005C425E" w:rsidP="000F1C75">
            <w:pPr>
              <w:spacing w:after="0" w:line="240" w:lineRule="auto"/>
              <w:jc w:val="left"/>
              <w:rPr>
                <w:rFonts w:ascii="Calibri" w:eastAsia="Times New Roman" w:hAnsi="Calibri" w:cs="Calibri"/>
                <w:color w:val="000000"/>
                <w:sz w:val="18"/>
                <w:lang w:eastAsia="cs-CZ"/>
              </w:rPr>
            </w:pPr>
            <w:r>
              <w:rPr>
                <w:rFonts w:ascii="Calibri" w:eastAsia="Times New Roman" w:hAnsi="Calibri" w:cs="Calibri"/>
                <w:color w:val="000000"/>
                <w:sz w:val="18"/>
                <w:lang w:eastAsia="cs-CZ"/>
              </w:rPr>
              <w:t>16. 04. 2019</w:t>
            </w:r>
          </w:p>
        </w:tc>
        <w:tc>
          <w:tcPr>
            <w:tcW w:w="1290" w:type="pct"/>
            <w:tcBorders>
              <w:top w:val="nil"/>
              <w:left w:val="nil"/>
              <w:bottom w:val="single" w:sz="4" w:space="0" w:color="auto"/>
              <w:right w:val="single" w:sz="4" w:space="0" w:color="auto"/>
            </w:tcBorders>
            <w:noWrap/>
            <w:vAlign w:val="center"/>
            <w:hideMark/>
          </w:tcPr>
          <w:p w14:paraId="59383A5A" w14:textId="77777777" w:rsidR="005C425E" w:rsidRDefault="005C425E" w:rsidP="000F1C75">
            <w:pPr>
              <w:spacing w:after="0" w:line="240" w:lineRule="auto"/>
              <w:jc w:val="left"/>
              <w:rPr>
                <w:rFonts w:ascii="Calibri" w:eastAsia="Times New Roman" w:hAnsi="Calibri" w:cs="Calibri"/>
                <w:color w:val="000000"/>
                <w:sz w:val="18"/>
                <w:lang w:eastAsia="cs-CZ"/>
              </w:rPr>
            </w:pPr>
            <w:r>
              <w:rPr>
                <w:rFonts w:ascii="Calibri" w:eastAsia="Times New Roman" w:hAnsi="Calibri" w:cs="Calibri"/>
                <w:color w:val="000000"/>
                <w:sz w:val="18"/>
                <w:lang w:eastAsia="cs-CZ"/>
              </w:rPr>
              <w:t>MPO 84175/18/61010</w:t>
            </w:r>
          </w:p>
        </w:tc>
        <w:tc>
          <w:tcPr>
            <w:tcW w:w="1068" w:type="pct"/>
            <w:tcBorders>
              <w:top w:val="nil"/>
              <w:left w:val="nil"/>
              <w:bottom w:val="single" w:sz="4" w:space="0" w:color="auto"/>
              <w:right w:val="single" w:sz="4" w:space="0" w:color="auto"/>
            </w:tcBorders>
            <w:noWrap/>
            <w:vAlign w:val="center"/>
            <w:hideMark/>
          </w:tcPr>
          <w:p w14:paraId="5D2374BF" w14:textId="77777777" w:rsidR="005C425E" w:rsidRDefault="005C425E" w:rsidP="000F1C75">
            <w:pPr>
              <w:spacing w:after="0" w:line="240" w:lineRule="auto"/>
              <w:jc w:val="left"/>
              <w:rPr>
                <w:rFonts w:ascii="Calibri" w:eastAsia="Times New Roman" w:hAnsi="Calibri" w:cs="Calibri"/>
                <w:color w:val="000000"/>
                <w:sz w:val="18"/>
                <w:lang w:eastAsia="cs-CZ"/>
              </w:rPr>
            </w:pPr>
            <w:r>
              <w:rPr>
                <w:rFonts w:ascii="Calibri" w:eastAsia="Times New Roman" w:hAnsi="Calibri" w:cs="Calibri"/>
                <w:color w:val="000000"/>
                <w:sz w:val="18"/>
                <w:lang w:eastAsia="cs-CZ"/>
              </w:rPr>
              <w:t>Mgr. Vladimír Doucek</w:t>
            </w:r>
          </w:p>
        </w:tc>
        <w:tc>
          <w:tcPr>
            <w:tcW w:w="1807" w:type="pct"/>
            <w:tcBorders>
              <w:top w:val="nil"/>
              <w:left w:val="nil"/>
              <w:bottom w:val="single" w:sz="4" w:space="0" w:color="auto"/>
              <w:right w:val="single" w:sz="4" w:space="0" w:color="auto"/>
            </w:tcBorders>
            <w:vAlign w:val="center"/>
            <w:hideMark/>
          </w:tcPr>
          <w:p w14:paraId="3442AC5D" w14:textId="77777777" w:rsidR="005C425E" w:rsidRDefault="005C425E" w:rsidP="000F1C75">
            <w:pPr>
              <w:spacing w:after="0" w:line="240" w:lineRule="auto"/>
              <w:jc w:val="left"/>
              <w:rPr>
                <w:rFonts w:ascii="Calibri" w:eastAsia="Times New Roman" w:hAnsi="Calibri" w:cs="Calibri"/>
                <w:color w:val="000000"/>
                <w:sz w:val="18"/>
                <w:lang w:eastAsia="cs-CZ"/>
              </w:rPr>
            </w:pPr>
            <w:r>
              <w:rPr>
                <w:rFonts w:ascii="Calibri" w:eastAsia="Times New Roman" w:hAnsi="Calibri" w:cs="Calibri"/>
                <w:color w:val="000000"/>
                <w:sz w:val="18"/>
                <w:lang w:eastAsia="cs-CZ"/>
              </w:rPr>
              <w:t>IP - vykazování způsobilých výdajů (IP2 a IP3)</w:t>
            </w:r>
          </w:p>
        </w:tc>
      </w:tr>
      <w:tr w:rsidR="005C425E" w14:paraId="3FFA8B1A" w14:textId="77777777" w:rsidTr="000F1C75">
        <w:trPr>
          <w:trHeight w:val="300"/>
        </w:trPr>
        <w:tc>
          <w:tcPr>
            <w:tcW w:w="269" w:type="pct"/>
            <w:tcBorders>
              <w:top w:val="nil"/>
              <w:left w:val="single" w:sz="4" w:space="0" w:color="auto"/>
              <w:bottom w:val="single" w:sz="4" w:space="0" w:color="auto"/>
              <w:right w:val="single" w:sz="4" w:space="0" w:color="auto"/>
            </w:tcBorders>
            <w:vAlign w:val="center"/>
            <w:hideMark/>
          </w:tcPr>
          <w:p w14:paraId="000B5F55" w14:textId="77777777" w:rsidR="005C425E" w:rsidRDefault="005C425E" w:rsidP="000F1C75">
            <w:pPr>
              <w:spacing w:after="0" w:line="240" w:lineRule="auto"/>
              <w:jc w:val="center"/>
              <w:rPr>
                <w:rFonts w:ascii="Calibri" w:eastAsia="Times New Roman" w:hAnsi="Calibri" w:cs="Calibri"/>
                <w:color w:val="000000"/>
                <w:sz w:val="18"/>
                <w:lang w:eastAsia="cs-CZ"/>
              </w:rPr>
            </w:pPr>
            <w:r>
              <w:rPr>
                <w:rFonts w:ascii="Calibri" w:eastAsia="Times New Roman" w:hAnsi="Calibri" w:cs="Calibri"/>
                <w:color w:val="000000"/>
                <w:sz w:val="18"/>
                <w:lang w:eastAsia="cs-CZ"/>
              </w:rPr>
              <w:t>7</w:t>
            </w:r>
          </w:p>
        </w:tc>
        <w:tc>
          <w:tcPr>
            <w:tcW w:w="566" w:type="pct"/>
            <w:tcBorders>
              <w:top w:val="nil"/>
              <w:left w:val="single" w:sz="4" w:space="0" w:color="auto"/>
              <w:bottom w:val="single" w:sz="4" w:space="0" w:color="auto"/>
              <w:right w:val="single" w:sz="4" w:space="0" w:color="auto"/>
            </w:tcBorders>
            <w:noWrap/>
            <w:vAlign w:val="center"/>
            <w:hideMark/>
          </w:tcPr>
          <w:p w14:paraId="4F54E6C4" w14:textId="77777777" w:rsidR="005C425E" w:rsidRDefault="005C425E" w:rsidP="000F1C75">
            <w:pPr>
              <w:spacing w:after="0" w:line="240" w:lineRule="auto"/>
              <w:jc w:val="left"/>
              <w:rPr>
                <w:rFonts w:ascii="Calibri" w:eastAsia="Times New Roman" w:hAnsi="Calibri" w:cs="Calibri"/>
                <w:color w:val="000000"/>
                <w:sz w:val="18"/>
                <w:lang w:eastAsia="cs-CZ"/>
              </w:rPr>
            </w:pPr>
            <w:r>
              <w:rPr>
                <w:rFonts w:ascii="Calibri" w:eastAsia="Times New Roman" w:hAnsi="Calibri" w:cs="Calibri"/>
                <w:color w:val="000000"/>
                <w:sz w:val="18"/>
                <w:lang w:eastAsia="cs-CZ"/>
              </w:rPr>
              <w:t>16. 04. 2019</w:t>
            </w:r>
          </w:p>
        </w:tc>
        <w:tc>
          <w:tcPr>
            <w:tcW w:w="1290" w:type="pct"/>
            <w:tcBorders>
              <w:top w:val="nil"/>
              <w:left w:val="nil"/>
              <w:bottom w:val="single" w:sz="4" w:space="0" w:color="auto"/>
              <w:right w:val="single" w:sz="4" w:space="0" w:color="auto"/>
            </w:tcBorders>
            <w:noWrap/>
            <w:vAlign w:val="center"/>
            <w:hideMark/>
          </w:tcPr>
          <w:p w14:paraId="0725D176" w14:textId="77777777" w:rsidR="005C425E" w:rsidRDefault="005C425E" w:rsidP="000F1C75">
            <w:pPr>
              <w:spacing w:after="0" w:line="240" w:lineRule="auto"/>
              <w:jc w:val="left"/>
              <w:rPr>
                <w:rFonts w:ascii="Calibri" w:eastAsia="Times New Roman" w:hAnsi="Calibri" w:cs="Calibri"/>
                <w:color w:val="000000"/>
                <w:sz w:val="18"/>
                <w:lang w:eastAsia="cs-CZ"/>
              </w:rPr>
            </w:pPr>
            <w:r>
              <w:rPr>
                <w:rFonts w:ascii="Calibri" w:eastAsia="Times New Roman" w:hAnsi="Calibri" w:cs="Calibri"/>
                <w:color w:val="000000"/>
                <w:sz w:val="18"/>
                <w:lang w:eastAsia="cs-CZ"/>
              </w:rPr>
              <w:t>MPO 84175/18/61010</w:t>
            </w:r>
          </w:p>
        </w:tc>
        <w:tc>
          <w:tcPr>
            <w:tcW w:w="1068" w:type="pct"/>
            <w:tcBorders>
              <w:top w:val="nil"/>
              <w:left w:val="nil"/>
              <w:bottom w:val="single" w:sz="4" w:space="0" w:color="auto"/>
              <w:right w:val="single" w:sz="4" w:space="0" w:color="auto"/>
            </w:tcBorders>
            <w:noWrap/>
            <w:vAlign w:val="center"/>
            <w:hideMark/>
          </w:tcPr>
          <w:p w14:paraId="50E15E54" w14:textId="77777777" w:rsidR="005C425E" w:rsidRDefault="005C425E" w:rsidP="000F1C75">
            <w:pPr>
              <w:spacing w:after="0" w:line="240" w:lineRule="auto"/>
              <w:jc w:val="left"/>
              <w:rPr>
                <w:rFonts w:ascii="Calibri" w:eastAsia="Times New Roman" w:hAnsi="Calibri" w:cs="Calibri"/>
                <w:color w:val="000000"/>
                <w:sz w:val="18"/>
                <w:lang w:eastAsia="cs-CZ"/>
              </w:rPr>
            </w:pPr>
            <w:r>
              <w:rPr>
                <w:rFonts w:ascii="Calibri" w:eastAsia="Times New Roman" w:hAnsi="Calibri" w:cs="Calibri"/>
                <w:color w:val="000000"/>
                <w:sz w:val="18"/>
                <w:lang w:eastAsia="cs-CZ"/>
              </w:rPr>
              <w:t>Mgr. Vladimír Doucek</w:t>
            </w:r>
          </w:p>
        </w:tc>
        <w:tc>
          <w:tcPr>
            <w:tcW w:w="1807" w:type="pct"/>
            <w:tcBorders>
              <w:top w:val="nil"/>
              <w:left w:val="nil"/>
              <w:bottom w:val="single" w:sz="4" w:space="0" w:color="auto"/>
              <w:right w:val="single" w:sz="4" w:space="0" w:color="auto"/>
            </w:tcBorders>
            <w:vAlign w:val="center"/>
            <w:hideMark/>
          </w:tcPr>
          <w:p w14:paraId="70EC9AC6" w14:textId="77777777" w:rsidR="005C425E" w:rsidRDefault="005C425E" w:rsidP="000F1C75">
            <w:pPr>
              <w:spacing w:after="0" w:line="240" w:lineRule="auto"/>
              <w:jc w:val="left"/>
              <w:rPr>
                <w:rFonts w:ascii="Calibri" w:eastAsia="Times New Roman" w:hAnsi="Calibri" w:cs="Calibri"/>
                <w:color w:val="000000"/>
                <w:sz w:val="18"/>
                <w:lang w:eastAsia="cs-CZ"/>
              </w:rPr>
            </w:pPr>
            <w:r>
              <w:rPr>
                <w:rFonts w:ascii="Calibri" w:eastAsia="Times New Roman" w:hAnsi="Calibri" w:cs="Calibri"/>
                <w:color w:val="000000"/>
                <w:sz w:val="18"/>
                <w:lang w:eastAsia="cs-CZ"/>
              </w:rPr>
              <w:t>Aktualizace kapitol IP2 a IP3 OM OP PIK 5.1</w:t>
            </w:r>
          </w:p>
        </w:tc>
      </w:tr>
    </w:tbl>
    <w:p w14:paraId="09B730F3" w14:textId="77777777" w:rsidR="005C425E" w:rsidRDefault="005C425E" w:rsidP="005C425E">
      <w:pPr>
        <w:rPr>
          <w:i/>
        </w:rPr>
      </w:pPr>
      <w:r>
        <w:rPr>
          <w:i/>
        </w:rPr>
        <w:t>Zdroj: Vlastní šetření dle dat MD</w:t>
      </w:r>
    </w:p>
    <w:p w14:paraId="53DD9F36" w14:textId="77777777" w:rsidR="005C425E" w:rsidRDefault="005C425E" w:rsidP="005C425E">
      <w:r>
        <w:lastRenderedPageBreak/>
        <w:t>Výše vypsané změny procesů OP PIK mají spíše doplňkový charakter. Jejich implementace nemá významné dopady na podobu jednotlivých procesů, jedná se např. i o stylistické úpravy, nebo o upřesnění určitého postupu. Jedna ze změn (č. 6) je dokonce čistě informační, jejím obsahem je odůvodnění, proč nebylo předchozí stanovisko zapracováno do textu OM.</w:t>
      </w:r>
    </w:p>
    <w:p w14:paraId="7831B8A6" w14:textId="7817E3D0" w:rsidR="005C425E" w:rsidRDefault="005C425E" w:rsidP="005C425E">
      <w:r>
        <w:t>Nicméně, u dvou procesů (č. 5 a 1) došlo v rámci změny ke zrušení, resp. vydání příloh, které jsou součástí daných procesů. V rámci změny č. 5 dále došlo k výraznému pozměnění OM. Jedná se o doplnění či přepracování procesů: Hodnocení, školení a vzdělávání; Realizace školení interními pracovníky; Adaptační proces či Adaptační proces nových zaměstnanců. U změny č. 1 dochází k tomu, že zrušené přílohy (viz tabulka výše) jsou nahrazeny formulářem v Manuálu finančního útvaru. Dopad na práci zaměstnanců (či žadatelů) má dále změna č. 2. Tato změna upravuje proces podmínkou, kdy prohlášení má být vypracováno: „pouze v případě, kdy z MS2014+ do EIS nebudou poskytnuty všechny relevantní údaje nutné k provedení platby“</w:t>
      </w:r>
      <w:r w:rsidR="005C578E">
        <w:t>.</w:t>
      </w:r>
    </w:p>
    <w:p w14:paraId="2685B6EF" w14:textId="77777777" w:rsidR="005C425E" w:rsidRDefault="005C425E" w:rsidP="005C425E">
      <w:r>
        <w:t xml:space="preserve">Jistou nespojitost změn lze vnímat v souvislosti se změnami č. 1 a 2. V rámci změny č. 1 totiž bylo upraveno znění bodu 19 u IP3, aby následně bylo téměř o měsíc později upraveno znovu v rámci změny č. 2. Z tohoto důvodu může docházet k nepřehlednému vývoji OM, což může mít vliv na výkon práce zaměstnanců implementační struktury. </w:t>
      </w:r>
    </w:p>
    <w:p w14:paraId="72C7C7C3" w14:textId="77777777" w:rsidR="005C425E" w:rsidRDefault="005C425E" w:rsidP="005C425E">
      <w:r>
        <w:t>Na druhou stranu, s přihlédnutím na konkrétní změny lze pozorovat, že změny vycházejí z podnětů samotných zaměstnanců, jak ukazuje případ změny č. 3. V rámci této změny došlo k přidání otázky do příloh, aby nedocházelo k tomu, že u faktur chybí podpisy, či jsou s pozdějším datem, než je datum vystavení faktury.</w:t>
      </w:r>
    </w:p>
    <w:p w14:paraId="754774FB" w14:textId="77777777" w:rsidR="005C425E" w:rsidRPr="005C425E" w:rsidRDefault="005C425E" w:rsidP="005C425E">
      <w:pPr>
        <w:rPr>
          <w:lang w:val="fr-FR" w:eastAsia="cs-CZ"/>
        </w:rPr>
      </w:pPr>
      <w:r>
        <w:t>Metodické prostředí TP OP PIK bylo ověřováno s vybranými klíčovými zaměstnanci implementační struktury prostřednictvím písemného i ústního dotazování (za využití vzdálené komunikace). V průběhu sběru těchto vstupů nebyly ze strany pracovníků ŘO zaznamenány žádné zásadní výhrady vůči stabilitě metodického prostředí TP OP PIK.</w:t>
      </w:r>
    </w:p>
    <w:p w14:paraId="515FA5D0" w14:textId="77777777" w:rsidR="005C425E" w:rsidRDefault="005C425E" w:rsidP="00C173BC">
      <w:pPr>
        <w:pStyle w:val="Nadpis1"/>
        <w:rPr>
          <w:snapToGrid w:val="0"/>
          <w:lang w:val="fr-FR"/>
        </w:rPr>
      </w:pPr>
      <w:bookmarkStart w:id="11" w:name="_Toc50456782"/>
      <w:r>
        <w:rPr>
          <w:snapToGrid w:val="0"/>
          <w:lang w:val="fr-FR"/>
        </w:rPr>
        <w:lastRenderedPageBreak/>
        <w:t>Doplňující informace k EO 2</w:t>
      </w:r>
      <w:bookmarkEnd w:id="11"/>
    </w:p>
    <w:p w14:paraId="5D68F44D" w14:textId="77777777" w:rsidR="005C425E" w:rsidRDefault="005C425E" w:rsidP="005C425E">
      <w:pPr>
        <w:pStyle w:val="Nadpis6"/>
      </w:pPr>
      <w:r>
        <w:t xml:space="preserve">Zpracování procesní mapy řízení TP OP PIK ve formě procesních diagramů </w:t>
      </w:r>
    </w:p>
    <w:p w14:paraId="1E7122B7" w14:textId="77777777" w:rsidR="005C425E" w:rsidRDefault="005C425E" w:rsidP="005C425E">
      <w:pPr>
        <w:rPr>
          <w:lang w:eastAsia="cs-CZ"/>
        </w:rPr>
      </w:pPr>
      <w:r>
        <w:rPr>
          <w:lang w:eastAsia="cs-CZ"/>
        </w:rPr>
        <w:t>Diagramy jednotlivých procesů, včetně standardizovaných informací a údajů k průběhu procesů jsou zpracovány v Příloze č.1. Prostřednictvím písemného i telefonického dotazování byly rekonstruovány reálné průběhy jednotlivých (pod)procesů tam, kde dochází k odchylkám. Předepsaný model a jeho reálný průběh je uveden vždy na stejné kartě tak, aby bylo možné tyto údaje konfrontovat a analyzovat.</w:t>
      </w:r>
    </w:p>
    <w:p w14:paraId="754D79CE" w14:textId="77777777" w:rsidR="005C425E" w:rsidRDefault="005C425E" w:rsidP="005C425E">
      <w:pPr>
        <w:rPr>
          <w:lang w:eastAsia="cs-CZ"/>
        </w:rPr>
      </w:pPr>
    </w:p>
    <w:p w14:paraId="3846BDEF" w14:textId="478B9188" w:rsidR="005C425E" w:rsidRDefault="005C425E" w:rsidP="005C425E">
      <w:pPr>
        <w:pStyle w:val="Nadpis6"/>
      </w:pPr>
      <w:r>
        <w:t>Analýza odchylek reálné implementace TP OP PIK od nastaveného metodického prostředí</w:t>
      </w:r>
    </w:p>
    <w:p w14:paraId="0CF15B76" w14:textId="77777777" w:rsidR="005C425E" w:rsidRDefault="005C425E" w:rsidP="005C425E">
      <w:pPr>
        <w:rPr>
          <w:lang w:eastAsia="cs-CZ"/>
        </w:rPr>
      </w:pPr>
    </w:p>
    <w:p w14:paraId="224E64FB" w14:textId="77777777" w:rsidR="005C425E" w:rsidRPr="006723AC" w:rsidRDefault="005C425E" w:rsidP="005C425E">
      <w:pPr>
        <w:rPr>
          <w:b/>
          <w:bCs/>
        </w:rPr>
      </w:pPr>
      <w:r w:rsidRPr="006723AC">
        <w:rPr>
          <w:b/>
          <w:bCs/>
        </w:rPr>
        <w:t>Proces S2A</w:t>
      </w:r>
      <w:r w:rsidR="005C578E">
        <w:rPr>
          <w:b/>
          <w:bCs/>
        </w:rPr>
        <w:t xml:space="preserve"> </w:t>
      </w:r>
      <w:r>
        <w:rPr>
          <w:b/>
          <w:bCs/>
        </w:rPr>
        <w:t>–</w:t>
      </w:r>
      <w:r w:rsidR="005C578E">
        <w:rPr>
          <w:b/>
          <w:bCs/>
        </w:rPr>
        <w:t xml:space="preserve"> </w:t>
      </w:r>
      <w:r w:rsidRPr="006723AC">
        <w:rPr>
          <w:b/>
          <w:bCs/>
        </w:rPr>
        <w:t>Koordinace OP</w:t>
      </w:r>
      <w:r w:rsidR="005C578E">
        <w:rPr>
          <w:b/>
          <w:bCs/>
        </w:rPr>
        <w:t xml:space="preserve"> </w:t>
      </w:r>
      <w:r>
        <w:rPr>
          <w:b/>
          <w:bCs/>
        </w:rPr>
        <w:t>–</w:t>
      </w:r>
      <w:r w:rsidR="005C578E">
        <w:rPr>
          <w:b/>
          <w:bCs/>
        </w:rPr>
        <w:t xml:space="preserve"> </w:t>
      </w:r>
      <w:r w:rsidRPr="006723AC">
        <w:rPr>
          <w:b/>
          <w:bCs/>
        </w:rPr>
        <w:t>Evaluace</w:t>
      </w:r>
    </w:p>
    <w:p w14:paraId="3484C3FB" w14:textId="77777777" w:rsidR="005C425E" w:rsidRDefault="005C425E" w:rsidP="005C425E">
      <w:pPr>
        <w:rPr>
          <w:lang w:eastAsia="cs-CZ"/>
        </w:rPr>
      </w:pPr>
      <w:r>
        <w:rPr>
          <w:lang w:eastAsia="cs-CZ"/>
        </w:rPr>
        <w:t>Při analýze reálného průběhu procesu byla formulována následující zjištění:</w:t>
      </w:r>
    </w:p>
    <w:p w14:paraId="645F4302" w14:textId="77777777" w:rsidR="005C425E" w:rsidRDefault="005C425E" w:rsidP="008E4AD6">
      <w:pPr>
        <w:pStyle w:val="Odstavecseseznamem"/>
        <w:numPr>
          <w:ilvl w:val="0"/>
          <w:numId w:val="30"/>
        </w:numPr>
        <w:spacing w:after="160" w:line="259" w:lineRule="auto"/>
      </w:pPr>
      <w:r>
        <w:t xml:space="preserve">Analýza prokázala, že u většiny sub-procesů v rámci procesu S2A není </w:t>
      </w:r>
      <w:r w:rsidRPr="007C20D6">
        <w:t xml:space="preserve">jejich formální nastavení, zakotvené v OM nebo případně </w:t>
      </w:r>
      <w:r w:rsidRPr="00E45FE8">
        <w:t xml:space="preserve">v </w:t>
      </w:r>
      <w:r w:rsidRPr="007C20D6">
        <w:t xml:space="preserve">dalších metodických zdrojích, dostatečné a důležitou roli hraje neformalizovaná, „zažitá“ praxe. </w:t>
      </w:r>
      <w:r>
        <w:t xml:space="preserve">Realizace procesu se tedy neodchylují </w:t>
      </w:r>
      <w:r w:rsidR="0008105F">
        <w:br/>
      </w:r>
      <w:r>
        <w:t>od metodik a ani nedochází k různým výkladům nebo chybným interpretacím. Metodiky však nejsou dostatečně detailní v popisu klíčových sub-procesů.</w:t>
      </w:r>
    </w:p>
    <w:p w14:paraId="359A80DD" w14:textId="77777777" w:rsidR="005C425E" w:rsidRDefault="005C425E" w:rsidP="008E4AD6">
      <w:pPr>
        <w:pStyle w:val="Odstavecseseznamem"/>
        <w:numPr>
          <w:ilvl w:val="0"/>
          <w:numId w:val="30"/>
        </w:numPr>
        <w:spacing w:after="160" w:line="259" w:lineRule="auto"/>
      </w:pPr>
      <w:r>
        <w:t xml:space="preserve">OM dostatečně zpracovává proces vzniku (sestavení, schválení) Evaluačního plánu OP PIK. </w:t>
      </w:r>
      <w:r w:rsidR="0008105F">
        <w:br/>
      </w:r>
      <w:r>
        <w:t>Při popisu jeho aktualizace však, obdobně jako v následujícím procesu S2B, popisuje spíše jen techniku aktualizace, nijak nezpracovává kroky před zahájením tohoto procesu</w:t>
      </w:r>
      <w:r w:rsidR="00D871BC">
        <w:t xml:space="preserve"> </w:t>
      </w:r>
      <w:r>
        <w:t>–</w:t>
      </w:r>
      <w:r w:rsidR="00D871BC">
        <w:t xml:space="preserve"> </w:t>
      </w:r>
      <w:r>
        <w:t>tedy co předchází potřebě aktualizovat Evaluační plán a jakým způsobem jsou ze strany RE agregovány potřebné vstupy ze strany garantů jednotlivých programů. Tento proces není formalizovaný a je tak dán spíše zažitou praxí.</w:t>
      </w:r>
    </w:p>
    <w:p w14:paraId="034E6FA9" w14:textId="505AE8B2" w:rsidR="005C425E" w:rsidRPr="001B51C6" w:rsidRDefault="005C425E" w:rsidP="008E4AD6">
      <w:pPr>
        <w:pStyle w:val="Odstavecseseznamem"/>
        <w:numPr>
          <w:ilvl w:val="0"/>
          <w:numId w:val="30"/>
        </w:numPr>
        <w:spacing w:after="160" w:line="259" w:lineRule="auto"/>
      </w:pPr>
      <w:r>
        <w:t>Klíčovým procesem</w:t>
      </w:r>
      <w:r w:rsidR="00D871BC">
        <w:t>,</w:t>
      </w:r>
      <w:r>
        <w:t xml:space="preserve"> který, dle vyjádření pracovníků ŘO, nejvíce zpomaluje procesy související s koordinací evaluace a obecně jejich efektivitu, je zadávání veřejných zakázek. OM v tomto smyslu odkazuje na několik dalších metodických zdrojů, které řídí procesy zadávání veřejných zakázek. Klíčovým úzkým místem procesu je skutečnost, že proces zadá</w:t>
      </w:r>
      <w:r w:rsidR="008A09C3">
        <w:t>vá</w:t>
      </w:r>
      <w:r>
        <w:t>ní veřejné zakázky podléhá několika stupňům kontrol ze strany dvou odlišných oddělení MPO (jejichž kontroly nejsou vzájemně koordinovány). To je způsobeno skutečností, že při zadávání veřejných zakázek je nutné postupovat podle závazných metodických pokynů OP (Pravidla pro výběr dodavatelů</w:t>
      </w:r>
      <w:r w:rsidR="008A09C3">
        <w:t xml:space="preserve"> </w:t>
      </w:r>
      <w:r>
        <w:t>–</w:t>
      </w:r>
      <w:r w:rsidR="008A09C3">
        <w:t xml:space="preserve"> </w:t>
      </w:r>
      <w:r>
        <w:t>u IP), metodických pokynů NOK platných pro všechny ŘO (Metodický pokyn pro oblast zadávání zakázek) a zároveň také s interními metodikami MPO relevantními pro obecné zadávání veřejných zakázek ze strany MPO. Tyto procesy (zadávání veřejných zakázek v kontextu ŘO OP PIK a obecná pravidla pro zadávání veřejných zakázek MPO) nejsou propojen</w:t>
      </w:r>
      <w:r w:rsidR="008A09C3">
        <w:t xml:space="preserve">y </w:t>
      </w:r>
      <w:r>
        <w:t>–</w:t>
      </w:r>
      <w:r w:rsidR="008A09C3">
        <w:t xml:space="preserve"> </w:t>
      </w:r>
      <w:r>
        <w:t>procesně ani institucionálně.</w:t>
      </w:r>
    </w:p>
    <w:p w14:paraId="731E63E8" w14:textId="2252E4AF" w:rsidR="005C425E" w:rsidRDefault="005C425E" w:rsidP="008E4AD6">
      <w:pPr>
        <w:pStyle w:val="Odstavecseseznamem"/>
        <w:numPr>
          <w:ilvl w:val="0"/>
          <w:numId w:val="30"/>
        </w:numPr>
        <w:spacing w:after="160" w:line="259" w:lineRule="auto"/>
      </w:pPr>
      <w:r>
        <w:t>OM žádným způsobem nerozpracovává procesy související s evidencí plnění evaluačních doporučení. Zpracování doporučení evaluací je</w:t>
      </w:r>
      <w:r w:rsidR="008A09C3">
        <w:t xml:space="preserve"> tak</w:t>
      </w:r>
      <w:r>
        <w:t xml:space="preserve"> ze strany pracovníků ŘO považováno za formální a neefektivní. Evidence a vyhodnocování doporučení ne</w:t>
      </w:r>
      <w:r w:rsidR="008A09C3">
        <w:t>jsou</w:t>
      </w:r>
      <w:r>
        <w:t xml:space="preserve"> realizována ani neformálně. Tato skutečnost negativně ovlivňuje efektivitu procesu realizace evaluace programu jako celku. </w:t>
      </w:r>
      <w:bookmarkStart w:id="12" w:name="_Hlk46223246"/>
      <w:bookmarkEnd w:id="12"/>
      <w:r w:rsidR="00F20A0B">
        <w:t xml:space="preserve"> Je ale zároveň nutné upozornit, že tato absence vyplývá z nastavení JMP, které nepředepisuje žádnou další evidenci evaluačních doporučení nad rámec procesů popsaných v příslušné procesní mapě – metodické prostředí OP PIK je tedy v souladu </w:t>
      </w:r>
      <w:r w:rsidR="00F20A0B">
        <w:lastRenderedPageBreak/>
        <w:t>s požadavky JMP i legislativy, absence uvedeného procesu přesto limituje využitelnost informací získaných z evaluací.</w:t>
      </w:r>
    </w:p>
    <w:p w14:paraId="6FEBC05B" w14:textId="77777777" w:rsidR="005C425E" w:rsidRDefault="005C425E" w:rsidP="005C425E">
      <w:pPr>
        <w:spacing w:after="160" w:line="259" w:lineRule="auto"/>
        <w:jc w:val="left"/>
      </w:pPr>
    </w:p>
    <w:p w14:paraId="423F4464" w14:textId="77777777" w:rsidR="005C425E" w:rsidRDefault="005C425E" w:rsidP="005C425E">
      <w:pPr>
        <w:rPr>
          <w:b/>
          <w:bCs/>
        </w:rPr>
      </w:pPr>
      <w:bookmarkStart w:id="13" w:name="_Hlk46223285"/>
      <w:bookmarkStart w:id="14" w:name="OLE_LINK1"/>
      <w:r>
        <w:rPr>
          <w:b/>
          <w:bCs/>
        </w:rPr>
        <w:t>Proces S2B</w:t>
      </w:r>
      <w:r w:rsidR="008A09C3">
        <w:rPr>
          <w:b/>
          <w:bCs/>
        </w:rPr>
        <w:t xml:space="preserve"> </w:t>
      </w:r>
      <w:r>
        <w:rPr>
          <w:b/>
          <w:bCs/>
        </w:rPr>
        <w:t>–</w:t>
      </w:r>
      <w:r w:rsidR="008A09C3">
        <w:rPr>
          <w:b/>
          <w:bCs/>
        </w:rPr>
        <w:t xml:space="preserve"> </w:t>
      </w:r>
      <w:r>
        <w:rPr>
          <w:b/>
          <w:bCs/>
        </w:rPr>
        <w:t>Koordinace OP</w:t>
      </w:r>
      <w:r w:rsidR="008A09C3">
        <w:rPr>
          <w:b/>
          <w:bCs/>
        </w:rPr>
        <w:t xml:space="preserve"> </w:t>
      </w:r>
      <w:r>
        <w:rPr>
          <w:b/>
          <w:bCs/>
        </w:rPr>
        <w:t>–</w:t>
      </w:r>
      <w:r w:rsidR="008A09C3">
        <w:rPr>
          <w:b/>
          <w:bCs/>
        </w:rPr>
        <w:t xml:space="preserve"> </w:t>
      </w:r>
      <w:r>
        <w:rPr>
          <w:b/>
          <w:bCs/>
        </w:rPr>
        <w:t>Indikátory</w:t>
      </w:r>
      <w:bookmarkEnd w:id="13"/>
    </w:p>
    <w:bookmarkEnd w:id="14"/>
    <w:p w14:paraId="102F885F" w14:textId="77777777" w:rsidR="005C425E" w:rsidRDefault="005C425E" w:rsidP="008E4AD6">
      <w:pPr>
        <w:rPr>
          <w:lang w:eastAsia="cs-CZ"/>
        </w:rPr>
      </w:pPr>
      <w:r>
        <w:rPr>
          <w:lang w:eastAsia="cs-CZ"/>
        </w:rPr>
        <w:t>Při analýze reálného průběhu procesu byla formulována následující zjištění:</w:t>
      </w:r>
    </w:p>
    <w:p w14:paraId="0A8F6866" w14:textId="77777777" w:rsidR="005C425E" w:rsidRDefault="005C425E" w:rsidP="008E4AD6">
      <w:pPr>
        <w:pStyle w:val="Odstavecseseznamem"/>
        <w:numPr>
          <w:ilvl w:val="0"/>
          <w:numId w:val="30"/>
        </w:numPr>
        <w:spacing w:after="160" w:line="259" w:lineRule="auto"/>
      </w:pPr>
      <w:r>
        <w:t>Proces je specifický v tom, že většina jeho komponent je realizována de facto pouze jednou za PO. Výjimkou je S2B.05, který je implementován průběžně.</w:t>
      </w:r>
    </w:p>
    <w:p w14:paraId="3AA4DA43" w14:textId="77777777" w:rsidR="005C425E" w:rsidRDefault="005C425E" w:rsidP="008E4AD6">
      <w:pPr>
        <w:pStyle w:val="Odstavecseseznamem"/>
        <w:numPr>
          <w:ilvl w:val="0"/>
          <w:numId w:val="30"/>
        </w:numPr>
        <w:spacing w:after="160" w:line="259" w:lineRule="auto"/>
      </w:pPr>
      <w:r>
        <w:t>U procesů realizovaných při vzniku indikátorové soustavy OP PIK (návrh intervenčních logik, návrh soustavy indikátorů, stanovení cílových hodnot) nebyly pracovníky ŘO identifikovány odchylky od metodik. Mimo OM hraje významnou roli Metodický pokyn NOK</w:t>
      </w:r>
      <w:r w:rsidR="008A09C3">
        <w:t xml:space="preserve"> </w:t>
      </w:r>
      <w:r>
        <w:t>–</w:t>
      </w:r>
      <w:r w:rsidR="008A09C3">
        <w:t xml:space="preserve"> </w:t>
      </w:r>
      <w:r>
        <w:t>Zásady tvorby a používání indikátorů v PO –</w:t>
      </w:r>
      <w:r w:rsidR="008A09C3">
        <w:t xml:space="preserve"> </w:t>
      </w:r>
      <w:r>
        <w:t>2014</w:t>
      </w:r>
      <w:r w:rsidR="008A09C3">
        <w:t xml:space="preserve"> </w:t>
      </w:r>
      <w:r>
        <w:t>–</w:t>
      </w:r>
      <w:r w:rsidR="008A09C3">
        <w:t xml:space="preserve"> </w:t>
      </w:r>
      <w:r>
        <w:t xml:space="preserve">2020. </w:t>
      </w:r>
    </w:p>
    <w:p w14:paraId="61560192" w14:textId="77777777" w:rsidR="005C425E" w:rsidRDefault="005C425E" w:rsidP="008E4AD6">
      <w:pPr>
        <w:pStyle w:val="Odstavecseseznamem"/>
        <w:numPr>
          <w:ilvl w:val="0"/>
          <w:numId w:val="30"/>
        </w:numPr>
        <w:spacing w:after="160" w:line="259" w:lineRule="auto"/>
      </w:pPr>
      <w:r>
        <w:t xml:space="preserve">Pracovníci ŘO vyzdvihují roli evaluačních studií a předchozích zkušeností při stanovení cílových hodnot zpracovávaných indikátorů. </w:t>
      </w:r>
    </w:p>
    <w:p w14:paraId="3B8737F3" w14:textId="77777777" w:rsidR="005C425E" w:rsidRDefault="005C425E" w:rsidP="008E4AD6">
      <w:pPr>
        <w:pStyle w:val="Odstavecseseznamem"/>
        <w:numPr>
          <w:ilvl w:val="0"/>
          <w:numId w:val="30"/>
        </w:numPr>
        <w:spacing w:after="160" w:line="259" w:lineRule="auto"/>
      </w:pPr>
      <w:r>
        <w:t>Významnou roli při stanovování cílových hodnot hraje komunikace a vyjednávání s nadřazenými orgány</w:t>
      </w:r>
      <w:r w:rsidR="008A09C3">
        <w:t xml:space="preserve"> </w:t>
      </w:r>
      <w:r>
        <w:t>–</w:t>
      </w:r>
      <w:r w:rsidR="008A09C3">
        <w:t xml:space="preserve"> </w:t>
      </w:r>
      <w:r>
        <w:t>NOK a EK. Formulace cílových hodnot tak není zpracována striktně na základě analýz a evaluací, roli hraje také arbitrární posouzení ROP a dalších účastníků tohoto procesu. V některých případech byla pozorována snaha nastavit vyšší cílovou hodnotu, než jaká vyplývá ze zkušeností z předchozího programovacího období a případně dalších analýz tak, aby byly více motivační.</w:t>
      </w:r>
    </w:p>
    <w:p w14:paraId="4D7A2D0F" w14:textId="77777777" w:rsidR="005C425E" w:rsidRDefault="005C425E" w:rsidP="008E4AD6">
      <w:pPr>
        <w:pStyle w:val="Odstavecseseznamem"/>
        <w:numPr>
          <w:ilvl w:val="0"/>
          <w:numId w:val="30"/>
        </w:numPr>
        <w:spacing w:after="160" w:line="259" w:lineRule="auto"/>
      </w:pPr>
      <w:r>
        <w:t>MP ovšem dává dostatečnou oporu pro procesy formulace indikátorů a jejich cílových hodnot a je při implementaci dodržován.</w:t>
      </w:r>
    </w:p>
    <w:p w14:paraId="488191C7" w14:textId="77777777" w:rsidR="005C425E" w:rsidRDefault="005C425E" w:rsidP="008E4AD6">
      <w:pPr>
        <w:pStyle w:val="Odstavecseseznamem"/>
        <w:numPr>
          <w:ilvl w:val="0"/>
          <w:numId w:val="30"/>
        </w:numPr>
        <w:spacing w:after="160" w:line="259" w:lineRule="auto"/>
      </w:pPr>
      <w:r>
        <w:t xml:space="preserve">Co se týče procesu </w:t>
      </w:r>
      <w:bookmarkStart w:id="15" w:name="_Hlk46223903"/>
      <w:r w:rsidRPr="007C20D6">
        <w:t>sledování a vyhodnocování průběžného plnění indikátorů</w:t>
      </w:r>
      <w:bookmarkEnd w:id="15"/>
      <w:r w:rsidRPr="007C20D6">
        <w:t xml:space="preserve"> je OM spíše vágní</w:t>
      </w:r>
      <w:r>
        <w:t xml:space="preserve"> v tom, jakým způsobem je plnění indikátorů průběžně vyhodnocováno</w:t>
      </w:r>
      <w:r w:rsidR="007F6375">
        <w:t xml:space="preserve"> </w:t>
      </w:r>
      <w:r>
        <w:t>–</w:t>
      </w:r>
      <w:r w:rsidR="007F6375">
        <w:t xml:space="preserve"> </w:t>
      </w:r>
      <w:r>
        <w:t>nestanovuje periodicitu ani proces tohoto průběžného vyhodnocování</w:t>
      </w:r>
      <w:r w:rsidR="008E244E">
        <w:t xml:space="preserve"> nad rámec procesů souvisejících se zpracováním SRP a výročních zpráv.</w:t>
      </w:r>
      <w:r>
        <w:t xml:space="preserve"> ROP si v tomto smyslu spíše nastavuje vlastní systém</w:t>
      </w:r>
      <w:r w:rsidR="008E244E">
        <w:t xml:space="preserve"> „průběžného“ vyhodnocování plnění indikátorů</w:t>
      </w:r>
      <w:r>
        <w:t xml:space="preserve">. </w:t>
      </w:r>
      <w:r w:rsidRPr="007C20D6">
        <w:t>Ze strany daného pracovníka to není považováno za odchylku od OM ani za problém, chybějící formalizace průběžného sledování indikátorů ale může být ohrožena v případě změny na této pracovní pozici.</w:t>
      </w:r>
    </w:p>
    <w:p w14:paraId="2DC26652" w14:textId="77777777" w:rsidR="005C425E" w:rsidRDefault="005C425E" w:rsidP="008E4AD6">
      <w:pPr>
        <w:rPr>
          <w:b/>
          <w:bCs/>
        </w:rPr>
      </w:pPr>
      <w:bookmarkStart w:id="16" w:name="_Hlk46223978"/>
      <w:r w:rsidRPr="00FD00B6">
        <w:rPr>
          <w:b/>
          <w:bCs/>
        </w:rPr>
        <w:t>Proces S3</w:t>
      </w:r>
      <w:r>
        <w:rPr>
          <w:b/>
          <w:bCs/>
        </w:rPr>
        <w:t>B</w:t>
      </w:r>
      <w:r w:rsidR="007F6375">
        <w:rPr>
          <w:b/>
          <w:bCs/>
        </w:rPr>
        <w:t xml:space="preserve"> </w:t>
      </w:r>
      <w:r>
        <w:rPr>
          <w:b/>
          <w:bCs/>
        </w:rPr>
        <w:t>–</w:t>
      </w:r>
      <w:r w:rsidR="007F6375">
        <w:rPr>
          <w:b/>
          <w:bCs/>
        </w:rPr>
        <w:t xml:space="preserve"> </w:t>
      </w:r>
      <w:r w:rsidRPr="00FD00B6">
        <w:rPr>
          <w:b/>
          <w:bCs/>
        </w:rPr>
        <w:t>Koordinace OP</w:t>
      </w:r>
      <w:r w:rsidR="007F6375">
        <w:rPr>
          <w:b/>
          <w:bCs/>
        </w:rPr>
        <w:t xml:space="preserve"> </w:t>
      </w:r>
      <w:r>
        <w:rPr>
          <w:b/>
          <w:bCs/>
        </w:rPr>
        <w:t>–</w:t>
      </w:r>
      <w:r w:rsidR="007F6375">
        <w:rPr>
          <w:b/>
          <w:bCs/>
        </w:rPr>
        <w:t xml:space="preserve"> </w:t>
      </w:r>
      <w:r w:rsidRPr="00FD00B6">
        <w:rPr>
          <w:b/>
          <w:bCs/>
        </w:rPr>
        <w:t>Monitorování</w:t>
      </w:r>
      <w:bookmarkEnd w:id="16"/>
    </w:p>
    <w:p w14:paraId="15DC2844" w14:textId="77777777" w:rsidR="005C425E" w:rsidRDefault="005C425E" w:rsidP="008E4AD6">
      <w:pPr>
        <w:pStyle w:val="Odstavecseseznamem"/>
        <w:numPr>
          <w:ilvl w:val="0"/>
          <w:numId w:val="30"/>
        </w:numPr>
        <w:spacing w:after="160" w:line="259" w:lineRule="auto"/>
      </w:pPr>
      <w:r>
        <w:t xml:space="preserve">Proces zpracování Výroční zprávy OP PIK je jedním z klíčových procesů ve vztahu k implementaci OP a jeho programovému cyklu. </w:t>
      </w:r>
      <w:r w:rsidRPr="007C20D6">
        <w:t>Proces je proto v OM a dalších metodických podkladech detailně popsán,</w:t>
      </w:r>
      <w:r>
        <w:t xml:space="preserve"> včetně stanovení závazných termínů, zpracovaných šablon dokumentů atd. Mimo OM hraje klíčovou roli v metodickém a procesním nastavení zpracování Výročních a Závěrečné zprávy</w:t>
      </w:r>
      <w:r w:rsidR="007F6375">
        <w:t>,</w:t>
      </w:r>
      <w:r>
        <w:t xml:space="preserve"> především odpovídající části Obecného nařízení </w:t>
      </w:r>
      <w:r w:rsidR="007F6375">
        <w:br/>
      </w:r>
      <w:r>
        <w:t>a Implementačního aktu a také Metodický pokyn NOK monitorování implementace ESI fondů.</w:t>
      </w:r>
    </w:p>
    <w:p w14:paraId="3A016F54" w14:textId="77777777" w:rsidR="005C425E" w:rsidRDefault="005C425E" w:rsidP="008E4AD6">
      <w:pPr>
        <w:pStyle w:val="Odstavecseseznamem"/>
        <w:numPr>
          <w:ilvl w:val="0"/>
          <w:numId w:val="30"/>
        </w:numPr>
        <w:spacing w:after="160" w:line="259" w:lineRule="auto"/>
      </w:pPr>
      <w:bookmarkStart w:id="17" w:name="_Hlk46224013"/>
      <w:r>
        <w:t xml:space="preserve">Ze strany pracovníků ŘO nebyly zaznamenány </w:t>
      </w:r>
      <w:r w:rsidRPr="007C20D6">
        <w:t>žádné významnější odchylky</w:t>
      </w:r>
      <w:r>
        <w:t xml:space="preserve"> ve vztahu ke skutečné implementaci daného procesu.</w:t>
      </w:r>
      <w:bookmarkEnd w:id="17"/>
    </w:p>
    <w:p w14:paraId="6418ACF3" w14:textId="77777777" w:rsidR="005C425E" w:rsidRDefault="005C425E" w:rsidP="008E4AD6">
      <w:pPr>
        <w:pStyle w:val="Odstavecseseznamem"/>
        <w:numPr>
          <w:ilvl w:val="0"/>
          <w:numId w:val="30"/>
        </w:numPr>
        <w:spacing w:after="160" w:line="259" w:lineRule="auto"/>
      </w:pPr>
      <w:r w:rsidRPr="007C20D6">
        <w:t xml:space="preserve">Obdobně je hodnocen také proces </w:t>
      </w:r>
      <w:bookmarkStart w:id="18" w:name="_Hlk46224052"/>
      <w:r w:rsidRPr="007C20D6">
        <w:t xml:space="preserve">zpracování Strategických realizačních plánů </w:t>
      </w:r>
      <w:r>
        <w:t>OP PIK a jejich roční a pololetní vyhodnocování.</w:t>
      </w:r>
      <w:bookmarkEnd w:id="18"/>
      <w:r>
        <w:t xml:space="preserve"> Relevantní pracovníci pouze zdůrazňují roli ROP </w:t>
      </w:r>
      <w:r w:rsidR="007F6375">
        <w:br/>
      </w:r>
      <w:r>
        <w:t>při zpracování predikcí ukazatelů a obecněji roli ROP a RFP při zpracování plánu výzev i jejich věcného a finančního obsahu. OM ovšem se zapojením ROP i RFP v tomto rozsahu explicitně počítá. Proces zpracování SRP i jeho vyhodnocování je do značné míry automatizován v systému MS2014+, což pozitivně ovlivňuje efektivitu daných procesů.</w:t>
      </w:r>
    </w:p>
    <w:p w14:paraId="21AFD267" w14:textId="77777777" w:rsidR="005C425E" w:rsidRDefault="005C425E" w:rsidP="008E4AD6">
      <w:pPr>
        <w:rPr>
          <w:b/>
          <w:bCs/>
        </w:rPr>
      </w:pPr>
    </w:p>
    <w:p w14:paraId="71277103" w14:textId="77777777" w:rsidR="005C425E" w:rsidRDefault="005C425E" w:rsidP="008E4AD6">
      <w:pPr>
        <w:rPr>
          <w:b/>
          <w:bCs/>
        </w:rPr>
      </w:pPr>
      <w:bookmarkStart w:id="19" w:name="_Hlk46224061"/>
      <w:r>
        <w:rPr>
          <w:b/>
          <w:bCs/>
        </w:rPr>
        <w:t>Proces S4</w:t>
      </w:r>
      <w:r w:rsidR="007F6375">
        <w:rPr>
          <w:b/>
          <w:bCs/>
        </w:rPr>
        <w:t xml:space="preserve"> </w:t>
      </w:r>
      <w:r>
        <w:rPr>
          <w:b/>
          <w:bCs/>
        </w:rPr>
        <w:t>–</w:t>
      </w:r>
      <w:r w:rsidR="007F6375">
        <w:rPr>
          <w:b/>
          <w:bCs/>
        </w:rPr>
        <w:t xml:space="preserve"> </w:t>
      </w:r>
      <w:r>
        <w:rPr>
          <w:b/>
          <w:bCs/>
        </w:rPr>
        <w:t>Koordinace OP</w:t>
      </w:r>
      <w:r w:rsidR="007F6375">
        <w:rPr>
          <w:b/>
          <w:bCs/>
        </w:rPr>
        <w:t xml:space="preserve"> </w:t>
      </w:r>
      <w:r>
        <w:rPr>
          <w:b/>
          <w:bCs/>
        </w:rPr>
        <w:t>–</w:t>
      </w:r>
      <w:r w:rsidR="007F6375">
        <w:rPr>
          <w:b/>
          <w:bCs/>
        </w:rPr>
        <w:t xml:space="preserve"> </w:t>
      </w:r>
      <w:r>
        <w:rPr>
          <w:b/>
          <w:bCs/>
        </w:rPr>
        <w:t>Publicita</w:t>
      </w:r>
      <w:bookmarkEnd w:id="19"/>
    </w:p>
    <w:p w14:paraId="112777C1" w14:textId="77777777" w:rsidR="005C425E" w:rsidRDefault="005C425E" w:rsidP="008E4AD6">
      <w:pPr>
        <w:pStyle w:val="Odstavecseseznamem"/>
        <w:numPr>
          <w:ilvl w:val="0"/>
          <w:numId w:val="30"/>
        </w:numPr>
        <w:spacing w:after="160" w:line="259" w:lineRule="auto"/>
      </w:pPr>
      <w:r w:rsidRPr="00484022">
        <w:t>Proces odpovídá nastavení v </w:t>
      </w:r>
      <w:r>
        <w:t>OM</w:t>
      </w:r>
      <w:r w:rsidRPr="00484022">
        <w:t xml:space="preserve"> a jeho detailnímu rozpracování v dalších metodických materiálech</w:t>
      </w:r>
      <w:r>
        <w:t xml:space="preserve"> (zejm. Metodický pokyn NOK pro publicitu a komunikaci ESI fondů v PO –</w:t>
      </w:r>
      <w:r w:rsidR="007F6375">
        <w:t xml:space="preserve"> </w:t>
      </w:r>
      <w:r>
        <w:t>2014</w:t>
      </w:r>
      <w:r w:rsidR="007F6375">
        <w:t xml:space="preserve"> </w:t>
      </w:r>
      <w:r w:rsidR="007F6375">
        <w:br/>
      </w:r>
      <w:r>
        <w:t>–2020).</w:t>
      </w:r>
    </w:p>
    <w:p w14:paraId="3229DDBD" w14:textId="77777777" w:rsidR="005C425E" w:rsidRDefault="005C425E" w:rsidP="008E4AD6">
      <w:pPr>
        <w:pStyle w:val="Odstavecseseznamem"/>
        <w:numPr>
          <w:ilvl w:val="0"/>
          <w:numId w:val="30"/>
        </w:numPr>
        <w:spacing w:after="160" w:line="259" w:lineRule="auto"/>
      </w:pPr>
      <w:r>
        <w:t xml:space="preserve">Základem procesu je periodické zpracování Ročního komunikačního plánu (RoKP), který vychází ze Společné komunikační strategie ESI fondů. Publicita programu je projednávána čtvrtletně na zasedání PS publicita (NOK), která koordinuje publicitní opatření všech OP. Jednou měsíčně dále zasedá pracovní skupina Komunikace, jejímiž členy jsou zástupci ŘO </w:t>
      </w:r>
      <w:r w:rsidR="007F6375">
        <w:br/>
      </w:r>
      <w:r>
        <w:t xml:space="preserve">a API. Tato PS slouží k operativní koordinaci publicitních opatření. Zapojení této PS </w:t>
      </w:r>
      <w:r w:rsidR="007F6375">
        <w:br/>
      </w:r>
      <w:r>
        <w:t>do publicitních opatření OP PIK není zpracováno v OM.</w:t>
      </w:r>
    </w:p>
    <w:p w14:paraId="0B2C5F19" w14:textId="77777777" w:rsidR="005C425E" w:rsidRDefault="005C425E" w:rsidP="008E4AD6">
      <w:pPr>
        <w:pStyle w:val="Odstavecseseznamem"/>
        <w:numPr>
          <w:ilvl w:val="0"/>
          <w:numId w:val="30"/>
        </w:numPr>
        <w:spacing w:after="160" w:line="259" w:lineRule="auto"/>
      </w:pPr>
      <w:r>
        <w:t xml:space="preserve">IKZ zpracovává dvakrát ročně </w:t>
      </w:r>
      <w:bookmarkStart w:id="20" w:name="_Hlk46224183"/>
      <w:r>
        <w:t>zprávu o plnění RKoP</w:t>
      </w:r>
      <w:bookmarkEnd w:id="20"/>
      <w:r>
        <w:t>, která je předkládána Monitorovacímu výboru, tato povinnost přitom není předepsána OM an</w:t>
      </w:r>
      <w:r w:rsidR="00085A1D">
        <w:t>i</w:t>
      </w:r>
      <w:r>
        <w:t xml:space="preserve"> Metodickým pokynem pro NOK. Informace o publicitních opatřeních jsou dále zpracovány do výroční zprávy OP PIK.</w:t>
      </w:r>
    </w:p>
    <w:p w14:paraId="404907D7" w14:textId="77777777" w:rsidR="005C425E" w:rsidRPr="00484022" w:rsidRDefault="005C425E" w:rsidP="008E4AD6">
      <w:pPr>
        <w:pStyle w:val="Odstavecseseznamem"/>
        <w:numPr>
          <w:ilvl w:val="0"/>
          <w:numId w:val="30"/>
        </w:numPr>
        <w:spacing w:after="160" w:line="259" w:lineRule="auto"/>
      </w:pPr>
      <w:r w:rsidRPr="00484022">
        <w:t xml:space="preserve">OM tak v rámci koordinace publicity poskytuje základní rámec pro relevantní procesy, detaily procesu již nejsou OM a </w:t>
      </w:r>
      <w:r w:rsidR="007F6375">
        <w:t xml:space="preserve">v </w:t>
      </w:r>
      <w:r w:rsidRPr="00484022">
        <w:t>metodikách zpracovány, celkově však jsou procesy koordinace v souladu s OM.</w:t>
      </w:r>
    </w:p>
    <w:p w14:paraId="4CBEA111" w14:textId="16FED8D8" w:rsidR="005C425E" w:rsidRDefault="00244D06" w:rsidP="008E4AD6">
      <w:pPr>
        <w:pStyle w:val="Odstavecseseznamem"/>
        <w:numPr>
          <w:ilvl w:val="0"/>
          <w:numId w:val="30"/>
        </w:numPr>
        <w:spacing w:after="160" w:line="259" w:lineRule="auto"/>
      </w:pPr>
      <w:bookmarkStart w:id="21" w:name="_Hlk46224377"/>
      <w:r>
        <w:t>Do vytváření obsahu a koordinace publicitních opatření je zapojeno více subjektů v rámci institucionální struktury ŘO/MPO, jejichž role prozatím není</w:t>
      </w:r>
      <w:r w:rsidR="005C425E" w:rsidRPr="00767556">
        <w:t xml:space="preserve"> v nastavení TP zpracována </w:t>
      </w:r>
      <w:r w:rsidR="007F6375">
        <w:br/>
      </w:r>
      <w:r w:rsidR="005C425E" w:rsidRPr="00767556">
        <w:t xml:space="preserve">a </w:t>
      </w:r>
      <w:r>
        <w:t>formalizována</w:t>
      </w:r>
      <w:r w:rsidR="005C425E">
        <w:t>.</w:t>
      </w:r>
      <w:bookmarkEnd w:id="21"/>
      <w:r w:rsidR="005C425E">
        <w:t xml:space="preserve"> Obecně je ale </w:t>
      </w:r>
      <w:r>
        <w:t>současná praxe vytvoření obsahu publicity</w:t>
      </w:r>
      <w:r w:rsidR="005C425E">
        <w:t xml:space="preserve"> považován</w:t>
      </w:r>
      <w:r>
        <w:t>a</w:t>
      </w:r>
      <w:r w:rsidR="005C425E">
        <w:t xml:space="preserve"> </w:t>
      </w:r>
      <w:r w:rsidR="007F6375">
        <w:br/>
      </w:r>
      <w:r w:rsidR="005C425E">
        <w:t xml:space="preserve">za </w:t>
      </w:r>
      <w:r>
        <w:t xml:space="preserve">adekvátní </w:t>
      </w:r>
      <w:r w:rsidR="005C425E">
        <w:t>a reflektující potřeby ŘO ve smyslu odborného zajištění komunikačních aktivit. Koordinace komunikačních aktivit nadále zůstává na IKZ a je realizována v souladu s OM.</w:t>
      </w:r>
    </w:p>
    <w:p w14:paraId="4835DA79" w14:textId="77777777" w:rsidR="005C425E" w:rsidRDefault="005C425E" w:rsidP="008E4AD6">
      <w:pPr>
        <w:rPr>
          <w:b/>
          <w:bCs/>
        </w:rPr>
      </w:pPr>
    </w:p>
    <w:p w14:paraId="550B30DE" w14:textId="77777777" w:rsidR="005C425E" w:rsidRPr="00CB6630" w:rsidRDefault="005C425E" w:rsidP="008E4AD6">
      <w:pPr>
        <w:rPr>
          <w:b/>
          <w:bCs/>
        </w:rPr>
      </w:pPr>
      <w:bookmarkStart w:id="22" w:name="_Hlk46224401"/>
      <w:r w:rsidRPr="00CB6630">
        <w:rPr>
          <w:b/>
          <w:bCs/>
        </w:rPr>
        <w:t>Proces S5</w:t>
      </w:r>
      <w:r w:rsidR="007F6375">
        <w:rPr>
          <w:b/>
          <w:bCs/>
        </w:rPr>
        <w:t xml:space="preserve"> </w:t>
      </w:r>
      <w:r>
        <w:rPr>
          <w:b/>
          <w:bCs/>
        </w:rPr>
        <w:t>–</w:t>
      </w:r>
      <w:r w:rsidR="007F6375">
        <w:rPr>
          <w:b/>
          <w:bCs/>
        </w:rPr>
        <w:t xml:space="preserve"> </w:t>
      </w:r>
      <w:r w:rsidRPr="00CB6630">
        <w:rPr>
          <w:b/>
          <w:bCs/>
        </w:rPr>
        <w:t>Koordinace OP</w:t>
      </w:r>
      <w:r w:rsidR="007F6375">
        <w:rPr>
          <w:b/>
          <w:bCs/>
        </w:rPr>
        <w:t xml:space="preserve"> </w:t>
      </w:r>
      <w:r>
        <w:rPr>
          <w:b/>
          <w:bCs/>
        </w:rPr>
        <w:t>–</w:t>
      </w:r>
      <w:r w:rsidR="007F6375">
        <w:rPr>
          <w:b/>
          <w:bCs/>
        </w:rPr>
        <w:t xml:space="preserve"> </w:t>
      </w:r>
      <w:r w:rsidRPr="00CB6630">
        <w:rPr>
          <w:b/>
          <w:bCs/>
        </w:rPr>
        <w:t>Lidské zdroje</w:t>
      </w:r>
      <w:bookmarkEnd w:id="22"/>
    </w:p>
    <w:p w14:paraId="295E977B" w14:textId="77777777" w:rsidR="005C425E" w:rsidRDefault="005C425E" w:rsidP="008E4AD6">
      <w:pPr>
        <w:pStyle w:val="Odstavecseseznamem"/>
        <w:numPr>
          <w:ilvl w:val="0"/>
          <w:numId w:val="30"/>
        </w:numPr>
        <w:spacing w:after="160" w:line="256" w:lineRule="auto"/>
      </w:pPr>
      <w:r>
        <w:t>Zásadní nesoulad lze pozorovat v případně velmi administrativně náročných procesů, a to obou VŘ (do zaměstnaneckého a služebního poměru). Jak již bylo uvedeno výše, podoba těchto procesů je striktně definována zákonem a případné úpravy procesů tak nelze realizovat</w:t>
      </w:r>
      <w:r w:rsidR="4844B693">
        <w:t>.</w:t>
      </w:r>
    </w:p>
    <w:p w14:paraId="2CE61390" w14:textId="77777777" w:rsidR="005C425E" w:rsidRDefault="005C425E" w:rsidP="008E4AD6">
      <w:pPr>
        <w:pStyle w:val="Odstavecseseznamem"/>
        <w:numPr>
          <w:ilvl w:val="0"/>
          <w:numId w:val="30"/>
        </w:numPr>
        <w:spacing w:after="160" w:line="256" w:lineRule="auto"/>
      </w:pPr>
      <w:r>
        <w:t>Ostatní úpravy jsou nicméně pouze dílčí, nelze tvrdit, že by popis podoby procesu výrazně transformoval vytvořený diagram. V případě tří procesů zhotovené diagramy přesně odpovídají skutečné podobě procesů. Dílčí úpravy procesů jsou zpracovány v odpovídajících procesních mapách přiložených v Příloze 1</w:t>
      </w:r>
      <w:r w:rsidR="4844B693">
        <w:t>.</w:t>
      </w:r>
    </w:p>
    <w:p w14:paraId="118958E7" w14:textId="77777777" w:rsidR="005C425E" w:rsidRDefault="005C425E" w:rsidP="008E4AD6">
      <w:pPr>
        <w:spacing w:after="160" w:line="259" w:lineRule="auto"/>
      </w:pPr>
    </w:p>
    <w:p w14:paraId="5D24445F" w14:textId="77777777" w:rsidR="005C425E" w:rsidRPr="004A321F" w:rsidRDefault="005C425E" w:rsidP="008E4AD6">
      <w:pPr>
        <w:rPr>
          <w:b/>
          <w:bCs/>
        </w:rPr>
      </w:pPr>
      <w:bookmarkStart w:id="23" w:name="_Hlk46224478"/>
      <w:r w:rsidRPr="004A321F">
        <w:rPr>
          <w:b/>
          <w:bCs/>
        </w:rPr>
        <w:t>Proces S6</w:t>
      </w:r>
      <w:r w:rsidR="00D9254B">
        <w:rPr>
          <w:b/>
          <w:bCs/>
        </w:rPr>
        <w:t xml:space="preserve"> </w:t>
      </w:r>
      <w:r>
        <w:rPr>
          <w:b/>
          <w:bCs/>
        </w:rPr>
        <w:t>–</w:t>
      </w:r>
      <w:r w:rsidR="00D9254B">
        <w:rPr>
          <w:b/>
          <w:bCs/>
        </w:rPr>
        <w:t xml:space="preserve"> </w:t>
      </w:r>
      <w:r w:rsidRPr="004A321F">
        <w:rPr>
          <w:b/>
          <w:bCs/>
        </w:rPr>
        <w:t>Finanční plán, alokace a realokace TP</w:t>
      </w:r>
      <w:bookmarkEnd w:id="23"/>
    </w:p>
    <w:p w14:paraId="535FE207" w14:textId="77777777" w:rsidR="005C425E" w:rsidRDefault="005C425E" w:rsidP="008E4AD6">
      <w:pPr>
        <w:spacing w:after="160" w:line="259" w:lineRule="auto"/>
      </w:pPr>
      <w:r>
        <w:t>Na základě ověřování reálného průběhu procesu byly identifikovány tyto odchylky:</w:t>
      </w:r>
    </w:p>
    <w:p w14:paraId="206F0781" w14:textId="77777777" w:rsidR="005C425E" w:rsidRPr="00484022" w:rsidRDefault="005C425E" w:rsidP="008E4AD6">
      <w:pPr>
        <w:pStyle w:val="Odstavecseseznamem"/>
        <w:numPr>
          <w:ilvl w:val="0"/>
          <w:numId w:val="30"/>
        </w:numPr>
        <w:spacing w:after="160" w:line="259" w:lineRule="auto"/>
      </w:pPr>
      <w:bookmarkStart w:id="24" w:name="_Hlk46224526"/>
      <w:r>
        <w:t>OM nezohledňuje zapojení ROP do zpracování finančního plánu, který poskytuje klíčové vstupy.</w:t>
      </w:r>
      <w:bookmarkEnd w:id="24"/>
    </w:p>
    <w:p w14:paraId="5E7F94FC" w14:textId="77777777" w:rsidR="005C425E" w:rsidRDefault="005C425E" w:rsidP="008E4AD6">
      <w:pPr>
        <w:pStyle w:val="Odstavecseseznamem"/>
        <w:numPr>
          <w:ilvl w:val="0"/>
          <w:numId w:val="30"/>
        </w:numPr>
        <w:spacing w:after="160" w:line="259" w:lineRule="auto"/>
      </w:pPr>
      <w:r w:rsidRPr="00767556">
        <w:t>Proces realokací je upraven technicky</w:t>
      </w:r>
      <w:r>
        <w:t xml:space="preserve"> (jakým způsobem jsou realokace/úpravy finančního plánu realizovány), </w:t>
      </w:r>
      <w:r w:rsidRPr="00484022">
        <w:t>není ale rozpracován proces iniciace těchto změn</w:t>
      </w:r>
      <w:r w:rsidR="00D9254B">
        <w:t xml:space="preserve"> </w:t>
      </w:r>
      <w:r>
        <w:t>–</w:t>
      </w:r>
      <w:r w:rsidR="00D9254B">
        <w:t xml:space="preserve"> </w:t>
      </w:r>
      <w:r>
        <w:t>OM tedy jednoznačně neuvádí, kdo, v jakém okamžiku a jakým procesem iniciuje potřebu změny finančního plánu a/nebo realokací prostředků. Tato činnost tak je realizována spíše neformálně.</w:t>
      </w:r>
    </w:p>
    <w:p w14:paraId="5F837F6E" w14:textId="77777777" w:rsidR="005C425E" w:rsidRDefault="005C425E" w:rsidP="008E4AD6">
      <w:pPr>
        <w:pStyle w:val="Odstavecseseznamem"/>
        <w:numPr>
          <w:ilvl w:val="0"/>
          <w:numId w:val="30"/>
        </w:numPr>
        <w:spacing w:after="160" w:line="259" w:lineRule="auto"/>
      </w:pPr>
      <w:r>
        <w:t>Nebyly identifikovány žádné negativní dopady uvedených odchylek.</w:t>
      </w:r>
    </w:p>
    <w:p w14:paraId="52BC90C7" w14:textId="77777777" w:rsidR="005C425E" w:rsidRDefault="005C425E" w:rsidP="005C425E">
      <w:pPr>
        <w:spacing w:after="160" w:line="259" w:lineRule="auto"/>
        <w:jc w:val="left"/>
      </w:pPr>
    </w:p>
    <w:p w14:paraId="270AF8C3" w14:textId="77777777" w:rsidR="005C425E" w:rsidRDefault="005C425E" w:rsidP="005C425E">
      <w:pPr>
        <w:rPr>
          <w:b/>
          <w:bCs/>
        </w:rPr>
      </w:pPr>
      <w:bookmarkStart w:id="25" w:name="_Hlk46224626"/>
      <w:r>
        <w:rPr>
          <w:b/>
          <w:bCs/>
        </w:rPr>
        <w:lastRenderedPageBreak/>
        <w:t>Proces IP2</w:t>
      </w:r>
      <w:r w:rsidR="00EC48AE">
        <w:rPr>
          <w:b/>
          <w:bCs/>
        </w:rPr>
        <w:t xml:space="preserve"> </w:t>
      </w:r>
      <w:r>
        <w:rPr>
          <w:b/>
          <w:bCs/>
        </w:rPr>
        <w:t>–</w:t>
      </w:r>
      <w:r w:rsidR="00EC48AE">
        <w:rPr>
          <w:b/>
          <w:bCs/>
        </w:rPr>
        <w:t xml:space="preserve"> </w:t>
      </w:r>
      <w:r>
        <w:rPr>
          <w:b/>
          <w:bCs/>
        </w:rPr>
        <w:t>Technická pomoc MPO</w:t>
      </w:r>
      <w:bookmarkEnd w:id="25"/>
    </w:p>
    <w:p w14:paraId="6AF61BD7" w14:textId="77777777" w:rsidR="005C425E" w:rsidRDefault="005C425E" w:rsidP="005C425E">
      <w:pPr>
        <w:rPr>
          <w:bCs/>
          <w:iCs/>
        </w:rPr>
      </w:pPr>
      <w:r>
        <w:rPr>
          <w:bCs/>
          <w:iCs/>
        </w:rPr>
        <w:t>Procesy IP2 a IP3 se zabývají technickou pomocí ŘO/ZS, tj. činnostmi zahrnujícími vypsání výzvy, přípravu projektové žádosti, její administraci vč. přípravy VŘ či kontroly a proplácení faktur či řešení změn v projektech. Tyto procesy si jsou z velké části podobné. Sedm dílčích procesů IP3 je shodných s IP2, proto takovéto procesy budou hodnoceny v IP2, přičemž bude vždy uvedeno i číslo procesu v rámci IP3.</w:t>
      </w:r>
    </w:p>
    <w:p w14:paraId="7E97007C" w14:textId="77777777" w:rsidR="005C425E" w:rsidRDefault="005C425E" w:rsidP="005C425E">
      <w:pPr>
        <w:rPr>
          <w:bCs/>
          <w:iCs/>
        </w:rPr>
      </w:pPr>
      <w:r>
        <w:rPr>
          <w:bCs/>
          <w:iCs/>
        </w:rPr>
        <w:t xml:space="preserve">Obecně lze konstatovat, že v dílčích procesech IP2 bylo nalezeno jen relativně </w:t>
      </w:r>
      <w:r w:rsidRPr="00484022">
        <w:rPr>
          <w:bCs/>
          <w:iCs/>
        </w:rPr>
        <w:t xml:space="preserve">malé množství odchylek od metodik, resp. </w:t>
      </w:r>
      <w:r>
        <w:rPr>
          <w:bCs/>
          <w:iCs/>
        </w:rPr>
        <w:t xml:space="preserve">OM, v němž jsou procesy stručně popsané. Pracovníci ŘO identifikovali </w:t>
      </w:r>
      <w:r w:rsidRPr="00484022">
        <w:rPr>
          <w:bCs/>
          <w:iCs/>
        </w:rPr>
        <w:t>jednu neshodu z hlediska kompetencí vybraných pracovních pozic a jednu neshodu v popisu posloupnosti procesu</w:t>
      </w:r>
      <w:r w:rsidRPr="00767556">
        <w:rPr>
          <w:bCs/>
          <w:iCs/>
        </w:rPr>
        <w:t>.</w:t>
      </w:r>
    </w:p>
    <w:p w14:paraId="01FA9F25" w14:textId="77777777" w:rsidR="005C425E" w:rsidRDefault="005C425E" w:rsidP="005C425E">
      <w:pPr>
        <w:rPr>
          <w:bCs/>
          <w:iCs/>
        </w:rPr>
      </w:pPr>
      <w:r>
        <w:rPr>
          <w:bCs/>
          <w:iCs/>
        </w:rPr>
        <w:t xml:space="preserve">V rámci dílčího procesu IP2.03/IP3.03 Hodnocení žádosti o podporu bylo zjištěno, že OM uvádí, že </w:t>
      </w:r>
      <w:r w:rsidR="00EC48AE">
        <w:rPr>
          <w:bCs/>
          <w:iCs/>
        </w:rPr>
        <w:br/>
      </w:r>
      <w:r>
        <w:rPr>
          <w:bCs/>
          <w:iCs/>
        </w:rPr>
        <w:t>u IP jsou hodnoceny formální náležitosti, přijatelnost a probíhá také věcné hodnocení. Z </w:t>
      </w:r>
      <w:r w:rsidRPr="001B51C6">
        <w:rPr>
          <w:bCs/>
          <w:iCs/>
        </w:rPr>
        <w:t>Výzv</w:t>
      </w:r>
      <w:r>
        <w:rPr>
          <w:bCs/>
          <w:iCs/>
        </w:rPr>
        <w:t>y</w:t>
      </w:r>
      <w:r w:rsidRPr="001B51C6">
        <w:rPr>
          <w:bCs/>
          <w:iCs/>
        </w:rPr>
        <w:t xml:space="preserve"> I </w:t>
      </w:r>
      <w:bookmarkStart w:id="26" w:name="_Hlk46224966"/>
      <w:r w:rsidRPr="001B51C6">
        <w:rPr>
          <w:bCs/>
          <w:iCs/>
        </w:rPr>
        <w:t>programu podpory Technická pomoc</w:t>
      </w:r>
      <w:bookmarkEnd w:id="26"/>
      <w:r>
        <w:rPr>
          <w:bCs/>
          <w:iCs/>
        </w:rPr>
        <w:t xml:space="preserve"> však vyplývá, že IP neprochází věcným hodnocením, ale pouze hodnocením formálních náležitostí a přijatelnosti. Dle OM je za hodnocení IP odpovědný RPDIP, reálně ale role RPDIP v tomto procesu spočívá pouze v nominaci řádného hodnotitele a schvalovatele hodnocení a do samotného hodnocení žádosti o dotaci nijak nevystupuje. Pracovníci ŘO identifikovali neshodu v kompetencích RPDIP, žádný z nich ale nepoukázal na nadbytečné uvedení věcného hodnocení IP.</w:t>
      </w:r>
    </w:p>
    <w:p w14:paraId="06B7F8EE" w14:textId="3D5F8F74" w:rsidR="005C425E" w:rsidRDefault="005C425E" w:rsidP="005C425E">
      <w:pPr>
        <w:rPr>
          <w:bCs/>
          <w:iCs/>
        </w:rPr>
      </w:pPr>
      <w:r w:rsidRPr="00D42C94">
        <w:rPr>
          <w:bCs/>
          <w:iCs/>
        </w:rPr>
        <w:t xml:space="preserve">Neshoda v posloupnosti procesu byla pracovníky ŘO identifikována v případě procesu </w:t>
      </w:r>
      <w:bookmarkStart w:id="27" w:name="_Hlk46225028"/>
      <w:r w:rsidRPr="00D42C94">
        <w:rPr>
          <w:bCs/>
          <w:iCs/>
        </w:rPr>
        <w:t>IP2.07/IP3.05 VŘ</w:t>
      </w:r>
      <w:bookmarkEnd w:id="27"/>
      <w:r w:rsidRPr="00D42C94">
        <w:rPr>
          <w:bCs/>
          <w:iCs/>
        </w:rPr>
        <w:t>. OM na str. 170 (bod 14) uvádí, že „</w:t>
      </w:r>
      <w:r w:rsidRPr="00D42C94">
        <w:t>Po schválení (kontroly II. stupně) PIP odešle informaci o vítězi a pořadí ostatních účastníků VŘ, v případě vyřazení uchazeče odešle PIP informaci o vyřazení uchazeče s řádným zdůvodněním vyřazení. Následně, po uplynutí zákonné lhůty po podání námitek</w:t>
      </w:r>
      <w:r w:rsidR="00EC48AE">
        <w:t>,</w:t>
      </w:r>
      <w:r w:rsidRPr="00D42C94">
        <w:t xml:space="preserve"> je možné uzavřít smlouvu s vítězným uchazečem</w:t>
      </w:r>
      <w:r w:rsidR="00EC48AE">
        <w:t xml:space="preserve"> </w:t>
      </w:r>
      <w:r w:rsidRPr="00D42C94">
        <w:t>–</w:t>
      </w:r>
      <w:r w:rsidR="00EC48AE">
        <w:t xml:space="preserve"> </w:t>
      </w:r>
      <w:r w:rsidRPr="00D42C94">
        <w:t>dodavatelem“</w:t>
      </w:r>
      <w:r w:rsidR="00EC48AE">
        <w:t>.</w:t>
      </w:r>
      <w:r w:rsidRPr="00D42C94">
        <w:t xml:space="preserve"> Dle pracovníků ŘO, kteří VZ administrují však ke kontrole II. stupně dochází až po zveřejnění výsledků o výběru dodavatele, </w:t>
      </w:r>
      <w:r w:rsidR="00EC48AE">
        <w:br/>
      </w:r>
      <w:r w:rsidRPr="00D42C94">
        <w:t xml:space="preserve">tj. v době, kdy </w:t>
      </w:r>
      <w:r w:rsidR="00D42C94" w:rsidRPr="00D42C94">
        <w:t xml:space="preserve">uplyne </w:t>
      </w:r>
      <w:r w:rsidRPr="00D42C94">
        <w:t xml:space="preserve">zákonná lhůta pro podání námitek. Popis tohoto procesu byl kontrolován </w:t>
      </w:r>
      <w:r w:rsidR="00EC48AE">
        <w:br/>
      </w:r>
      <w:r w:rsidRPr="00D42C94">
        <w:t>i v Pravidlech pro výběr dodavatelů, nicméně z nich jasně nevyplývá, který z postupů je správný. V Pravidlech pro výběr dodavatelů na str. 18 je pouze uvedeno, jaké dokumenty mají být k této kontrole předloženy a že tak musí být učiněno do 14 dnů od ukončení posledního zasedání výběrové komise</w:t>
      </w:r>
      <w:r>
        <w:t>.</w:t>
      </w:r>
    </w:p>
    <w:p w14:paraId="5AD57590" w14:textId="77777777" w:rsidR="005C425E" w:rsidRDefault="005C425E" w:rsidP="005C425E">
      <w:pPr>
        <w:spacing w:after="160" w:line="259" w:lineRule="auto"/>
        <w:jc w:val="left"/>
      </w:pPr>
    </w:p>
    <w:p w14:paraId="4A0C0180" w14:textId="77777777" w:rsidR="005C425E" w:rsidRDefault="005C425E" w:rsidP="005C425E">
      <w:pPr>
        <w:rPr>
          <w:b/>
          <w:bCs/>
        </w:rPr>
      </w:pPr>
      <w:bookmarkStart w:id="28" w:name="_Hlk46225041"/>
      <w:r>
        <w:rPr>
          <w:b/>
          <w:bCs/>
        </w:rPr>
        <w:t>Proces IP3</w:t>
      </w:r>
      <w:r w:rsidR="00EC48AE">
        <w:rPr>
          <w:b/>
          <w:bCs/>
        </w:rPr>
        <w:t xml:space="preserve"> </w:t>
      </w:r>
      <w:r>
        <w:rPr>
          <w:b/>
          <w:bCs/>
        </w:rPr>
        <w:t>–</w:t>
      </w:r>
      <w:r w:rsidR="00EC48AE">
        <w:rPr>
          <w:b/>
          <w:bCs/>
        </w:rPr>
        <w:t xml:space="preserve"> </w:t>
      </w:r>
      <w:r>
        <w:rPr>
          <w:b/>
          <w:bCs/>
        </w:rPr>
        <w:t>Technická pomoc API</w:t>
      </w:r>
      <w:bookmarkEnd w:id="28"/>
    </w:p>
    <w:p w14:paraId="49A26125" w14:textId="77777777" w:rsidR="005C425E" w:rsidRPr="005C425E" w:rsidRDefault="005C425E" w:rsidP="005C425E">
      <w:pPr>
        <w:rPr>
          <w:lang w:val="fr-FR" w:eastAsia="cs-CZ"/>
        </w:rPr>
      </w:pPr>
      <w:r>
        <w:rPr>
          <w:bCs/>
        </w:rPr>
        <w:t>V rámci dílčích procesů, které jsou typické pouze pro proces IP3, nebyly nalezeny žádné odchylky procesů od metodik, nadbytečné procesy či naopak procesy, jež by nebyly metodicky upraveny.</w:t>
      </w:r>
    </w:p>
    <w:p w14:paraId="75759384" w14:textId="77777777" w:rsidR="005C425E" w:rsidRDefault="005C425E" w:rsidP="00C173BC">
      <w:pPr>
        <w:pStyle w:val="Nadpis1"/>
        <w:rPr>
          <w:snapToGrid w:val="0"/>
          <w:lang w:val="fr-FR"/>
        </w:rPr>
      </w:pPr>
      <w:bookmarkStart w:id="29" w:name="_Toc50456783"/>
      <w:r>
        <w:rPr>
          <w:snapToGrid w:val="0"/>
          <w:lang w:val="fr-FR"/>
        </w:rPr>
        <w:lastRenderedPageBreak/>
        <w:t>Doplňující informace k EO 3</w:t>
      </w:r>
      <w:bookmarkEnd w:id="29"/>
    </w:p>
    <w:p w14:paraId="3AA92F4E" w14:textId="77777777" w:rsidR="000F1C75" w:rsidRPr="006723AC" w:rsidRDefault="000F1C75" w:rsidP="000F1C75">
      <w:pPr>
        <w:rPr>
          <w:b/>
          <w:bCs/>
        </w:rPr>
      </w:pPr>
      <w:r w:rsidRPr="006723AC">
        <w:rPr>
          <w:b/>
          <w:bCs/>
        </w:rPr>
        <w:t>Proces S2A</w:t>
      </w:r>
      <w:r w:rsidR="008467CB">
        <w:rPr>
          <w:b/>
          <w:bCs/>
        </w:rPr>
        <w:t xml:space="preserve"> </w:t>
      </w:r>
      <w:r>
        <w:rPr>
          <w:b/>
          <w:bCs/>
        </w:rPr>
        <w:t>–</w:t>
      </w:r>
      <w:r w:rsidR="008467CB">
        <w:rPr>
          <w:b/>
          <w:bCs/>
        </w:rPr>
        <w:t xml:space="preserve"> </w:t>
      </w:r>
      <w:r w:rsidRPr="006723AC">
        <w:rPr>
          <w:b/>
          <w:bCs/>
        </w:rPr>
        <w:t>Koordinace OP</w:t>
      </w:r>
      <w:r w:rsidR="008467CB">
        <w:rPr>
          <w:b/>
          <w:bCs/>
        </w:rPr>
        <w:t xml:space="preserve"> </w:t>
      </w:r>
      <w:r>
        <w:rPr>
          <w:b/>
          <w:bCs/>
        </w:rPr>
        <w:t>–</w:t>
      </w:r>
      <w:r w:rsidR="008467CB">
        <w:rPr>
          <w:b/>
          <w:bCs/>
        </w:rPr>
        <w:t xml:space="preserve"> </w:t>
      </w:r>
      <w:r w:rsidRPr="006723AC">
        <w:rPr>
          <w:b/>
          <w:bCs/>
        </w:rPr>
        <w:t>Evaluace</w:t>
      </w:r>
    </w:p>
    <w:p w14:paraId="0788A306" w14:textId="77777777" w:rsidR="000F1C75" w:rsidRDefault="000F1C75" w:rsidP="000F1C75">
      <w:r>
        <w:t>Jako zcela nadbytečný je identifikován proces zpracování Zprávy o plnění Evaluačního plánu (ZoP):</w:t>
      </w:r>
    </w:p>
    <w:tbl>
      <w:tblPr>
        <w:tblW w:w="8703" w:type="dxa"/>
        <w:tblInd w:w="364" w:type="dxa"/>
        <w:tblLook w:val="04A0" w:firstRow="1" w:lastRow="0" w:firstColumn="1" w:lastColumn="0" w:noHBand="0" w:noVBand="1"/>
      </w:tblPr>
      <w:tblGrid>
        <w:gridCol w:w="2881"/>
        <w:gridCol w:w="5822"/>
      </w:tblGrid>
      <w:tr w:rsidR="000F1C75" w14:paraId="5FFAE54B" w14:textId="77777777" w:rsidTr="000F1C75">
        <w:tc>
          <w:tcPr>
            <w:tcW w:w="2881" w:type="dxa"/>
            <w:tcBorders>
              <w:top w:val="single" w:sz="4" w:space="0" w:color="auto"/>
              <w:left w:val="single" w:sz="4" w:space="0" w:color="auto"/>
              <w:bottom w:val="single" w:sz="4" w:space="0" w:color="auto"/>
              <w:right w:val="single" w:sz="4" w:space="0" w:color="auto"/>
            </w:tcBorders>
            <w:hideMark/>
          </w:tcPr>
          <w:p w14:paraId="1FE2CEEF" w14:textId="77777777" w:rsidR="000F1C75" w:rsidRDefault="000F1C75" w:rsidP="000F1C75">
            <w:pPr>
              <w:pStyle w:val="Cnormln"/>
              <w:spacing w:before="60" w:after="60"/>
              <w:rPr>
                <w:rFonts w:asciiTheme="minorHAnsi" w:hAnsiTheme="minorHAnsi" w:cstheme="minorHAnsi"/>
                <w:bCs/>
              </w:rPr>
            </w:pPr>
            <w:r>
              <w:rPr>
                <w:rFonts w:asciiTheme="minorHAnsi" w:hAnsiTheme="minorHAnsi" w:cstheme="minorHAnsi"/>
                <w:bCs/>
              </w:rPr>
              <w:t>Identifikace procesu</w:t>
            </w:r>
          </w:p>
        </w:tc>
        <w:tc>
          <w:tcPr>
            <w:tcW w:w="5822" w:type="dxa"/>
            <w:tcBorders>
              <w:top w:val="single" w:sz="4" w:space="0" w:color="auto"/>
              <w:left w:val="single" w:sz="4" w:space="0" w:color="auto"/>
              <w:bottom w:val="single" w:sz="4" w:space="0" w:color="auto"/>
              <w:right w:val="single" w:sz="4" w:space="0" w:color="auto"/>
            </w:tcBorders>
            <w:hideMark/>
          </w:tcPr>
          <w:p w14:paraId="5B2971AD" w14:textId="77777777" w:rsidR="000F1C75" w:rsidRDefault="000F1C75" w:rsidP="000F1C75">
            <w:pPr>
              <w:pStyle w:val="Cnormln"/>
              <w:spacing w:before="60" w:after="60"/>
              <w:rPr>
                <w:rFonts w:asciiTheme="minorHAnsi" w:hAnsiTheme="minorHAnsi" w:cstheme="minorHAnsi"/>
                <w:b/>
                <w:bCs/>
              </w:rPr>
            </w:pPr>
            <w:r>
              <w:rPr>
                <w:rFonts w:asciiTheme="minorHAnsi" w:hAnsiTheme="minorHAnsi" w:cstheme="minorHAnsi"/>
                <w:b/>
                <w:bCs/>
              </w:rPr>
              <w:t>S2A.04/S3B.03: Zpráva o plnění evaluačního plánu programu</w:t>
            </w:r>
          </w:p>
        </w:tc>
      </w:tr>
      <w:tr w:rsidR="000F1C75" w14:paraId="6C927DAF" w14:textId="77777777" w:rsidTr="000F1C75">
        <w:tc>
          <w:tcPr>
            <w:tcW w:w="2881" w:type="dxa"/>
            <w:tcBorders>
              <w:top w:val="single" w:sz="4" w:space="0" w:color="auto"/>
              <w:left w:val="single" w:sz="4" w:space="0" w:color="auto"/>
              <w:bottom w:val="single" w:sz="4" w:space="0" w:color="auto"/>
              <w:right w:val="single" w:sz="4" w:space="0" w:color="auto"/>
            </w:tcBorders>
            <w:hideMark/>
          </w:tcPr>
          <w:p w14:paraId="373B5A38" w14:textId="77777777" w:rsidR="000F1C75" w:rsidRDefault="000F1C75" w:rsidP="000F1C75">
            <w:pPr>
              <w:pStyle w:val="Cnormln"/>
              <w:spacing w:before="60" w:after="60"/>
              <w:rPr>
                <w:rFonts w:asciiTheme="minorHAnsi" w:hAnsiTheme="minorHAnsi" w:cstheme="minorHAnsi"/>
                <w:bCs/>
              </w:rPr>
            </w:pPr>
            <w:r>
              <w:rPr>
                <w:rFonts w:asciiTheme="minorHAnsi" w:hAnsiTheme="minorHAnsi" w:cstheme="minorHAnsi"/>
                <w:bCs/>
              </w:rPr>
              <w:t>Zdůvodnění nadbytečnosti procesu</w:t>
            </w:r>
          </w:p>
        </w:tc>
        <w:tc>
          <w:tcPr>
            <w:tcW w:w="5822" w:type="dxa"/>
            <w:tcBorders>
              <w:top w:val="single" w:sz="4" w:space="0" w:color="auto"/>
              <w:left w:val="single" w:sz="4" w:space="0" w:color="auto"/>
              <w:bottom w:val="single" w:sz="4" w:space="0" w:color="auto"/>
              <w:right w:val="single" w:sz="4" w:space="0" w:color="auto"/>
            </w:tcBorders>
            <w:hideMark/>
          </w:tcPr>
          <w:p w14:paraId="7B00E65D" w14:textId="77777777" w:rsidR="000F1C75" w:rsidRDefault="000F1C75" w:rsidP="000F1C75">
            <w:pPr>
              <w:pStyle w:val="Cnormln"/>
              <w:spacing w:before="60" w:after="60"/>
              <w:rPr>
                <w:rFonts w:asciiTheme="minorHAnsi" w:hAnsiTheme="minorHAnsi" w:cstheme="minorHAnsi"/>
                <w:b/>
                <w:bCs/>
              </w:rPr>
            </w:pPr>
            <w:r w:rsidRPr="00C50DF2">
              <w:rPr>
                <w:rFonts w:asciiTheme="minorHAnsi" w:hAnsiTheme="minorHAnsi" w:cstheme="minorHAnsi"/>
                <w:b/>
                <w:bCs/>
              </w:rPr>
              <w:t>Jde de facto o zdvojení procesu zpracování informací o plnění EP do VZ. ZoP je sice detailnější, ale nepřináší žádnou přidanou hodnotu. ZoP je předkládána k projednání do EP pro evaluace a následně je vzata na vědomí MV. Dle zkušeností pracovníků ŘO jde o formální proces, ze strany PS ani MV nezískává ŘO ve vztahu k ZoP žádnou zpětnou vazbu.</w:t>
            </w:r>
          </w:p>
        </w:tc>
      </w:tr>
      <w:tr w:rsidR="000F1C75" w14:paraId="067106D5" w14:textId="77777777" w:rsidTr="000F1C75">
        <w:tc>
          <w:tcPr>
            <w:tcW w:w="2881" w:type="dxa"/>
            <w:tcBorders>
              <w:top w:val="single" w:sz="4" w:space="0" w:color="auto"/>
              <w:left w:val="single" w:sz="4" w:space="0" w:color="auto"/>
              <w:bottom w:val="single" w:sz="4" w:space="0" w:color="auto"/>
              <w:right w:val="single" w:sz="4" w:space="0" w:color="auto"/>
            </w:tcBorders>
            <w:hideMark/>
          </w:tcPr>
          <w:p w14:paraId="4AECA52D" w14:textId="77777777" w:rsidR="000F1C75" w:rsidRDefault="000F1C75" w:rsidP="000F1C75">
            <w:pPr>
              <w:pStyle w:val="Cnormln"/>
              <w:spacing w:before="60" w:after="60"/>
              <w:rPr>
                <w:rFonts w:asciiTheme="minorHAnsi" w:hAnsiTheme="minorHAnsi" w:cstheme="minorHAnsi"/>
                <w:bCs/>
              </w:rPr>
            </w:pPr>
            <w:r>
              <w:rPr>
                <w:rFonts w:asciiTheme="minorHAnsi" w:hAnsiTheme="minorHAnsi" w:cstheme="minorHAnsi"/>
                <w:bCs/>
              </w:rPr>
              <w:t>Předpoklady pro zrušení procesu</w:t>
            </w:r>
          </w:p>
        </w:tc>
        <w:tc>
          <w:tcPr>
            <w:tcW w:w="5822" w:type="dxa"/>
            <w:tcBorders>
              <w:top w:val="single" w:sz="4" w:space="0" w:color="auto"/>
              <w:left w:val="single" w:sz="4" w:space="0" w:color="auto"/>
              <w:bottom w:val="single" w:sz="4" w:space="0" w:color="auto"/>
              <w:right w:val="single" w:sz="4" w:space="0" w:color="auto"/>
            </w:tcBorders>
            <w:hideMark/>
          </w:tcPr>
          <w:p w14:paraId="738979E6" w14:textId="67F2CAC0" w:rsidR="000F1C75" w:rsidRDefault="000F1C75" w:rsidP="000F1C75">
            <w:pPr>
              <w:pStyle w:val="Cnormln"/>
              <w:spacing w:before="60" w:after="60"/>
              <w:rPr>
                <w:rFonts w:asciiTheme="minorHAnsi" w:hAnsiTheme="minorHAnsi" w:cstheme="minorHAnsi"/>
                <w:b/>
                <w:bCs/>
              </w:rPr>
            </w:pPr>
            <w:r>
              <w:rPr>
                <w:rFonts w:asciiTheme="minorHAnsi" w:hAnsiTheme="minorHAnsi" w:cstheme="minorHAnsi"/>
                <w:b/>
                <w:bCs/>
              </w:rPr>
              <w:t>Proces zpracování ZoP nelze zrušit, poněvadž vychází nejen z JMP (MP monitorování, kap. 9.6, MP evaluace, kap. 7.4, kap. 10 a další části MP), ale také přímo z Obecného nařízení, které uvádí (v článku 110), že MV operačního programu „prověřuje pokrok dosažený při provádění plánu hodnocení a opatření přijatá v návaznosti na závěry hodnocení“.</w:t>
            </w:r>
          </w:p>
          <w:p w14:paraId="7C16627D" w14:textId="77777777" w:rsidR="000F1C75" w:rsidRDefault="000F1C75" w:rsidP="000F1C75">
            <w:pPr>
              <w:pStyle w:val="Cnormln"/>
              <w:spacing w:before="60" w:after="60"/>
              <w:rPr>
                <w:rFonts w:asciiTheme="minorHAnsi" w:hAnsiTheme="minorHAnsi" w:cstheme="minorHAnsi"/>
                <w:b/>
                <w:bCs/>
              </w:rPr>
            </w:pPr>
            <w:r>
              <w:rPr>
                <w:rFonts w:asciiTheme="minorHAnsi" w:hAnsiTheme="minorHAnsi" w:cstheme="minorHAnsi"/>
                <w:b/>
                <w:bCs/>
              </w:rPr>
              <w:t xml:space="preserve">Stejně tak není možné eliminovat zdvojení na druhé straně, tedy odstraněním povinnosti zpracovávat shrnutí evaluací </w:t>
            </w:r>
            <w:r w:rsidR="008467CB">
              <w:rPr>
                <w:rFonts w:asciiTheme="minorHAnsi" w:hAnsiTheme="minorHAnsi" w:cstheme="minorHAnsi"/>
                <w:b/>
                <w:bCs/>
              </w:rPr>
              <w:br/>
            </w:r>
            <w:r>
              <w:rPr>
                <w:rFonts w:asciiTheme="minorHAnsi" w:hAnsiTheme="minorHAnsi" w:cstheme="minorHAnsi"/>
                <w:b/>
                <w:bCs/>
              </w:rPr>
              <w:t xml:space="preserve">do Výroční/závěrečné zprávy o implementaci programu. Tuto povinnost stanovuje také PO monitorování (příloha č. 28, která stanovuje strukturu Výroční/závěrečné zprávy </w:t>
            </w:r>
            <w:r w:rsidR="008467CB">
              <w:rPr>
                <w:rFonts w:asciiTheme="minorHAnsi" w:hAnsiTheme="minorHAnsi" w:cstheme="minorHAnsi"/>
                <w:b/>
                <w:bCs/>
              </w:rPr>
              <w:br/>
            </w:r>
            <w:r>
              <w:rPr>
                <w:rFonts w:asciiTheme="minorHAnsi" w:hAnsiTheme="minorHAnsi" w:cstheme="minorHAnsi"/>
                <w:b/>
                <w:bCs/>
              </w:rPr>
              <w:t>o implementaci programu), opět s odkazem na Obecné nařízení (čl. 50, odst. 2).</w:t>
            </w:r>
          </w:p>
          <w:p w14:paraId="01CD5205" w14:textId="1A09D1D6" w:rsidR="000F1C75" w:rsidRDefault="000F1C75" w:rsidP="000F1C75">
            <w:pPr>
              <w:pStyle w:val="Cnormln"/>
              <w:spacing w:before="60" w:after="60"/>
              <w:rPr>
                <w:rFonts w:asciiTheme="minorHAnsi" w:hAnsiTheme="minorHAnsi" w:cstheme="minorHAnsi"/>
                <w:b/>
                <w:bCs/>
              </w:rPr>
            </w:pPr>
            <w:r>
              <w:rPr>
                <w:rFonts w:asciiTheme="minorHAnsi" w:hAnsiTheme="minorHAnsi" w:cstheme="minorHAnsi"/>
                <w:b/>
                <w:bCs/>
              </w:rPr>
              <w:t xml:space="preserve">Řešením zdvojení procesu je jejich sloučení, jehož podmínkou je sloučení struktury a požadovaných informací </w:t>
            </w:r>
            <w:r w:rsidR="008467CB">
              <w:rPr>
                <w:rFonts w:asciiTheme="minorHAnsi" w:hAnsiTheme="minorHAnsi" w:cstheme="minorHAnsi"/>
                <w:b/>
                <w:bCs/>
              </w:rPr>
              <w:t>z</w:t>
            </w:r>
            <w:r>
              <w:rPr>
                <w:rFonts w:asciiTheme="minorHAnsi" w:hAnsiTheme="minorHAnsi" w:cstheme="minorHAnsi"/>
                <w:b/>
                <w:bCs/>
              </w:rPr>
              <w:t xml:space="preserve"> obou výstupů (tedy samotné ZoP a kap. 4 VZ /ZZ) tak, </w:t>
            </w:r>
            <w:r w:rsidR="008467CB">
              <w:rPr>
                <w:rFonts w:asciiTheme="minorHAnsi" w:hAnsiTheme="minorHAnsi" w:cstheme="minorHAnsi"/>
                <w:b/>
                <w:bCs/>
              </w:rPr>
              <w:br/>
            </w:r>
            <w:r>
              <w:rPr>
                <w:rFonts w:asciiTheme="minorHAnsi" w:hAnsiTheme="minorHAnsi" w:cstheme="minorHAnsi"/>
                <w:b/>
                <w:bCs/>
              </w:rPr>
              <w:t xml:space="preserve">aby byly naplněny totožným dokumentem. </w:t>
            </w:r>
          </w:p>
          <w:p w14:paraId="3CD03FFD" w14:textId="77777777" w:rsidR="000F1C75" w:rsidRDefault="000F1C75" w:rsidP="000F1C75">
            <w:pPr>
              <w:pStyle w:val="Cnormln"/>
              <w:spacing w:before="60" w:after="60"/>
              <w:rPr>
                <w:rFonts w:asciiTheme="minorHAnsi" w:hAnsiTheme="minorHAnsi" w:cstheme="minorHAnsi"/>
                <w:b/>
                <w:bCs/>
              </w:rPr>
            </w:pPr>
            <w:r>
              <w:rPr>
                <w:rFonts w:asciiTheme="minorHAnsi" w:hAnsiTheme="minorHAnsi" w:cstheme="minorHAnsi"/>
                <w:b/>
                <w:bCs/>
              </w:rPr>
              <w:t>S ohledem na skutečnost, že strukturu ZoP i VZ/ZZ stanovují metodiky JMP, nelze uvedeného sloučení docílit pouze odpovídající úpravou metodického prostředí OP PIK</w:t>
            </w:r>
            <w:r w:rsidR="008467CB">
              <w:rPr>
                <w:rFonts w:asciiTheme="minorHAnsi" w:hAnsiTheme="minorHAnsi" w:cstheme="minorHAnsi"/>
                <w:b/>
                <w:bCs/>
              </w:rPr>
              <w:t xml:space="preserve"> </w:t>
            </w:r>
            <w:r>
              <w:rPr>
                <w:rFonts w:asciiTheme="minorHAnsi" w:hAnsiTheme="minorHAnsi" w:cstheme="minorHAnsi"/>
                <w:b/>
                <w:bCs/>
              </w:rPr>
              <w:t>–</w:t>
            </w:r>
            <w:r w:rsidR="008467CB">
              <w:rPr>
                <w:rFonts w:asciiTheme="minorHAnsi" w:hAnsiTheme="minorHAnsi" w:cstheme="minorHAnsi"/>
                <w:b/>
                <w:bCs/>
              </w:rPr>
              <w:t xml:space="preserve"> </w:t>
            </w:r>
            <w:r>
              <w:rPr>
                <w:rFonts w:asciiTheme="minorHAnsi" w:hAnsiTheme="minorHAnsi" w:cstheme="minorHAnsi"/>
                <w:b/>
                <w:bCs/>
              </w:rPr>
              <w:t>bylo by nutné nejprve aktualizovat příslušné MP NOK.</w:t>
            </w:r>
          </w:p>
          <w:p w14:paraId="1C33B344" w14:textId="77777777" w:rsidR="000F1C75" w:rsidRDefault="000F1C75" w:rsidP="000F1C75">
            <w:pPr>
              <w:pStyle w:val="Cnormln"/>
              <w:spacing w:before="60" w:after="60"/>
              <w:rPr>
                <w:rFonts w:asciiTheme="minorHAnsi" w:hAnsiTheme="minorHAnsi" w:cstheme="minorHAnsi"/>
                <w:b/>
                <w:bCs/>
              </w:rPr>
            </w:pPr>
          </w:p>
        </w:tc>
      </w:tr>
      <w:tr w:rsidR="000F1C75" w14:paraId="2BBA406A" w14:textId="77777777" w:rsidTr="000F1C75">
        <w:tc>
          <w:tcPr>
            <w:tcW w:w="2881" w:type="dxa"/>
            <w:tcBorders>
              <w:top w:val="single" w:sz="4" w:space="0" w:color="auto"/>
              <w:left w:val="single" w:sz="4" w:space="0" w:color="auto"/>
              <w:bottom w:val="single" w:sz="4" w:space="0" w:color="auto"/>
              <w:right w:val="single" w:sz="4" w:space="0" w:color="auto"/>
            </w:tcBorders>
            <w:hideMark/>
          </w:tcPr>
          <w:p w14:paraId="391FC5AA" w14:textId="77777777" w:rsidR="000F1C75" w:rsidRDefault="000F1C75" w:rsidP="000F1C75">
            <w:pPr>
              <w:pStyle w:val="Cnormln"/>
              <w:spacing w:before="60" w:after="60"/>
              <w:rPr>
                <w:rFonts w:asciiTheme="minorHAnsi" w:hAnsiTheme="minorHAnsi" w:cstheme="minorHAnsi"/>
                <w:bCs/>
              </w:rPr>
            </w:pPr>
            <w:r>
              <w:rPr>
                <w:rFonts w:asciiTheme="minorHAnsi" w:hAnsiTheme="minorHAnsi" w:cstheme="minorHAnsi"/>
                <w:bCs/>
              </w:rPr>
              <w:t xml:space="preserve">Přínosy a dopady zrušení procesu </w:t>
            </w:r>
          </w:p>
        </w:tc>
        <w:tc>
          <w:tcPr>
            <w:tcW w:w="5822" w:type="dxa"/>
            <w:tcBorders>
              <w:top w:val="single" w:sz="4" w:space="0" w:color="auto"/>
              <w:left w:val="single" w:sz="4" w:space="0" w:color="auto"/>
              <w:bottom w:val="single" w:sz="4" w:space="0" w:color="auto"/>
              <w:right w:val="single" w:sz="4" w:space="0" w:color="auto"/>
            </w:tcBorders>
            <w:hideMark/>
          </w:tcPr>
          <w:p w14:paraId="12EECBA6" w14:textId="77777777" w:rsidR="000F1C75" w:rsidRDefault="000F1C75" w:rsidP="000F1C75">
            <w:pPr>
              <w:pStyle w:val="Cnormln"/>
              <w:spacing w:before="60" w:after="60"/>
              <w:rPr>
                <w:rFonts w:asciiTheme="minorHAnsi" w:hAnsiTheme="minorHAnsi" w:cstheme="minorHAnsi"/>
                <w:b/>
                <w:bCs/>
              </w:rPr>
            </w:pPr>
            <w:r>
              <w:rPr>
                <w:rFonts w:asciiTheme="minorHAnsi" w:hAnsiTheme="minorHAnsi" w:cstheme="minorHAnsi"/>
                <w:b/>
                <w:bCs/>
              </w:rPr>
              <w:t>Snížení administrativní zátěže, zrušení procesu, který je zpracováván zdvojeně bez jakékoliv přidané hodnoty.</w:t>
            </w:r>
          </w:p>
          <w:p w14:paraId="6E075E51" w14:textId="77777777" w:rsidR="000F1C75" w:rsidRDefault="000F1C75" w:rsidP="000F1C75">
            <w:pPr>
              <w:pStyle w:val="Cnormln"/>
              <w:spacing w:before="60" w:after="60"/>
              <w:rPr>
                <w:rFonts w:asciiTheme="minorHAnsi" w:hAnsiTheme="minorHAnsi" w:cstheme="minorHAnsi"/>
                <w:b/>
                <w:bCs/>
              </w:rPr>
            </w:pPr>
          </w:p>
        </w:tc>
      </w:tr>
      <w:tr w:rsidR="000F1C75" w14:paraId="605EEACE" w14:textId="77777777" w:rsidTr="000F1C75">
        <w:tc>
          <w:tcPr>
            <w:tcW w:w="2881" w:type="dxa"/>
            <w:tcBorders>
              <w:top w:val="single" w:sz="4" w:space="0" w:color="auto"/>
              <w:left w:val="single" w:sz="4" w:space="0" w:color="auto"/>
              <w:bottom w:val="single" w:sz="4" w:space="0" w:color="auto"/>
              <w:right w:val="single" w:sz="4" w:space="0" w:color="auto"/>
            </w:tcBorders>
            <w:hideMark/>
          </w:tcPr>
          <w:p w14:paraId="2345E712" w14:textId="77777777" w:rsidR="000F1C75" w:rsidRDefault="000F1C75" w:rsidP="000F1C75">
            <w:pPr>
              <w:pStyle w:val="Cnormln"/>
              <w:spacing w:before="60" w:after="60"/>
              <w:rPr>
                <w:rFonts w:asciiTheme="minorHAnsi" w:hAnsiTheme="minorHAnsi" w:cstheme="minorHAnsi"/>
                <w:bCs/>
              </w:rPr>
            </w:pPr>
            <w:r>
              <w:rPr>
                <w:rFonts w:asciiTheme="minorHAnsi" w:hAnsiTheme="minorHAnsi" w:cstheme="minorHAnsi"/>
                <w:bCs/>
              </w:rPr>
              <w:t>Doporučení pro průběh rušení procesu (harmonogram, informační strategie, úpravy související dokumentace atd.)</w:t>
            </w:r>
          </w:p>
        </w:tc>
        <w:tc>
          <w:tcPr>
            <w:tcW w:w="5822" w:type="dxa"/>
            <w:tcBorders>
              <w:top w:val="single" w:sz="4" w:space="0" w:color="auto"/>
              <w:left w:val="single" w:sz="4" w:space="0" w:color="auto"/>
              <w:bottom w:val="single" w:sz="4" w:space="0" w:color="auto"/>
              <w:right w:val="single" w:sz="4" w:space="0" w:color="auto"/>
            </w:tcBorders>
            <w:hideMark/>
          </w:tcPr>
          <w:p w14:paraId="4BBE58BB" w14:textId="77777777" w:rsidR="000F1C75" w:rsidRDefault="000F1C75" w:rsidP="000F1C75">
            <w:pPr>
              <w:pStyle w:val="Cnormln"/>
              <w:spacing w:before="60" w:after="60"/>
              <w:rPr>
                <w:rFonts w:asciiTheme="minorHAnsi" w:hAnsiTheme="minorHAnsi" w:cstheme="minorHAnsi"/>
                <w:b/>
                <w:bCs/>
              </w:rPr>
            </w:pPr>
            <w:r>
              <w:rPr>
                <w:rFonts w:asciiTheme="minorHAnsi" w:hAnsiTheme="minorHAnsi" w:cstheme="minorHAnsi"/>
                <w:b/>
                <w:bCs/>
              </w:rPr>
              <w:t xml:space="preserve">Sloučení procesu zpracování ZoP EP se zpracováním informace o plnění EP do VZ lze docílit pouze iniciací úpravy MP monitoring a MP evaluace, které strukturu a obsah VZ/ZZ a ZoP závazně stanovují. Není pravděpodobné, že by takové úpravy závazných MP bylo možné v tomto PO docílit. Jako vhodnější se tak jeví strategie zohlednit zkušenost se </w:t>
            </w:r>
            <w:r>
              <w:rPr>
                <w:rFonts w:asciiTheme="minorHAnsi" w:hAnsiTheme="minorHAnsi" w:cstheme="minorHAnsi"/>
                <w:b/>
                <w:bCs/>
              </w:rPr>
              <w:lastRenderedPageBreak/>
              <w:t>zdvojením obou procesů při jednáních o tvorbě jednotného metodického prostředí pro nové PO.</w:t>
            </w:r>
          </w:p>
        </w:tc>
      </w:tr>
    </w:tbl>
    <w:p w14:paraId="3462B7C1" w14:textId="77777777" w:rsidR="000F1C75" w:rsidRPr="00C50DF2" w:rsidRDefault="000F1C75" w:rsidP="000F1C75"/>
    <w:p w14:paraId="4A303590" w14:textId="77777777" w:rsidR="000F1C75" w:rsidRDefault="000F1C75" w:rsidP="008E4AD6">
      <w:pPr>
        <w:rPr>
          <w:b/>
          <w:bCs/>
        </w:rPr>
      </w:pPr>
      <w:r>
        <w:rPr>
          <w:b/>
          <w:bCs/>
        </w:rPr>
        <w:t>Proces S2B</w:t>
      </w:r>
      <w:r w:rsidR="008467CB">
        <w:rPr>
          <w:b/>
          <w:bCs/>
        </w:rPr>
        <w:t xml:space="preserve"> </w:t>
      </w:r>
      <w:r>
        <w:rPr>
          <w:b/>
          <w:bCs/>
        </w:rPr>
        <w:t>–</w:t>
      </w:r>
      <w:r w:rsidR="008467CB">
        <w:rPr>
          <w:b/>
          <w:bCs/>
        </w:rPr>
        <w:t xml:space="preserve"> </w:t>
      </w:r>
      <w:r>
        <w:rPr>
          <w:b/>
          <w:bCs/>
        </w:rPr>
        <w:t>Koordinace OP</w:t>
      </w:r>
      <w:r w:rsidR="008467CB">
        <w:rPr>
          <w:b/>
          <w:bCs/>
        </w:rPr>
        <w:t xml:space="preserve"> </w:t>
      </w:r>
      <w:r>
        <w:rPr>
          <w:b/>
          <w:bCs/>
        </w:rPr>
        <w:t>–</w:t>
      </w:r>
      <w:r w:rsidR="008467CB">
        <w:rPr>
          <w:b/>
          <w:bCs/>
        </w:rPr>
        <w:t xml:space="preserve"> </w:t>
      </w:r>
      <w:r>
        <w:rPr>
          <w:b/>
          <w:bCs/>
        </w:rPr>
        <w:t>Indikátory</w:t>
      </w:r>
    </w:p>
    <w:p w14:paraId="3683B5F9" w14:textId="77777777" w:rsidR="000F1C75" w:rsidRDefault="000F1C75" w:rsidP="008E4AD6">
      <w:pPr>
        <w:pStyle w:val="Odstavecseseznamem"/>
        <w:numPr>
          <w:ilvl w:val="0"/>
          <w:numId w:val="30"/>
        </w:numPr>
        <w:spacing w:after="160" w:line="259" w:lineRule="auto"/>
      </w:pPr>
      <w:r>
        <w:t xml:space="preserve">Nebyly identifikovány žádné </w:t>
      </w:r>
      <w:r w:rsidRPr="001130D7">
        <w:t>na</w:t>
      </w:r>
      <w:r>
        <w:t xml:space="preserve">dbytečné procesy nebo jejich části, které by měly významný dopad na efektivitu řízení a administrace TP v rámci procesu S2B. </w:t>
      </w:r>
    </w:p>
    <w:p w14:paraId="75E8D111" w14:textId="77777777" w:rsidR="000F1C75" w:rsidRDefault="000F1C75" w:rsidP="008E4AD6">
      <w:pPr>
        <w:pStyle w:val="Odstavecseseznamem"/>
        <w:numPr>
          <w:ilvl w:val="0"/>
          <w:numId w:val="30"/>
        </w:numPr>
        <w:spacing w:after="160" w:line="259" w:lineRule="auto"/>
      </w:pPr>
      <w:r>
        <w:t>Výjimku tvoří obecnější výhrady ke zbytečně náročnému vykazování některých indikátorů, které jsou dopočítávány na základě externích statistik, a bylo by tak teoreticky možné jejich nápočet automatizovat. Nejedná se ale o indikátory relevantní pro PO 5 OP PIK; analýza metodiky vykazování indikátorů dalších PO programu je nad rámec této evaluace.</w:t>
      </w:r>
    </w:p>
    <w:p w14:paraId="7FA9818B" w14:textId="77777777" w:rsidR="000F1C75" w:rsidRDefault="000F1C75" w:rsidP="008E4AD6">
      <w:pPr>
        <w:pStyle w:val="Odstavecseseznamem"/>
        <w:numPr>
          <w:ilvl w:val="0"/>
          <w:numId w:val="30"/>
        </w:numPr>
        <w:spacing w:after="160" w:line="259" w:lineRule="auto"/>
      </w:pPr>
      <w:r>
        <w:t xml:space="preserve">Určité výhrady ve vztahu k technickému řešení vkládání dosažených hodnot a závazků </w:t>
      </w:r>
      <w:r w:rsidR="008D7212">
        <w:br/>
      </w:r>
      <w:r>
        <w:t>do MS2014+, jedná se ale již o technické řešení monitorovacího systému, nikoliv procesní nedostatek.</w:t>
      </w:r>
    </w:p>
    <w:p w14:paraId="24DBA1D1" w14:textId="77777777" w:rsidR="000F1C75" w:rsidRPr="00360278" w:rsidRDefault="000F1C75" w:rsidP="008E4AD6">
      <w:pPr>
        <w:rPr>
          <w:b/>
          <w:bCs/>
        </w:rPr>
      </w:pPr>
      <w:r w:rsidRPr="00360278">
        <w:rPr>
          <w:b/>
          <w:bCs/>
        </w:rPr>
        <w:t>Proces S3B</w:t>
      </w:r>
      <w:r w:rsidR="008D7212">
        <w:rPr>
          <w:b/>
          <w:bCs/>
        </w:rPr>
        <w:t xml:space="preserve"> </w:t>
      </w:r>
      <w:r>
        <w:rPr>
          <w:b/>
          <w:bCs/>
        </w:rPr>
        <w:t>–</w:t>
      </w:r>
      <w:r w:rsidR="008D7212">
        <w:rPr>
          <w:b/>
          <w:bCs/>
        </w:rPr>
        <w:t xml:space="preserve"> </w:t>
      </w:r>
      <w:r w:rsidRPr="00360278">
        <w:rPr>
          <w:b/>
          <w:bCs/>
        </w:rPr>
        <w:t>Koordinace OP</w:t>
      </w:r>
      <w:r w:rsidR="008D7212">
        <w:rPr>
          <w:b/>
          <w:bCs/>
        </w:rPr>
        <w:t xml:space="preserve"> </w:t>
      </w:r>
      <w:r>
        <w:rPr>
          <w:b/>
          <w:bCs/>
        </w:rPr>
        <w:t>–</w:t>
      </w:r>
      <w:r w:rsidR="008D7212">
        <w:rPr>
          <w:b/>
          <w:bCs/>
        </w:rPr>
        <w:t xml:space="preserve"> </w:t>
      </w:r>
      <w:r w:rsidRPr="00360278">
        <w:rPr>
          <w:b/>
          <w:bCs/>
        </w:rPr>
        <w:t>Monitorování</w:t>
      </w:r>
    </w:p>
    <w:p w14:paraId="18DB8D32" w14:textId="77777777" w:rsidR="000F1C75" w:rsidRDefault="000F1C75" w:rsidP="008E4AD6">
      <w:pPr>
        <w:pStyle w:val="Odstavecseseznamem"/>
        <w:numPr>
          <w:ilvl w:val="0"/>
          <w:numId w:val="30"/>
        </w:numPr>
        <w:spacing w:after="160" w:line="259" w:lineRule="auto"/>
      </w:pPr>
      <w:r>
        <w:t xml:space="preserve">Nebyly identifikovány nadbytečné procesy nebo jejich části. </w:t>
      </w:r>
    </w:p>
    <w:p w14:paraId="39C46878" w14:textId="77777777" w:rsidR="000F1C75" w:rsidRDefault="000F1C75" w:rsidP="008E4AD6">
      <w:pPr>
        <w:pStyle w:val="Odstavecseseznamem"/>
        <w:numPr>
          <w:ilvl w:val="0"/>
          <w:numId w:val="30"/>
        </w:numPr>
        <w:spacing w:after="160" w:line="259" w:lineRule="auto"/>
      </w:pPr>
      <w:r>
        <w:t>Pracovníci ŘO se ovšem vyjadřují k formě (struktuře) zpracování SRP. NOK, dle vyjádření pracovníků ŘO, při poslední aktualizaci MP monitoring zrušil povinnost standardizovaného SRP a jeho vyhodnocení. Tato skutečnost poskytuje příležitost k optimalizaci struktury těchto dokumentů (zjednodušení, zestručnění) při zachování její informativní hodnoty ve vztahu k požadavkům OM. Případná optimalizace struktury těchto dokumentů vyžaduje úpravu přílohy S3B_01_M OM.</w:t>
      </w:r>
    </w:p>
    <w:p w14:paraId="3EE88B00" w14:textId="77777777" w:rsidR="000F1C75" w:rsidRDefault="000F1C75" w:rsidP="008E4AD6">
      <w:pPr>
        <w:rPr>
          <w:b/>
          <w:bCs/>
        </w:rPr>
      </w:pPr>
      <w:r w:rsidRPr="00D97508">
        <w:rPr>
          <w:b/>
          <w:bCs/>
        </w:rPr>
        <w:t>Proces S4</w:t>
      </w:r>
      <w:r w:rsidR="008D7212">
        <w:rPr>
          <w:b/>
          <w:bCs/>
        </w:rPr>
        <w:t xml:space="preserve"> </w:t>
      </w:r>
      <w:r>
        <w:rPr>
          <w:b/>
          <w:bCs/>
        </w:rPr>
        <w:t>–</w:t>
      </w:r>
      <w:r w:rsidR="008D7212">
        <w:rPr>
          <w:b/>
          <w:bCs/>
        </w:rPr>
        <w:t xml:space="preserve"> </w:t>
      </w:r>
      <w:r w:rsidRPr="00D97508">
        <w:rPr>
          <w:b/>
          <w:bCs/>
        </w:rPr>
        <w:t>Koordinace OP</w:t>
      </w:r>
      <w:r w:rsidR="008D7212">
        <w:rPr>
          <w:b/>
          <w:bCs/>
        </w:rPr>
        <w:t xml:space="preserve"> </w:t>
      </w:r>
      <w:r>
        <w:rPr>
          <w:b/>
          <w:bCs/>
        </w:rPr>
        <w:t>–</w:t>
      </w:r>
      <w:r w:rsidR="008D7212">
        <w:rPr>
          <w:b/>
          <w:bCs/>
        </w:rPr>
        <w:t xml:space="preserve"> </w:t>
      </w:r>
      <w:r w:rsidRPr="00D97508">
        <w:rPr>
          <w:b/>
          <w:bCs/>
        </w:rPr>
        <w:t>Publicita</w:t>
      </w:r>
    </w:p>
    <w:p w14:paraId="7A295CCF" w14:textId="77777777" w:rsidR="000F1C75" w:rsidRDefault="000F1C75" w:rsidP="008E4AD6">
      <w:pPr>
        <w:pStyle w:val="Odstavecseseznamem"/>
        <w:numPr>
          <w:ilvl w:val="0"/>
          <w:numId w:val="30"/>
        </w:numPr>
        <w:spacing w:after="160" w:line="259" w:lineRule="auto"/>
      </w:pPr>
      <w:r>
        <w:t xml:space="preserve">Ze strany pracovníků ŘO byl identifikován deficit v procesu dvojího schvalování, resp. připomínkového řízení vůči RKoP ze strany pracovníků MMR. V první fázi je RKoP připomínkován a schvalován tajemníkem PS Publicita. Tato schválená verze je následně předložena členům MV, kteří mohou opět uplatňovat připomínky. Pracovníky ŘO je pozorováno, že zástupci MMR uplatňují připomínky vůči RKoP, který byl v předchozím kroku schválen jiným útvarem MMR (tajemník PS Publicita), vyšší míra koordinace v této fázi by proto zvýšila efektivitu procesu. </w:t>
      </w:r>
    </w:p>
    <w:p w14:paraId="1FDA5AED" w14:textId="77777777" w:rsidR="000F1C75" w:rsidRDefault="000F1C75" w:rsidP="008E4AD6">
      <w:pPr>
        <w:pStyle w:val="Odstavecseseznamem"/>
        <w:numPr>
          <w:ilvl w:val="0"/>
          <w:numId w:val="30"/>
        </w:numPr>
        <w:spacing w:after="160" w:line="259" w:lineRule="auto"/>
      </w:pPr>
      <w:r>
        <w:t>Proces schvalování RKoP a zapojení tajemníka PS publicita je ale předepsán Metodickým pokynem NOK, jehož úpravy nejsou předmětem této evaluace. Z tohoto důvodu není formulováno optimalizační doporučení.</w:t>
      </w:r>
    </w:p>
    <w:p w14:paraId="16DEF4F7" w14:textId="77777777" w:rsidR="000F1C75" w:rsidRDefault="000F1C75" w:rsidP="008E4AD6">
      <w:pPr>
        <w:rPr>
          <w:b/>
          <w:bCs/>
        </w:rPr>
      </w:pPr>
      <w:r w:rsidRPr="00F128D6">
        <w:rPr>
          <w:b/>
          <w:bCs/>
        </w:rPr>
        <w:t>Proces S6</w:t>
      </w:r>
      <w:r w:rsidR="00F679F1">
        <w:rPr>
          <w:b/>
          <w:bCs/>
        </w:rPr>
        <w:t xml:space="preserve"> </w:t>
      </w:r>
      <w:r>
        <w:rPr>
          <w:b/>
          <w:bCs/>
        </w:rPr>
        <w:t>–</w:t>
      </w:r>
      <w:r w:rsidR="00F679F1">
        <w:rPr>
          <w:b/>
          <w:bCs/>
        </w:rPr>
        <w:t xml:space="preserve"> </w:t>
      </w:r>
      <w:r w:rsidRPr="00F128D6">
        <w:rPr>
          <w:b/>
          <w:bCs/>
        </w:rPr>
        <w:t>Finanční plán, alokace a realokace TP</w:t>
      </w:r>
    </w:p>
    <w:p w14:paraId="02686A6C" w14:textId="5543E64B" w:rsidR="000F1C75" w:rsidRDefault="000F1C75" w:rsidP="008E4AD6">
      <w:pPr>
        <w:pStyle w:val="Odstavecseseznamem"/>
        <w:numPr>
          <w:ilvl w:val="0"/>
          <w:numId w:val="30"/>
        </w:numPr>
        <w:spacing w:after="160" w:line="259" w:lineRule="auto"/>
      </w:pPr>
      <w:r>
        <w:t xml:space="preserve">Při analýze procesu nebyly identifikovány nadbytečné procesy jako takové. Pracovníci ŘO ale </w:t>
      </w:r>
      <w:r w:rsidR="003F7496">
        <w:t xml:space="preserve">mají výhrady vůči </w:t>
      </w:r>
      <w:r>
        <w:t>technické</w:t>
      </w:r>
      <w:r w:rsidR="003F7496">
        <w:t>mu</w:t>
      </w:r>
      <w:r>
        <w:t xml:space="preserve"> řešení procesu. Klíčovým úzkým místem finančního řízení je zanesení změn finančního plánu do MS2014+. Tento proces doposud není automatizován, finanční plán tak je nutné zpracovávat a aktualizovat odděleně, prostřednictvím vlastních tabulek v excelu. Tato skutečně omezuje efektivitu finančního řízení.</w:t>
      </w:r>
    </w:p>
    <w:p w14:paraId="7AC757AB" w14:textId="77777777" w:rsidR="000F1C75" w:rsidRDefault="000F1C75" w:rsidP="008E4AD6">
      <w:pPr>
        <w:pStyle w:val="Odstavecseseznamem"/>
        <w:numPr>
          <w:ilvl w:val="0"/>
          <w:numId w:val="30"/>
        </w:numPr>
        <w:spacing w:after="160" w:line="259" w:lineRule="auto"/>
      </w:pPr>
      <w:r>
        <w:t>Uvedené úzké místo nelze eliminovat úpravou metodického prostřední pro řízení TP OP PIK, není proto formulováno optimalizační doporučení.</w:t>
      </w:r>
    </w:p>
    <w:p w14:paraId="4C7B424B" w14:textId="77777777" w:rsidR="000F1C75" w:rsidRDefault="000F1C75" w:rsidP="000F1C75">
      <w:pPr>
        <w:spacing w:after="160" w:line="259" w:lineRule="auto"/>
        <w:jc w:val="left"/>
      </w:pPr>
    </w:p>
    <w:p w14:paraId="2FAB1BE0" w14:textId="77777777" w:rsidR="000F1C75" w:rsidRDefault="000F1C75" w:rsidP="000F1C75">
      <w:pPr>
        <w:rPr>
          <w:b/>
          <w:bCs/>
        </w:rPr>
      </w:pPr>
      <w:r>
        <w:rPr>
          <w:b/>
          <w:bCs/>
        </w:rPr>
        <w:lastRenderedPageBreak/>
        <w:t>Procesy IP2 a IP3</w:t>
      </w:r>
      <w:r w:rsidR="00F679F1">
        <w:rPr>
          <w:b/>
          <w:bCs/>
        </w:rPr>
        <w:t xml:space="preserve"> </w:t>
      </w:r>
      <w:r>
        <w:rPr>
          <w:b/>
          <w:bCs/>
        </w:rPr>
        <w:t>–</w:t>
      </w:r>
      <w:r w:rsidR="00F679F1">
        <w:rPr>
          <w:b/>
          <w:bCs/>
        </w:rPr>
        <w:t xml:space="preserve"> </w:t>
      </w:r>
      <w:r>
        <w:rPr>
          <w:b/>
          <w:bCs/>
        </w:rPr>
        <w:t>Technická pomoc MPO a API</w:t>
      </w:r>
    </w:p>
    <w:p w14:paraId="5259380A" w14:textId="77777777" w:rsidR="000F1C75" w:rsidRDefault="000F1C75" w:rsidP="000F1C75">
      <w:r w:rsidRPr="002F1D75">
        <w:t>B</w:t>
      </w:r>
      <w:r>
        <w:t>yl identifikován následující nadbytečný proces:</w:t>
      </w:r>
    </w:p>
    <w:tbl>
      <w:tblPr>
        <w:tblW w:w="8703" w:type="dxa"/>
        <w:tblInd w:w="364" w:type="dxa"/>
        <w:tblLook w:val="04A0" w:firstRow="1" w:lastRow="0" w:firstColumn="1" w:lastColumn="0" w:noHBand="0" w:noVBand="1"/>
      </w:tblPr>
      <w:tblGrid>
        <w:gridCol w:w="2881"/>
        <w:gridCol w:w="5822"/>
      </w:tblGrid>
      <w:tr w:rsidR="000F1C75" w14:paraId="571640CB" w14:textId="77777777" w:rsidTr="000F1C75">
        <w:tc>
          <w:tcPr>
            <w:tcW w:w="2881" w:type="dxa"/>
            <w:tcBorders>
              <w:top w:val="single" w:sz="4" w:space="0" w:color="auto"/>
              <w:left w:val="single" w:sz="4" w:space="0" w:color="auto"/>
              <w:bottom w:val="single" w:sz="4" w:space="0" w:color="auto"/>
              <w:right w:val="single" w:sz="4" w:space="0" w:color="auto"/>
            </w:tcBorders>
            <w:hideMark/>
          </w:tcPr>
          <w:p w14:paraId="43C7C567" w14:textId="77777777" w:rsidR="000F1C75" w:rsidRDefault="000F1C75" w:rsidP="000F1C75">
            <w:pPr>
              <w:pStyle w:val="Cnormln"/>
              <w:spacing w:before="60" w:after="60"/>
              <w:rPr>
                <w:rFonts w:asciiTheme="minorHAnsi" w:hAnsiTheme="minorHAnsi" w:cstheme="minorHAnsi"/>
                <w:bCs/>
              </w:rPr>
            </w:pPr>
            <w:r>
              <w:rPr>
                <w:rFonts w:asciiTheme="minorHAnsi" w:hAnsiTheme="minorHAnsi" w:cstheme="minorHAnsi"/>
                <w:bCs/>
              </w:rPr>
              <w:t>Identifikace procesu</w:t>
            </w:r>
          </w:p>
        </w:tc>
        <w:tc>
          <w:tcPr>
            <w:tcW w:w="5822" w:type="dxa"/>
            <w:tcBorders>
              <w:top w:val="single" w:sz="4" w:space="0" w:color="auto"/>
              <w:left w:val="single" w:sz="4" w:space="0" w:color="auto"/>
              <w:bottom w:val="single" w:sz="4" w:space="0" w:color="auto"/>
              <w:right w:val="single" w:sz="4" w:space="0" w:color="auto"/>
            </w:tcBorders>
            <w:hideMark/>
          </w:tcPr>
          <w:p w14:paraId="61ECDE3A" w14:textId="77777777" w:rsidR="000F1C75" w:rsidRDefault="000F1C75" w:rsidP="000F1C75">
            <w:pPr>
              <w:pStyle w:val="Cnormln"/>
              <w:spacing w:before="60" w:after="60"/>
              <w:rPr>
                <w:rFonts w:asciiTheme="minorHAnsi" w:hAnsiTheme="minorHAnsi" w:cstheme="minorHAnsi"/>
                <w:b/>
                <w:bCs/>
              </w:rPr>
            </w:pPr>
            <w:r>
              <w:rPr>
                <w:rFonts w:asciiTheme="minorHAnsi" w:hAnsiTheme="minorHAnsi" w:cstheme="minorHAnsi"/>
                <w:b/>
                <w:bCs/>
              </w:rPr>
              <w:t>IP2.08 Kontrola a proplácení faktur</w:t>
            </w:r>
          </w:p>
        </w:tc>
      </w:tr>
      <w:tr w:rsidR="000F1C75" w14:paraId="570FA323" w14:textId="77777777" w:rsidTr="000F1C75">
        <w:tc>
          <w:tcPr>
            <w:tcW w:w="2881" w:type="dxa"/>
            <w:tcBorders>
              <w:top w:val="single" w:sz="4" w:space="0" w:color="auto"/>
              <w:left w:val="single" w:sz="4" w:space="0" w:color="auto"/>
              <w:bottom w:val="single" w:sz="4" w:space="0" w:color="auto"/>
              <w:right w:val="single" w:sz="4" w:space="0" w:color="auto"/>
            </w:tcBorders>
            <w:hideMark/>
          </w:tcPr>
          <w:p w14:paraId="0BC090E7" w14:textId="77777777" w:rsidR="000F1C75" w:rsidRDefault="000F1C75" w:rsidP="000F1C75">
            <w:pPr>
              <w:pStyle w:val="Cnormln"/>
              <w:spacing w:before="60" w:after="60"/>
              <w:rPr>
                <w:rFonts w:asciiTheme="minorHAnsi" w:hAnsiTheme="minorHAnsi" w:cstheme="minorHAnsi"/>
                <w:bCs/>
              </w:rPr>
            </w:pPr>
            <w:r>
              <w:rPr>
                <w:rFonts w:asciiTheme="minorHAnsi" w:hAnsiTheme="minorHAnsi" w:cstheme="minorHAnsi"/>
                <w:bCs/>
              </w:rPr>
              <w:t>Zdůvodnění nadbytečnosti procesu</w:t>
            </w:r>
          </w:p>
        </w:tc>
        <w:tc>
          <w:tcPr>
            <w:tcW w:w="5822" w:type="dxa"/>
            <w:tcBorders>
              <w:top w:val="single" w:sz="4" w:space="0" w:color="auto"/>
              <w:left w:val="single" w:sz="4" w:space="0" w:color="auto"/>
              <w:bottom w:val="single" w:sz="4" w:space="0" w:color="auto"/>
              <w:right w:val="single" w:sz="4" w:space="0" w:color="auto"/>
            </w:tcBorders>
            <w:hideMark/>
          </w:tcPr>
          <w:p w14:paraId="7583A9A2" w14:textId="77777777" w:rsidR="000F1C75" w:rsidRDefault="000F1C75" w:rsidP="000F1C75">
            <w:pPr>
              <w:pStyle w:val="Cnormln"/>
              <w:spacing w:before="60" w:after="60"/>
              <w:rPr>
                <w:rFonts w:asciiTheme="minorHAnsi" w:hAnsiTheme="minorHAnsi" w:cstheme="minorHAnsi"/>
                <w:b/>
                <w:bCs/>
              </w:rPr>
            </w:pPr>
            <w:r>
              <w:rPr>
                <w:rFonts w:asciiTheme="minorHAnsi" w:hAnsiTheme="minorHAnsi" w:cstheme="minorHAnsi"/>
                <w:b/>
                <w:bCs/>
              </w:rPr>
              <w:t xml:space="preserve">V rámci tohoto procesu se jako nadbytečný jeví krok popsaný v OM v bodě 19c) tj. že pracovník RaF zjistí chybu v záznamech EIS. Faktura prochází dvěma kontrolami, než ji OAP odešle na RaF, tj. v případě chyby se vždy jedná </w:t>
            </w:r>
            <w:r w:rsidR="00F679F1">
              <w:rPr>
                <w:rFonts w:asciiTheme="minorHAnsi" w:hAnsiTheme="minorHAnsi" w:cstheme="minorHAnsi"/>
                <w:b/>
                <w:bCs/>
              </w:rPr>
              <w:br/>
            </w:r>
            <w:r>
              <w:rPr>
                <w:rFonts w:asciiTheme="minorHAnsi" w:hAnsiTheme="minorHAnsi" w:cstheme="minorHAnsi"/>
                <w:b/>
                <w:bCs/>
              </w:rPr>
              <w:t>o minimální opomenutí</w:t>
            </w:r>
            <w:r w:rsidR="00F679F1">
              <w:rPr>
                <w:rFonts w:asciiTheme="minorHAnsi" w:hAnsiTheme="minorHAnsi" w:cstheme="minorHAnsi"/>
                <w:b/>
                <w:bCs/>
              </w:rPr>
              <w:t xml:space="preserve"> </w:t>
            </w:r>
            <w:r>
              <w:rPr>
                <w:rFonts w:asciiTheme="minorHAnsi" w:hAnsiTheme="minorHAnsi" w:cstheme="minorHAnsi"/>
                <w:b/>
                <w:bCs/>
              </w:rPr>
              <w:t>–</w:t>
            </w:r>
            <w:r w:rsidR="00F679F1">
              <w:rPr>
                <w:rFonts w:asciiTheme="minorHAnsi" w:hAnsiTheme="minorHAnsi" w:cstheme="minorHAnsi"/>
                <w:b/>
                <w:bCs/>
              </w:rPr>
              <w:t xml:space="preserve"> </w:t>
            </w:r>
            <w:r>
              <w:rPr>
                <w:rFonts w:asciiTheme="minorHAnsi" w:hAnsiTheme="minorHAnsi" w:cstheme="minorHAnsi"/>
                <w:b/>
                <w:bCs/>
              </w:rPr>
              <w:t>opravu pouhého administrativního pochybení. V takovémto případě je zasílání ISD, vracení faktury do stavu VĚCNÁ_K a opětovné schvalování napříč třemi odděleními je zbytečnou administrativní zátěží. Oprava může být vyřešena emailovou korespondencí mezi pracovníky a následnou opravou chyby přímo v EIS. Oprava chyby je možná i v jiném stavu než VĚCNÁ_K.</w:t>
            </w:r>
          </w:p>
        </w:tc>
      </w:tr>
      <w:tr w:rsidR="000F1C75" w14:paraId="36F73FBF" w14:textId="77777777" w:rsidTr="000F1C75">
        <w:tc>
          <w:tcPr>
            <w:tcW w:w="2881" w:type="dxa"/>
            <w:tcBorders>
              <w:top w:val="single" w:sz="4" w:space="0" w:color="auto"/>
              <w:left w:val="single" w:sz="4" w:space="0" w:color="auto"/>
              <w:bottom w:val="single" w:sz="4" w:space="0" w:color="auto"/>
              <w:right w:val="single" w:sz="4" w:space="0" w:color="auto"/>
            </w:tcBorders>
            <w:hideMark/>
          </w:tcPr>
          <w:p w14:paraId="0DF25627" w14:textId="77777777" w:rsidR="000F1C75" w:rsidRDefault="000F1C75" w:rsidP="000F1C75">
            <w:pPr>
              <w:pStyle w:val="Cnormln"/>
              <w:spacing w:before="60" w:after="60"/>
              <w:rPr>
                <w:rFonts w:asciiTheme="minorHAnsi" w:hAnsiTheme="minorHAnsi" w:cstheme="minorHAnsi"/>
                <w:bCs/>
              </w:rPr>
            </w:pPr>
            <w:r>
              <w:rPr>
                <w:rFonts w:asciiTheme="minorHAnsi" w:hAnsiTheme="minorHAnsi" w:cstheme="minorHAnsi"/>
                <w:bCs/>
              </w:rPr>
              <w:t>Předpoklady pro zrušení procesu</w:t>
            </w:r>
          </w:p>
        </w:tc>
        <w:tc>
          <w:tcPr>
            <w:tcW w:w="5822" w:type="dxa"/>
            <w:tcBorders>
              <w:top w:val="single" w:sz="4" w:space="0" w:color="auto"/>
              <w:left w:val="single" w:sz="4" w:space="0" w:color="auto"/>
              <w:bottom w:val="single" w:sz="4" w:space="0" w:color="auto"/>
              <w:right w:val="single" w:sz="4" w:space="0" w:color="auto"/>
            </w:tcBorders>
            <w:hideMark/>
          </w:tcPr>
          <w:p w14:paraId="24DFC0E1" w14:textId="77777777" w:rsidR="000F1C75" w:rsidRDefault="000F1C75" w:rsidP="000F1C75">
            <w:pPr>
              <w:pStyle w:val="Cnormln"/>
              <w:spacing w:before="60" w:after="60"/>
              <w:rPr>
                <w:rFonts w:asciiTheme="minorHAnsi" w:hAnsiTheme="minorHAnsi" w:cstheme="minorHAnsi"/>
                <w:b/>
                <w:bCs/>
              </w:rPr>
            </w:pPr>
            <w:r>
              <w:rPr>
                <w:rFonts w:asciiTheme="minorHAnsi" w:hAnsiTheme="minorHAnsi" w:cstheme="minorHAnsi"/>
                <w:b/>
                <w:bCs/>
              </w:rPr>
              <w:t>Tato fáze kontroly faktur před proplacením dlouhodobě objevuje jen drobné administrativní chyby.</w:t>
            </w:r>
          </w:p>
        </w:tc>
      </w:tr>
      <w:tr w:rsidR="000F1C75" w14:paraId="3CC6E33C" w14:textId="77777777" w:rsidTr="000F1C75">
        <w:tc>
          <w:tcPr>
            <w:tcW w:w="2881" w:type="dxa"/>
            <w:tcBorders>
              <w:top w:val="single" w:sz="4" w:space="0" w:color="auto"/>
              <w:left w:val="single" w:sz="4" w:space="0" w:color="auto"/>
              <w:bottom w:val="single" w:sz="4" w:space="0" w:color="auto"/>
              <w:right w:val="single" w:sz="4" w:space="0" w:color="auto"/>
            </w:tcBorders>
            <w:hideMark/>
          </w:tcPr>
          <w:p w14:paraId="46554B38" w14:textId="77777777" w:rsidR="000F1C75" w:rsidRDefault="000F1C75" w:rsidP="000F1C75">
            <w:pPr>
              <w:pStyle w:val="Cnormln"/>
              <w:spacing w:before="60" w:after="60"/>
              <w:rPr>
                <w:rFonts w:asciiTheme="minorHAnsi" w:hAnsiTheme="minorHAnsi" w:cstheme="minorHAnsi"/>
                <w:bCs/>
              </w:rPr>
            </w:pPr>
            <w:r>
              <w:rPr>
                <w:rFonts w:asciiTheme="minorHAnsi" w:hAnsiTheme="minorHAnsi" w:cstheme="minorHAnsi"/>
                <w:bCs/>
              </w:rPr>
              <w:t xml:space="preserve">Přínosy a dopady zrušení procesu </w:t>
            </w:r>
          </w:p>
        </w:tc>
        <w:tc>
          <w:tcPr>
            <w:tcW w:w="5822" w:type="dxa"/>
            <w:tcBorders>
              <w:top w:val="single" w:sz="4" w:space="0" w:color="auto"/>
              <w:left w:val="single" w:sz="4" w:space="0" w:color="auto"/>
              <w:bottom w:val="single" w:sz="4" w:space="0" w:color="auto"/>
              <w:right w:val="single" w:sz="4" w:space="0" w:color="auto"/>
            </w:tcBorders>
            <w:hideMark/>
          </w:tcPr>
          <w:p w14:paraId="51336C19" w14:textId="77777777" w:rsidR="000F1C75" w:rsidRDefault="000F1C75" w:rsidP="000F1C75">
            <w:pPr>
              <w:pStyle w:val="Cnormln"/>
              <w:spacing w:before="60" w:after="60"/>
              <w:rPr>
                <w:rFonts w:asciiTheme="minorHAnsi" w:hAnsiTheme="minorHAnsi" w:cstheme="minorHAnsi"/>
                <w:b/>
                <w:bCs/>
              </w:rPr>
            </w:pPr>
            <w:r>
              <w:rPr>
                <w:rFonts w:asciiTheme="minorHAnsi" w:hAnsiTheme="minorHAnsi" w:cstheme="minorHAnsi"/>
                <w:b/>
                <w:bCs/>
              </w:rPr>
              <w:t>Snížení administrativní zátěže, zrychlení procesu</w:t>
            </w:r>
            <w:r w:rsidR="00F679F1">
              <w:rPr>
                <w:rFonts w:asciiTheme="minorHAnsi" w:hAnsiTheme="minorHAnsi" w:cstheme="minorHAnsi"/>
                <w:b/>
                <w:bCs/>
              </w:rPr>
              <w:t>.</w:t>
            </w:r>
          </w:p>
        </w:tc>
      </w:tr>
      <w:tr w:rsidR="000F1C75" w14:paraId="60DB9AF0" w14:textId="77777777" w:rsidTr="000F1C75">
        <w:tc>
          <w:tcPr>
            <w:tcW w:w="2881" w:type="dxa"/>
            <w:tcBorders>
              <w:top w:val="single" w:sz="4" w:space="0" w:color="auto"/>
              <w:left w:val="single" w:sz="4" w:space="0" w:color="auto"/>
              <w:bottom w:val="single" w:sz="4" w:space="0" w:color="auto"/>
              <w:right w:val="single" w:sz="4" w:space="0" w:color="auto"/>
            </w:tcBorders>
            <w:hideMark/>
          </w:tcPr>
          <w:p w14:paraId="35083AB5" w14:textId="77777777" w:rsidR="000F1C75" w:rsidRDefault="000F1C75" w:rsidP="000F1C75">
            <w:pPr>
              <w:pStyle w:val="Cnormln"/>
              <w:spacing w:before="60" w:after="60"/>
              <w:rPr>
                <w:rFonts w:asciiTheme="minorHAnsi" w:hAnsiTheme="minorHAnsi" w:cstheme="minorHAnsi"/>
                <w:bCs/>
              </w:rPr>
            </w:pPr>
            <w:r>
              <w:rPr>
                <w:rFonts w:asciiTheme="minorHAnsi" w:hAnsiTheme="minorHAnsi" w:cstheme="minorHAnsi"/>
                <w:bCs/>
              </w:rPr>
              <w:t>Doporučení pro průběh rušení procesu (harmonogram, informační strategie, úpravy související dokumentace atd.)</w:t>
            </w:r>
          </w:p>
        </w:tc>
        <w:tc>
          <w:tcPr>
            <w:tcW w:w="5822" w:type="dxa"/>
            <w:tcBorders>
              <w:top w:val="single" w:sz="4" w:space="0" w:color="auto"/>
              <w:left w:val="single" w:sz="4" w:space="0" w:color="auto"/>
              <w:bottom w:val="single" w:sz="4" w:space="0" w:color="auto"/>
              <w:right w:val="single" w:sz="4" w:space="0" w:color="auto"/>
            </w:tcBorders>
            <w:hideMark/>
          </w:tcPr>
          <w:p w14:paraId="17C0F74A" w14:textId="77777777" w:rsidR="000F1C75" w:rsidRDefault="000F1C75" w:rsidP="000F1C75">
            <w:pPr>
              <w:pStyle w:val="Cnormln"/>
              <w:spacing w:before="60" w:after="60"/>
              <w:rPr>
                <w:rFonts w:asciiTheme="minorHAnsi" w:hAnsiTheme="minorHAnsi" w:cstheme="minorHAnsi"/>
                <w:b/>
                <w:bCs/>
              </w:rPr>
            </w:pPr>
            <w:r>
              <w:rPr>
                <w:rFonts w:asciiTheme="minorHAnsi" w:hAnsiTheme="minorHAnsi" w:cstheme="minorHAnsi"/>
                <w:b/>
                <w:bCs/>
              </w:rPr>
              <w:t>V případě úpravy procesu by muselo dojít také k úpravě Manuálu FÚ.</w:t>
            </w:r>
          </w:p>
        </w:tc>
      </w:tr>
    </w:tbl>
    <w:p w14:paraId="63D3C6D9" w14:textId="77777777" w:rsidR="000F1C75" w:rsidRPr="002F1D75" w:rsidRDefault="000F1C75" w:rsidP="000F1C75"/>
    <w:p w14:paraId="4E804E9E" w14:textId="77777777" w:rsidR="005C425E" w:rsidRPr="005C425E" w:rsidRDefault="005C425E" w:rsidP="005C425E">
      <w:pPr>
        <w:rPr>
          <w:lang w:val="fr-FR" w:eastAsia="cs-CZ"/>
        </w:rPr>
      </w:pPr>
    </w:p>
    <w:p w14:paraId="2B54F0CC" w14:textId="77777777" w:rsidR="005C425E" w:rsidRDefault="005C425E" w:rsidP="00C173BC">
      <w:pPr>
        <w:pStyle w:val="Nadpis1"/>
        <w:rPr>
          <w:snapToGrid w:val="0"/>
          <w:lang w:val="fr-FR"/>
        </w:rPr>
      </w:pPr>
      <w:bookmarkStart w:id="30" w:name="_Toc50456784"/>
      <w:r>
        <w:rPr>
          <w:snapToGrid w:val="0"/>
          <w:lang w:val="fr-FR"/>
        </w:rPr>
        <w:lastRenderedPageBreak/>
        <w:t>Doplňující informace k EO 4</w:t>
      </w:r>
      <w:bookmarkEnd w:id="30"/>
    </w:p>
    <w:p w14:paraId="74A67D13" w14:textId="77777777" w:rsidR="000F1C75" w:rsidRPr="006723AC" w:rsidRDefault="000F1C75" w:rsidP="000F1C75">
      <w:pPr>
        <w:rPr>
          <w:b/>
          <w:bCs/>
        </w:rPr>
      </w:pPr>
      <w:r w:rsidRPr="006723AC">
        <w:rPr>
          <w:b/>
          <w:bCs/>
        </w:rPr>
        <w:t>Proces S2A</w:t>
      </w:r>
      <w:r w:rsidR="00F679F1">
        <w:rPr>
          <w:b/>
          <w:bCs/>
        </w:rPr>
        <w:t xml:space="preserve"> </w:t>
      </w:r>
      <w:r>
        <w:rPr>
          <w:b/>
          <w:bCs/>
        </w:rPr>
        <w:t>–</w:t>
      </w:r>
      <w:r w:rsidR="00F679F1">
        <w:rPr>
          <w:b/>
          <w:bCs/>
        </w:rPr>
        <w:t xml:space="preserve"> </w:t>
      </w:r>
      <w:r w:rsidRPr="006723AC">
        <w:rPr>
          <w:b/>
          <w:bCs/>
        </w:rPr>
        <w:t>Koordinace OP</w:t>
      </w:r>
      <w:r w:rsidR="00F679F1">
        <w:rPr>
          <w:b/>
          <w:bCs/>
        </w:rPr>
        <w:t xml:space="preserve"> </w:t>
      </w:r>
      <w:r>
        <w:rPr>
          <w:b/>
          <w:bCs/>
        </w:rPr>
        <w:t>–</w:t>
      </w:r>
      <w:r w:rsidR="00F679F1">
        <w:rPr>
          <w:b/>
          <w:bCs/>
        </w:rPr>
        <w:t xml:space="preserve"> </w:t>
      </w:r>
      <w:r w:rsidRPr="006723AC">
        <w:rPr>
          <w:b/>
          <w:bCs/>
        </w:rPr>
        <w:t>Evaluace</w:t>
      </w:r>
    </w:p>
    <w:p w14:paraId="3219403C" w14:textId="77777777" w:rsidR="000F1C75" w:rsidRDefault="000F1C75" w:rsidP="000F1C75">
      <w:r>
        <w:t>OM, v souladu s požadavky JMP a jemu nadřazeného ON</w:t>
      </w:r>
      <w:r w:rsidR="00F679F1">
        <w:t>,</w:t>
      </w:r>
      <w:r>
        <w:t xml:space="preserve"> formuluje proces zpracování evaluačních doporučení. Jak je ukázáno v přiložené procesní mapě (proces S2A.03), OM stanovuje komplexní proces distribuce relevantních evaluačních doporučení a zpracovává přehled využití doporučení z evaluací, který je součástí ZoP. Jako součást ZoP je poté přehled využití doporučení z evaluací předkládán MV, který jej bere na vědomí. Evaluační doporučení se zároveň zadávají do systému MS2014+.</w:t>
      </w:r>
    </w:p>
    <w:p w14:paraId="0DC1FADE" w14:textId="77777777" w:rsidR="000F1C75" w:rsidRDefault="000F1C75" w:rsidP="000F1C75">
      <w:r>
        <w:t xml:space="preserve">Z pohledu odpovědných pracovníků ŘO je ovšem tento systém považován za velmi formální, a tedy neefektivní. Stanovený proces zachycuje pouze formální evidenci vypořádání evaluačních doporučení a nezaznamenává skutečný efekt doporučení na implementaci OP. Důvodem této skutečnosti je absence odpovídajícího procesu, který by s časovým odstupem evidoval, jak konkrétně byla akceptovaná evaluační doporučení zpracována a jaké změny v řízení a administraci OP evaluační doporučení generovala. Proces evaluace tak v důsledku absence „follow-up“ procesu končí formálním zpracováním doporučení na straně gestorů. </w:t>
      </w:r>
    </w:p>
    <w:p w14:paraId="65C1CB8C" w14:textId="77777777" w:rsidR="000F1C75" w:rsidRDefault="000F1C75" w:rsidP="000F1C75">
      <w:r>
        <w:t>Evidenci využití evaluačních doporučení lze posílit kupříkladu:</w:t>
      </w:r>
    </w:p>
    <w:p w14:paraId="56AA9CD7" w14:textId="77777777" w:rsidR="000F1C75" w:rsidRDefault="000F1C75" w:rsidP="000F1C75">
      <w:pPr>
        <w:pStyle w:val="Odstavecseseznamem"/>
        <w:numPr>
          <w:ilvl w:val="0"/>
          <w:numId w:val="30"/>
        </w:numPr>
      </w:pPr>
      <w:r>
        <w:t>Zařazením pevného bodu na jednání PS E, v jehož rámci by byli členové PS s ročním odstupem informováni o plnění úkolů, které byly formulovány na základě evaluačních doporučení z evaluačních studií v předchozím kalendářním roce.</w:t>
      </w:r>
    </w:p>
    <w:p w14:paraId="6A4FBBEB" w14:textId="77777777" w:rsidR="000F1C75" w:rsidRDefault="0083559D" w:rsidP="000F1C75">
      <w:pPr>
        <w:pStyle w:val="Odstavecseseznamem"/>
        <w:numPr>
          <w:ilvl w:val="0"/>
          <w:numId w:val="30"/>
        </w:numPr>
      </w:pPr>
      <w:r>
        <w:t xml:space="preserve">Jednou ročně zpracovávat informační materiál pro náměstka ministra zodpovědného </w:t>
      </w:r>
      <w:r w:rsidR="00850295">
        <w:br/>
      </w:r>
      <w:r>
        <w:t>za vedení sekce 61000,</w:t>
      </w:r>
      <w:r w:rsidR="000F1C75">
        <w:t xml:space="preserve"> kter</w:t>
      </w:r>
      <w:r>
        <w:t>ý</w:t>
      </w:r>
      <w:r w:rsidR="000F1C75">
        <w:t xml:space="preserve"> by stručně zpracovával informaci o způsobu implementace akceptovaných evaluačních doporučení, která byla formulovaná evaluačními studiemi v předchozím kalendářním roce.</w:t>
      </w:r>
    </w:p>
    <w:p w14:paraId="0FE92215" w14:textId="77777777" w:rsidR="000F1C75" w:rsidRDefault="000F1C75" w:rsidP="000F1C75">
      <w:r>
        <w:t>Doplnění těchto aktivit/dílčích procesů ovšem zvýší pracovní vytížení zaměstnanců ŘO na pozici RE. Součástí navrhovaných aktivit by musel být sběr zpětné vazby ve vztahu na doporučení, která byla akceptovaná v minulém kalendářním roce (a tedy evidovaná v ZoP i systému MS2014+) od gestorů jednotlivých programů, kterým byla daná doporučení adresována. Jinými slovy, aktuální proces zpracování doporučení z evaluačních zpráv by musel být doplněn o proces vyhodnocení plnění úkolů vyplývajících z akceptovaných doporučení s určeným časovým odstupem.</w:t>
      </w:r>
    </w:p>
    <w:p w14:paraId="7DCD2ED5" w14:textId="77777777" w:rsidR="000F1C75" w:rsidRDefault="000F1C75" w:rsidP="000F1C75"/>
    <w:p w14:paraId="438A8BDA" w14:textId="77777777" w:rsidR="000F1C75" w:rsidRDefault="000F1C75" w:rsidP="000F1C75">
      <w:r>
        <w:t>Patrně nejvýznamnějším úzkým hrdlem procesu S2A je, dle hodnocení zodpovědných pracovníků ŘO, realizace VŘ na zpracovatele evaluačních studií. Relevantní doporučení ve vztahu k těmto procesům jsou zpracována v evaluační otázce 12.</w:t>
      </w:r>
    </w:p>
    <w:p w14:paraId="35240862" w14:textId="77777777" w:rsidR="000F1C75" w:rsidRDefault="000F1C75" w:rsidP="000F1C75"/>
    <w:p w14:paraId="42625771" w14:textId="77777777" w:rsidR="000F1C75" w:rsidRDefault="000F1C75" w:rsidP="000F1C75">
      <w:pPr>
        <w:rPr>
          <w:b/>
          <w:bCs/>
        </w:rPr>
      </w:pPr>
      <w:r>
        <w:rPr>
          <w:b/>
          <w:bCs/>
        </w:rPr>
        <w:t>Proces S2B</w:t>
      </w:r>
      <w:r w:rsidR="00850295">
        <w:rPr>
          <w:b/>
          <w:bCs/>
        </w:rPr>
        <w:t xml:space="preserve"> </w:t>
      </w:r>
      <w:r>
        <w:rPr>
          <w:b/>
          <w:bCs/>
        </w:rPr>
        <w:t>–</w:t>
      </w:r>
      <w:r w:rsidR="00850295">
        <w:rPr>
          <w:b/>
          <w:bCs/>
        </w:rPr>
        <w:t xml:space="preserve"> </w:t>
      </w:r>
      <w:r>
        <w:rPr>
          <w:b/>
          <w:bCs/>
        </w:rPr>
        <w:t>Koordinace OP</w:t>
      </w:r>
      <w:r w:rsidR="00850295">
        <w:rPr>
          <w:b/>
          <w:bCs/>
        </w:rPr>
        <w:t xml:space="preserve"> </w:t>
      </w:r>
      <w:r>
        <w:rPr>
          <w:b/>
          <w:bCs/>
        </w:rPr>
        <w:t>–</w:t>
      </w:r>
      <w:r w:rsidR="00850295">
        <w:rPr>
          <w:b/>
          <w:bCs/>
        </w:rPr>
        <w:t xml:space="preserve"> </w:t>
      </w:r>
      <w:r>
        <w:rPr>
          <w:b/>
          <w:bCs/>
        </w:rPr>
        <w:t>Indikátory</w:t>
      </w:r>
    </w:p>
    <w:p w14:paraId="3EBE10D4" w14:textId="77777777" w:rsidR="009515CE" w:rsidRDefault="009515CE" w:rsidP="009515CE">
      <w:r w:rsidRPr="00E712C4">
        <w:t>„</w:t>
      </w:r>
      <w:r>
        <w:t>Hl</w:t>
      </w:r>
      <w:r w:rsidRPr="00E712C4">
        <w:t>uchá místa“</w:t>
      </w:r>
      <w:r>
        <w:t xml:space="preserve"> nebyla zodpovědnými pracovníky ŘO pozorována.</w:t>
      </w:r>
    </w:p>
    <w:p w14:paraId="5E6C0472" w14:textId="77777777" w:rsidR="000F1C75" w:rsidRDefault="000F1C75" w:rsidP="000F1C75"/>
    <w:p w14:paraId="2E6B4084" w14:textId="77777777" w:rsidR="00E96F43" w:rsidRDefault="00E96F43" w:rsidP="000F1C75">
      <w:pPr>
        <w:rPr>
          <w:b/>
          <w:bCs/>
        </w:rPr>
      </w:pPr>
    </w:p>
    <w:p w14:paraId="70F375E9" w14:textId="6B22BAF5" w:rsidR="000F1C75" w:rsidRDefault="000F1C75" w:rsidP="000F1C75">
      <w:pPr>
        <w:rPr>
          <w:b/>
          <w:bCs/>
        </w:rPr>
      </w:pPr>
      <w:r w:rsidRPr="00E712C4">
        <w:rPr>
          <w:b/>
          <w:bCs/>
        </w:rPr>
        <w:lastRenderedPageBreak/>
        <w:t>Proces S3B</w:t>
      </w:r>
      <w:r w:rsidR="00850295">
        <w:rPr>
          <w:b/>
          <w:bCs/>
        </w:rPr>
        <w:t xml:space="preserve"> </w:t>
      </w:r>
      <w:r>
        <w:rPr>
          <w:b/>
          <w:bCs/>
        </w:rPr>
        <w:t>–</w:t>
      </w:r>
      <w:r w:rsidR="00850295">
        <w:rPr>
          <w:b/>
          <w:bCs/>
        </w:rPr>
        <w:t xml:space="preserve"> </w:t>
      </w:r>
      <w:r w:rsidRPr="00E712C4">
        <w:rPr>
          <w:b/>
          <w:bCs/>
        </w:rPr>
        <w:t>Koordinace OP</w:t>
      </w:r>
      <w:r w:rsidR="00850295">
        <w:rPr>
          <w:b/>
          <w:bCs/>
        </w:rPr>
        <w:t xml:space="preserve"> </w:t>
      </w:r>
      <w:r>
        <w:rPr>
          <w:b/>
          <w:bCs/>
        </w:rPr>
        <w:t>–</w:t>
      </w:r>
      <w:r w:rsidR="00850295">
        <w:rPr>
          <w:b/>
          <w:bCs/>
        </w:rPr>
        <w:t xml:space="preserve"> </w:t>
      </w:r>
      <w:r w:rsidRPr="00E712C4">
        <w:rPr>
          <w:b/>
          <w:bCs/>
        </w:rPr>
        <w:t>Monitorování</w:t>
      </w:r>
    </w:p>
    <w:p w14:paraId="46FF5D16" w14:textId="77777777" w:rsidR="000F1C75" w:rsidRDefault="000F1C75" w:rsidP="000F1C75">
      <w:r w:rsidRPr="00E712C4">
        <w:t>„</w:t>
      </w:r>
      <w:r>
        <w:t>Hl</w:t>
      </w:r>
      <w:r w:rsidRPr="00E712C4">
        <w:t>uchá místa“</w:t>
      </w:r>
      <w:r>
        <w:t xml:space="preserve"> nebyla zodpovědnými pracovníky ŘO pozorována.</w:t>
      </w:r>
    </w:p>
    <w:p w14:paraId="4DA2EF21" w14:textId="77777777" w:rsidR="000F1C75" w:rsidRDefault="000F1C75" w:rsidP="000F1C75"/>
    <w:p w14:paraId="7EBCB288" w14:textId="77777777" w:rsidR="000F1C75" w:rsidRDefault="000F1C75" w:rsidP="000F1C75">
      <w:pPr>
        <w:keepNext/>
        <w:rPr>
          <w:b/>
          <w:bCs/>
        </w:rPr>
      </w:pPr>
      <w:r>
        <w:rPr>
          <w:b/>
          <w:bCs/>
        </w:rPr>
        <w:t>Proces S4</w:t>
      </w:r>
      <w:r w:rsidR="00850295">
        <w:rPr>
          <w:b/>
          <w:bCs/>
        </w:rPr>
        <w:t xml:space="preserve"> </w:t>
      </w:r>
      <w:r>
        <w:rPr>
          <w:b/>
          <w:bCs/>
        </w:rPr>
        <w:t>–</w:t>
      </w:r>
      <w:r w:rsidR="00850295">
        <w:rPr>
          <w:b/>
          <w:bCs/>
        </w:rPr>
        <w:t xml:space="preserve"> </w:t>
      </w:r>
      <w:r>
        <w:rPr>
          <w:b/>
          <w:bCs/>
        </w:rPr>
        <w:t>Koordinace OP</w:t>
      </w:r>
      <w:r w:rsidR="00850295">
        <w:rPr>
          <w:b/>
          <w:bCs/>
        </w:rPr>
        <w:t xml:space="preserve"> </w:t>
      </w:r>
      <w:r>
        <w:rPr>
          <w:b/>
          <w:bCs/>
        </w:rPr>
        <w:t>–</w:t>
      </w:r>
      <w:r w:rsidR="00850295">
        <w:rPr>
          <w:b/>
          <w:bCs/>
        </w:rPr>
        <w:t xml:space="preserve"> </w:t>
      </w:r>
      <w:r>
        <w:rPr>
          <w:b/>
          <w:bCs/>
        </w:rPr>
        <w:t>Publicita</w:t>
      </w:r>
    </w:p>
    <w:p w14:paraId="2819FAAD" w14:textId="77777777" w:rsidR="000F1C75" w:rsidRDefault="000F1C75" w:rsidP="000F1C75">
      <w:r>
        <w:t>Metodické prostředí TP OP PIK žádným způsobem nezpracovává procesy vyhodnocování efektivnosti realizovaných publicitních opatření a zpětné vazby tohoto procesu na plánování (obsahové, nástroje, cílové skupiny atd.) komunikace směrem k cílovým skupinám v následujícím období. Je tedy dostatečně rozpracována „technika“ plánování komunikačních aktivit prostřednictvím RKoP, není ale nijak zpracován proces zpětné vazby mezi hodnocením efektivity/efektivnosti RKoP a zpracování RKoP pro následující kalendářní rok(y). Podrobněji k této problematice, včetně návrhu konkrétních doporučení viz EO 16.</w:t>
      </w:r>
    </w:p>
    <w:p w14:paraId="07B28EA6" w14:textId="77777777" w:rsidR="000F1C75" w:rsidRDefault="000F1C75" w:rsidP="000F1C75"/>
    <w:p w14:paraId="68173AF0" w14:textId="77777777" w:rsidR="000F1C75" w:rsidRPr="00253DA3" w:rsidRDefault="000F1C75" w:rsidP="000F1C75">
      <w:pPr>
        <w:rPr>
          <w:b/>
          <w:bCs/>
        </w:rPr>
      </w:pPr>
      <w:r w:rsidRPr="00253DA3">
        <w:rPr>
          <w:b/>
          <w:bCs/>
        </w:rPr>
        <w:t>Proces S5</w:t>
      </w:r>
      <w:r w:rsidR="00850295">
        <w:rPr>
          <w:b/>
          <w:bCs/>
        </w:rPr>
        <w:t xml:space="preserve"> </w:t>
      </w:r>
      <w:r>
        <w:rPr>
          <w:b/>
          <w:bCs/>
        </w:rPr>
        <w:t>–</w:t>
      </w:r>
      <w:r w:rsidR="00850295">
        <w:rPr>
          <w:b/>
          <w:bCs/>
        </w:rPr>
        <w:t xml:space="preserve"> </w:t>
      </w:r>
      <w:r w:rsidRPr="00253DA3">
        <w:rPr>
          <w:b/>
          <w:bCs/>
        </w:rPr>
        <w:t>Koordinace OP</w:t>
      </w:r>
      <w:r w:rsidR="00850295">
        <w:rPr>
          <w:b/>
          <w:bCs/>
        </w:rPr>
        <w:t xml:space="preserve"> </w:t>
      </w:r>
      <w:r>
        <w:rPr>
          <w:b/>
          <w:bCs/>
        </w:rPr>
        <w:t>–</w:t>
      </w:r>
      <w:r w:rsidR="00850295">
        <w:rPr>
          <w:b/>
          <w:bCs/>
        </w:rPr>
        <w:t xml:space="preserve"> </w:t>
      </w:r>
      <w:r w:rsidRPr="00253DA3">
        <w:rPr>
          <w:b/>
          <w:bCs/>
        </w:rPr>
        <w:t>Lidské zdroje</w:t>
      </w:r>
    </w:p>
    <w:p w14:paraId="5E3CF1B6" w14:textId="77777777" w:rsidR="000F1C75" w:rsidRDefault="000F1C75" w:rsidP="008E4AD6">
      <w:r>
        <w:t>Na základě analýzy procesu byla identifikována následující „hluchá místa“:</w:t>
      </w:r>
    </w:p>
    <w:p w14:paraId="6311BBDD" w14:textId="77777777" w:rsidR="000F1C75" w:rsidRDefault="000F1C75" w:rsidP="008E4AD6">
      <w:pPr>
        <w:pStyle w:val="Odstavecseseznamem"/>
        <w:numPr>
          <w:ilvl w:val="0"/>
          <w:numId w:val="30"/>
        </w:numPr>
        <w:spacing w:after="160" w:line="256" w:lineRule="auto"/>
      </w:pPr>
      <w:r>
        <w:t>OM opomíjí, jakým způsobem je jmenována výběrová komise v případě VŘ do pracovního poměru. Odpovědi respondentů se navíc rozcházejí v tom, jak dochází ke jmenování výběrové komise. Dle respondentů ke jmenování výběrové komise dochází buď nejefektivnějším způsobem, či ji jmenuje státní tajemník.</w:t>
      </w:r>
    </w:p>
    <w:p w14:paraId="3A610AF1" w14:textId="77777777" w:rsidR="000F1C75" w:rsidRDefault="000F1C75" w:rsidP="008E4AD6">
      <w:pPr>
        <w:pStyle w:val="Odstavecseseznamem"/>
        <w:numPr>
          <w:ilvl w:val="0"/>
          <w:numId w:val="30"/>
        </w:numPr>
      </w:pPr>
      <w:r>
        <w:t>Efektivita procesu VŘ do pracovního i služebního poměru by se zvýšila, pokud by byl zpracován a distribuován manuál pro vyhlašování VŘ, který by obsahoval předvyplněné šablony dokumentů, které musí být v průběhu realizace VŘ zpracované.</w:t>
      </w:r>
    </w:p>
    <w:p w14:paraId="37ED8A7B" w14:textId="77777777" w:rsidR="000F1C75" w:rsidRDefault="000F1C75" w:rsidP="008E4AD6">
      <w:pPr>
        <w:pStyle w:val="Odstavecseseznamem"/>
        <w:numPr>
          <w:ilvl w:val="0"/>
          <w:numId w:val="30"/>
        </w:numPr>
      </w:pPr>
      <w:r>
        <w:t>Efektivitu procesu analýzy administrativní kapacity oslabuje nedostatečné sdílení dat mezi RŠV a personálním oddělením (RŠV nemá přímý přístup do dat personálního oddělení a data pro zpracování analýzy tak musí být zpracovávána ad-hoc).</w:t>
      </w:r>
    </w:p>
    <w:p w14:paraId="2EE65CBD" w14:textId="77777777" w:rsidR="000F1C75" w:rsidRDefault="000F1C75" w:rsidP="000F1C75"/>
    <w:p w14:paraId="56808025" w14:textId="77777777" w:rsidR="000F1C75" w:rsidRPr="00311E21" w:rsidRDefault="000F1C75" w:rsidP="000F1C75">
      <w:pPr>
        <w:rPr>
          <w:b/>
          <w:bCs/>
        </w:rPr>
      </w:pPr>
      <w:r w:rsidRPr="00311E21">
        <w:rPr>
          <w:b/>
          <w:bCs/>
        </w:rPr>
        <w:t>Proces S6</w:t>
      </w:r>
      <w:r w:rsidR="00012D0B">
        <w:rPr>
          <w:b/>
          <w:bCs/>
        </w:rPr>
        <w:t xml:space="preserve"> </w:t>
      </w:r>
      <w:r>
        <w:rPr>
          <w:b/>
          <w:bCs/>
        </w:rPr>
        <w:t>–</w:t>
      </w:r>
      <w:r w:rsidR="00012D0B">
        <w:rPr>
          <w:b/>
          <w:bCs/>
        </w:rPr>
        <w:t xml:space="preserve"> </w:t>
      </w:r>
      <w:r w:rsidRPr="00311E21">
        <w:rPr>
          <w:b/>
          <w:bCs/>
        </w:rPr>
        <w:t>Finanční plán, alokace a realokace TP</w:t>
      </w:r>
    </w:p>
    <w:p w14:paraId="1AC10235" w14:textId="77777777" w:rsidR="000F1C75" w:rsidRDefault="000F1C75" w:rsidP="000F1C75">
      <w:r>
        <w:t>Obdobně jako v případě procesu S2B je OM a dalšími relevantními metodikami popsán proces realokací, není ale stanoveno, jakým procesem má být potřeba změny alokace identifikována, a tedy proces realokace iniciován. Není tedy nastavena zpětná vazba na proces zpracování a hodnocení SRP, v jehož rámci jsou zpracovávány predikce čerpání alokací. Podrobněji viz EO 5-6.</w:t>
      </w:r>
    </w:p>
    <w:p w14:paraId="797E5AE8" w14:textId="77777777" w:rsidR="000F1C75" w:rsidRDefault="000F1C75" w:rsidP="000F1C75"/>
    <w:p w14:paraId="7F726433" w14:textId="77777777" w:rsidR="000F1C75" w:rsidRDefault="000F1C75" w:rsidP="00E7142C">
      <w:pPr>
        <w:keepNext/>
        <w:rPr>
          <w:b/>
          <w:bCs/>
        </w:rPr>
      </w:pPr>
      <w:r>
        <w:rPr>
          <w:b/>
          <w:bCs/>
        </w:rPr>
        <w:t>Proces IP2 a IP3</w:t>
      </w:r>
      <w:r w:rsidR="00012D0B">
        <w:rPr>
          <w:b/>
          <w:bCs/>
        </w:rPr>
        <w:t xml:space="preserve"> </w:t>
      </w:r>
      <w:r>
        <w:rPr>
          <w:b/>
          <w:bCs/>
        </w:rPr>
        <w:t>–</w:t>
      </w:r>
      <w:r w:rsidR="00012D0B">
        <w:rPr>
          <w:b/>
          <w:bCs/>
        </w:rPr>
        <w:t xml:space="preserve"> </w:t>
      </w:r>
      <w:r>
        <w:rPr>
          <w:b/>
          <w:bCs/>
        </w:rPr>
        <w:t>Technická pomoc MPO a API</w:t>
      </w:r>
    </w:p>
    <w:p w14:paraId="627AE459" w14:textId="77777777" w:rsidR="000F1C75" w:rsidRPr="000F1C75" w:rsidRDefault="000F1C75" w:rsidP="000F1C75">
      <w:pPr>
        <w:rPr>
          <w:lang w:val="fr-FR" w:eastAsia="cs-CZ"/>
        </w:rPr>
      </w:pPr>
      <w:r>
        <w:t xml:space="preserve">Detailně nebyl rozepsán proces IP2.01/IP3.01 Vyhlašování výzev pro IP. Tento proces však probíhá pouze jednou za celé programovací období, neboť na jeho začátku je vypsána průběžná výzva, </w:t>
      </w:r>
      <w:r w:rsidR="00012D0B">
        <w:br/>
      </w:r>
      <w:r>
        <w:t>do které podávají žádosti o dotaci jak MPO, tak API. Obecné podobě pro vyhlašování všech výzev v rámci OP PIK je proces upraven v procesech OM T1-T4. Na základě připomínek pracovníků ŘO byl proces vyhlašování výzev pro IP vydefinován a je znázorněn jako procesní diagram.</w:t>
      </w:r>
    </w:p>
    <w:p w14:paraId="1F9712DC" w14:textId="77777777" w:rsidR="005C425E" w:rsidRDefault="005C425E" w:rsidP="00C173BC">
      <w:pPr>
        <w:pStyle w:val="Nadpis1"/>
        <w:rPr>
          <w:snapToGrid w:val="0"/>
          <w:lang w:val="fr-FR"/>
        </w:rPr>
      </w:pPr>
      <w:bookmarkStart w:id="31" w:name="_Toc50456785"/>
      <w:r>
        <w:rPr>
          <w:snapToGrid w:val="0"/>
          <w:lang w:val="fr-FR"/>
        </w:rPr>
        <w:lastRenderedPageBreak/>
        <w:t>Doplňující informace k EO 5</w:t>
      </w:r>
      <w:bookmarkEnd w:id="31"/>
    </w:p>
    <w:p w14:paraId="01BB4450" w14:textId="77777777" w:rsidR="000F1C75" w:rsidRDefault="000F1C75" w:rsidP="000F1C75">
      <w:pPr>
        <w:pStyle w:val="Nadpis6"/>
      </w:pPr>
      <w:r>
        <w:t>Analýza čerpání TP</w:t>
      </w:r>
    </w:p>
    <w:p w14:paraId="083861FF" w14:textId="77777777" w:rsidR="000F1C75" w:rsidRDefault="000F1C75" w:rsidP="000F1C75">
      <w:pPr>
        <w:pStyle w:val="Cnormln"/>
        <w:spacing w:before="60" w:after="60"/>
        <w:jc w:val="both"/>
        <w:rPr>
          <w:rFonts w:asciiTheme="minorHAnsi" w:hAnsiTheme="minorHAnsi" w:cstheme="minorHAnsi"/>
        </w:rPr>
      </w:pPr>
      <w:r>
        <w:rPr>
          <w:rFonts w:asciiTheme="minorHAnsi" w:hAnsiTheme="minorHAnsi" w:cstheme="minorHAnsi"/>
        </w:rPr>
        <w:t xml:space="preserve">Celková alokace OP PIK činí </w:t>
      </w:r>
      <w:bookmarkStart w:id="32" w:name="_Hlk46231404"/>
      <w:r>
        <w:rPr>
          <w:rFonts w:asciiTheme="minorHAnsi" w:hAnsiTheme="minorHAnsi" w:cstheme="minorHAnsi"/>
        </w:rPr>
        <w:t>4 331 062 617 EUR</w:t>
      </w:r>
      <w:bookmarkEnd w:id="32"/>
      <w:r>
        <w:rPr>
          <w:rFonts w:asciiTheme="minorHAnsi" w:hAnsiTheme="minorHAnsi" w:cstheme="minorHAnsi"/>
        </w:rPr>
        <w:t xml:space="preserve"> (příspěvek EU</w:t>
      </w:r>
      <w:r w:rsidR="00012D0B">
        <w:rPr>
          <w:rFonts w:asciiTheme="minorHAnsi" w:hAnsiTheme="minorHAnsi" w:cstheme="minorHAnsi"/>
        </w:rPr>
        <w:t xml:space="preserve"> </w:t>
      </w:r>
      <w:r>
        <w:rPr>
          <w:rFonts w:asciiTheme="minorHAnsi" w:hAnsiTheme="minorHAnsi" w:cstheme="minorHAnsi"/>
        </w:rPr>
        <w:t>–</w:t>
      </w:r>
      <w:r w:rsidR="00012D0B">
        <w:rPr>
          <w:rFonts w:asciiTheme="minorHAnsi" w:hAnsiTheme="minorHAnsi" w:cstheme="minorHAnsi"/>
        </w:rPr>
        <w:t xml:space="preserve"> </w:t>
      </w:r>
      <w:r>
        <w:rPr>
          <w:rFonts w:asciiTheme="minorHAnsi" w:hAnsiTheme="minorHAnsi" w:cstheme="minorHAnsi"/>
        </w:rPr>
        <w:t>tj. bez spolufinancování státního rozpočtu nebo příjemců), tedy cca 114 mld Kč (při průměrném směnném kurzu dle ČNB za první pololetí 2020 cca 26,3 CZK za 1 EUR). Tato alokace je mezi jednotlivé prioritní osy OP PIK rozdělena následujícím způsobem:</w:t>
      </w:r>
    </w:p>
    <w:p w14:paraId="76141833" w14:textId="7C139C48" w:rsidR="000F1C75" w:rsidRDefault="000F1C75" w:rsidP="000F1C75">
      <w:pPr>
        <w:pStyle w:val="Titulek"/>
        <w:rPr>
          <w:rFonts w:cstheme="minorHAnsi"/>
        </w:rPr>
      </w:pPr>
      <w:bookmarkStart w:id="33" w:name="_Toc45657559"/>
      <w:bookmarkStart w:id="34" w:name="_Toc50456736"/>
      <w:bookmarkStart w:id="35" w:name="_Hlk46232948"/>
      <w:r>
        <w:t xml:space="preserve">Tabulka </w:t>
      </w:r>
      <w:r w:rsidR="00C050DB">
        <w:fldChar w:fldCharType="begin"/>
      </w:r>
      <w:r w:rsidR="00C050DB">
        <w:instrText xml:space="preserve"> SEQ Tabulka \* ARABIC </w:instrText>
      </w:r>
      <w:r w:rsidR="00C050DB">
        <w:fldChar w:fldCharType="separate"/>
      </w:r>
      <w:r w:rsidR="00E96F43">
        <w:rPr>
          <w:noProof/>
        </w:rPr>
        <w:t>3</w:t>
      </w:r>
      <w:r w:rsidR="00C050DB">
        <w:rPr>
          <w:noProof/>
        </w:rPr>
        <w:fldChar w:fldCharType="end"/>
      </w:r>
      <w:r>
        <w:t>: Struktura alokace OP PIK</w:t>
      </w:r>
      <w:bookmarkEnd w:id="33"/>
      <w:bookmarkEnd w:id="34"/>
    </w:p>
    <w:tbl>
      <w:tblPr>
        <w:tblStyle w:val="Styl1"/>
        <w:tblW w:w="9923" w:type="dxa"/>
        <w:tblInd w:w="-431" w:type="dxa"/>
        <w:tblLook w:val="04A0" w:firstRow="1" w:lastRow="0" w:firstColumn="1" w:lastColumn="0" w:noHBand="0" w:noVBand="1"/>
      </w:tblPr>
      <w:tblGrid>
        <w:gridCol w:w="3403"/>
        <w:gridCol w:w="1843"/>
        <w:gridCol w:w="1134"/>
        <w:gridCol w:w="2126"/>
        <w:gridCol w:w="1417"/>
      </w:tblGrid>
      <w:tr w:rsidR="000F1C75" w:rsidRPr="001E314F" w14:paraId="5A6F9779" w14:textId="77777777" w:rsidTr="000F1C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3" w:type="dxa"/>
          </w:tcPr>
          <w:p w14:paraId="7BF165EF" w14:textId="77777777" w:rsidR="000F1C75" w:rsidRPr="001E314F" w:rsidRDefault="000F1C75" w:rsidP="000F1C75">
            <w:pPr>
              <w:pStyle w:val="Cnormln"/>
              <w:spacing w:before="60" w:after="60"/>
              <w:rPr>
                <w:rFonts w:asciiTheme="minorHAnsi" w:hAnsiTheme="minorHAnsi" w:cstheme="minorHAnsi"/>
                <w:sz w:val="20"/>
                <w:szCs w:val="20"/>
              </w:rPr>
            </w:pPr>
            <w:bookmarkStart w:id="36" w:name="_Hlk46231928"/>
            <w:bookmarkEnd w:id="35"/>
            <w:r w:rsidRPr="001E314F">
              <w:rPr>
                <w:rFonts w:asciiTheme="minorHAnsi" w:hAnsiTheme="minorHAnsi" w:cstheme="minorHAnsi"/>
                <w:sz w:val="20"/>
                <w:szCs w:val="20"/>
              </w:rPr>
              <w:t>Prioritní osa</w:t>
            </w:r>
          </w:p>
        </w:tc>
        <w:tc>
          <w:tcPr>
            <w:tcW w:w="1843" w:type="dxa"/>
          </w:tcPr>
          <w:p w14:paraId="76E077D5" w14:textId="77777777" w:rsidR="000F1C75" w:rsidRPr="001E314F" w:rsidRDefault="000F1C75" w:rsidP="000F1C75">
            <w:pPr>
              <w:pStyle w:val="Cnormln"/>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E314F">
              <w:rPr>
                <w:rFonts w:asciiTheme="minorHAnsi" w:hAnsiTheme="minorHAnsi" w:cstheme="minorHAnsi"/>
                <w:sz w:val="20"/>
                <w:szCs w:val="20"/>
              </w:rPr>
              <w:t>Alokace</w:t>
            </w:r>
            <w:r w:rsidR="00012D0B">
              <w:rPr>
                <w:rFonts w:asciiTheme="minorHAnsi" w:hAnsiTheme="minorHAnsi" w:cstheme="minorHAnsi"/>
                <w:sz w:val="20"/>
                <w:szCs w:val="20"/>
              </w:rPr>
              <w:t xml:space="preserve"> </w:t>
            </w:r>
            <w:r>
              <w:rPr>
                <w:rFonts w:asciiTheme="minorHAnsi" w:hAnsiTheme="minorHAnsi" w:cstheme="minorHAnsi"/>
                <w:sz w:val="20"/>
                <w:szCs w:val="20"/>
              </w:rPr>
              <w:t>–</w:t>
            </w:r>
            <w:r w:rsidR="00012D0B">
              <w:rPr>
                <w:rFonts w:asciiTheme="minorHAnsi" w:hAnsiTheme="minorHAnsi" w:cstheme="minorHAnsi"/>
                <w:sz w:val="20"/>
                <w:szCs w:val="20"/>
              </w:rPr>
              <w:t xml:space="preserve"> </w:t>
            </w:r>
            <w:r w:rsidRPr="001E314F">
              <w:rPr>
                <w:rFonts w:asciiTheme="minorHAnsi" w:hAnsiTheme="minorHAnsi" w:cstheme="minorHAnsi"/>
                <w:sz w:val="20"/>
                <w:szCs w:val="20"/>
              </w:rPr>
              <w:t>podpora EU (EUR)</w:t>
            </w:r>
            <w:r w:rsidR="00012D0B">
              <w:rPr>
                <w:rFonts w:asciiTheme="minorHAnsi" w:hAnsiTheme="minorHAnsi" w:cstheme="minorHAnsi"/>
                <w:sz w:val="20"/>
                <w:szCs w:val="20"/>
              </w:rPr>
              <w:t xml:space="preserve"> </w:t>
            </w:r>
            <w:r>
              <w:rPr>
                <w:rFonts w:asciiTheme="minorHAnsi" w:hAnsiTheme="minorHAnsi" w:cstheme="minorHAnsi"/>
                <w:sz w:val="20"/>
                <w:szCs w:val="20"/>
              </w:rPr>
              <w:t>–</w:t>
            </w:r>
            <w:r w:rsidR="00012D0B">
              <w:rPr>
                <w:rFonts w:asciiTheme="minorHAnsi" w:hAnsiTheme="minorHAnsi" w:cstheme="minorHAnsi"/>
                <w:sz w:val="20"/>
                <w:szCs w:val="20"/>
              </w:rPr>
              <w:t xml:space="preserve"> </w:t>
            </w:r>
            <w:r w:rsidRPr="001E314F">
              <w:rPr>
                <w:rFonts w:asciiTheme="minorHAnsi" w:hAnsiTheme="minorHAnsi" w:cstheme="minorHAnsi"/>
                <w:sz w:val="20"/>
                <w:szCs w:val="20"/>
              </w:rPr>
              <w:t>04/2020</w:t>
            </w:r>
          </w:p>
        </w:tc>
        <w:tc>
          <w:tcPr>
            <w:tcW w:w="1134" w:type="dxa"/>
          </w:tcPr>
          <w:p w14:paraId="1C6229E1" w14:textId="77777777" w:rsidR="000F1C75" w:rsidRPr="001E314F" w:rsidRDefault="000F1C75" w:rsidP="000F1C75">
            <w:pPr>
              <w:pStyle w:val="Cnormln"/>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E314F">
              <w:rPr>
                <w:rFonts w:asciiTheme="minorHAnsi" w:hAnsiTheme="minorHAnsi" w:cstheme="minorHAnsi"/>
                <w:sz w:val="20"/>
                <w:szCs w:val="20"/>
              </w:rPr>
              <w:t>% celkové alokace</w:t>
            </w:r>
          </w:p>
        </w:tc>
        <w:tc>
          <w:tcPr>
            <w:tcW w:w="2126" w:type="dxa"/>
          </w:tcPr>
          <w:p w14:paraId="7CED6E2F" w14:textId="77777777" w:rsidR="000F1C75" w:rsidRPr="001E314F" w:rsidRDefault="000F1C75" w:rsidP="000F1C75">
            <w:pPr>
              <w:pStyle w:val="Cnormln"/>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E314F">
              <w:rPr>
                <w:rFonts w:asciiTheme="minorHAnsi" w:hAnsiTheme="minorHAnsi" w:cstheme="minorHAnsi"/>
                <w:sz w:val="20"/>
                <w:szCs w:val="20"/>
              </w:rPr>
              <w:t>Alokace (podpora EU)</w:t>
            </w:r>
            <w:r w:rsidR="00012D0B">
              <w:rPr>
                <w:rFonts w:asciiTheme="minorHAnsi" w:hAnsiTheme="minorHAnsi" w:cstheme="minorHAnsi"/>
                <w:sz w:val="20"/>
                <w:szCs w:val="20"/>
              </w:rPr>
              <w:t xml:space="preserve"> </w:t>
            </w:r>
            <w:r>
              <w:rPr>
                <w:rFonts w:asciiTheme="minorHAnsi" w:hAnsiTheme="minorHAnsi" w:cstheme="minorHAnsi"/>
                <w:sz w:val="20"/>
                <w:szCs w:val="20"/>
              </w:rPr>
              <w:t>–</w:t>
            </w:r>
            <w:r w:rsidR="00012D0B">
              <w:rPr>
                <w:rFonts w:asciiTheme="minorHAnsi" w:hAnsiTheme="minorHAnsi" w:cstheme="minorHAnsi"/>
                <w:sz w:val="20"/>
                <w:szCs w:val="20"/>
              </w:rPr>
              <w:t xml:space="preserve"> </w:t>
            </w:r>
            <w:r w:rsidRPr="001E314F">
              <w:rPr>
                <w:rFonts w:asciiTheme="minorHAnsi" w:hAnsiTheme="minorHAnsi" w:cstheme="minorHAnsi"/>
                <w:sz w:val="20"/>
                <w:szCs w:val="20"/>
              </w:rPr>
              <w:t>1. verze OP, 04/2015</w:t>
            </w:r>
          </w:p>
        </w:tc>
        <w:tc>
          <w:tcPr>
            <w:tcW w:w="1417" w:type="dxa"/>
          </w:tcPr>
          <w:p w14:paraId="3BA8EBEC" w14:textId="77777777" w:rsidR="000F1C75" w:rsidRPr="001E314F" w:rsidRDefault="000F1C75" w:rsidP="000F1C75">
            <w:pPr>
              <w:pStyle w:val="Cnormln"/>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E314F">
              <w:rPr>
                <w:rFonts w:asciiTheme="minorHAnsi" w:hAnsiTheme="minorHAnsi" w:cstheme="minorHAnsi"/>
                <w:sz w:val="20"/>
                <w:szCs w:val="20"/>
              </w:rPr>
              <w:t>% celkové alokace 04/15</w:t>
            </w:r>
          </w:p>
        </w:tc>
      </w:tr>
      <w:tr w:rsidR="000F1C75" w:rsidRPr="001E314F" w14:paraId="4E6B0E53" w14:textId="77777777" w:rsidTr="000F1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Pr>
          <w:p w14:paraId="0612D587" w14:textId="77777777" w:rsidR="000F1C75" w:rsidRPr="001E314F" w:rsidRDefault="000F1C75" w:rsidP="000F1C75">
            <w:pPr>
              <w:pStyle w:val="Cnormln"/>
              <w:spacing w:before="60" w:after="60"/>
              <w:rPr>
                <w:rFonts w:asciiTheme="minorHAnsi" w:hAnsiTheme="minorHAnsi" w:cstheme="minorHAnsi"/>
                <w:sz w:val="20"/>
                <w:szCs w:val="20"/>
              </w:rPr>
            </w:pPr>
            <w:r w:rsidRPr="001E314F">
              <w:rPr>
                <w:rFonts w:asciiTheme="minorHAnsi" w:hAnsiTheme="minorHAnsi" w:cstheme="minorHAnsi"/>
                <w:sz w:val="20"/>
                <w:szCs w:val="20"/>
              </w:rPr>
              <w:t>PO1: Rozvoj výzkumu a vývoje pro inovace</w:t>
            </w:r>
          </w:p>
        </w:tc>
        <w:tc>
          <w:tcPr>
            <w:tcW w:w="1843" w:type="dxa"/>
          </w:tcPr>
          <w:p w14:paraId="1B9643FB" w14:textId="77777777" w:rsidR="000F1C75" w:rsidRPr="001E314F" w:rsidRDefault="000F1C75" w:rsidP="000F1C75">
            <w:pPr>
              <w:jc w:val="center"/>
              <w:cnfStyle w:val="000000100000" w:firstRow="0" w:lastRow="0" w:firstColumn="0" w:lastColumn="0" w:oddVBand="0" w:evenVBand="0" w:oddHBand="1" w:evenHBand="0" w:firstRowFirstColumn="0" w:firstRowLastColumn="0" w:lastRowFirstColumn="0" w:lastRowLastColumn="0"/>
              <w:rPr>
                <w:sz w:val="20"/>
                <w:szCs w:val="20"/>
              </w:rPr>
            </w:pPr>
            <w:r w:rsidRPr="001E314F">
              <w:rPr>
                <w:sz w:val="20"/>
                <w:szCs w:val="20"/>
              </w:rPr>
              <w:t>1 330 174 763</w:t>
            </w:r>
          </w:p>
        </w:tc>
        <w:tc>
          <w:tcPr>
            <w:tcW w:w="1134" w:type="dxa"/>
          </w:tcPr>
          <w:p w14:paraId="6EBAC6E7" w14:textId="77777777" w:rsidR="000F1C75" w:rsidRPr="001E314F" w:rsidRDefault="000F1C75" w:rsidP="000F1C75">
            <w:pPr>
              <w:pStyle w:val="Cnormln"/>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E314F">
              <w:rPr>
                <w:rFonts w:asciiTheme="minorHAnsi" w:hAnsiTheme="minorHAnsi" w:cstheme="minorHAnsi"/>
                <w:sz w:val="20"/>
                <w:szCs w:val="20"/>
              </w:rPr>
              <w:t>32,5</w:t>
            </w:r>
          </w:p>
        </w:tc>
        <w:tc>
          <w:tcPr>
            <w:tcW w:w="2126" w:type="dxa"/>
          </w:tcPr>
          <w:p w14:paraId="0E6D7A24" w14:textId="77777777" w:rsidR="000F1C75" w:rsidRPr="001E314F" w:rsidRDefault="000F1C75" w:rsidP="000F1C75">
            <w:pPr>
              <w:pStyle w:val="Cnormln"/>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E314F">
              <w:rPr>
                <w:rFonts w:asciiTheme="minorHAnsi" w:hAnsiTheme="minorHAnsi" w:cstheme="minorHAnsi"/>
                <w:sz w:val="20"/>
                <w:szCs w:val="20"/>
              </w:rPr>
              <w:t>1 352 544 411</w:t>
            </w:r>
          </w:p>
        </w:tc>
        <w:tc>
          <w:tcPr>
            <w:tcW w:w="1417" w:type="dxa"/>
          </w:tcPr>
          <w:p w14:paraId="18F3720D" w14:textId="77777777" w:rsidR="000F1C75" w:rsidRPr="001E314F" w:rsidRDefault="000F1C75" w:rsidP="000F1C75">
            <w:pPr>
              <w:pStyle w:val="Cnormln"/>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E314F">
              <w:rPr>
                <w:rFonts w:asciiTheme="minorHAnsi" w:hAnsiTheme="minorHAnsi" w:cstheme="minorHAnsi"/>
                <w:sz w:val="20"/>
                <w:szCs w:val="20"/>
              </w:rPr>
              <w:t>31,2</w:t>
            </w:r>
          </w:p>
        </w:tc>
      </w:tr>
      <w:tr w:rsidR="000F1C75" w:rsidRPr="001E314F" w14:paraId="5AEF092E" w14:textId="77777777" w:rsidTr="000F1C75">
        <w:tc>
          <w:tcPr>
            <w:cnfStyle w:val="001000000000" w:firstRow="0" w:lastRow="0" w:firstColumn="1" w:lastColumn="0" w:oddVBand="0" w:evenVBand="0" w:oddHBand="0" w:evenHBand="0" w:firstRowFirstColumn="0" w:firstRowLastColumn="0" w:lastRowFirstColumn="0" w:lastRowLastColumn="0"/>
            <w:tcW w:w="3403" w:type="dxa"/>
          </w:tcPr>
          <w:p w14:paraId="7C11696E" w14:textId="77777777" w:rsidR="000F1C75" w:rsidRPr="001E314F" w:rsidRDefault="000F1C75" w:rsidP="000F1C75">
            <w:pPr>
              <w:pStyle w:val="Cnormln"/>
              <w:spacing w:before="60" w:after="60"/>
              <w:rPr>
                <w:rFonts w:asciiTheme="minorHAnsi" w:hAnsiTheme="minorHAnsi" w:cstheme="minorHAnsi"/>
                <w:sz w:val="20"/>
                <w:szCs w:val="20"/>
              </w:rPr>
            </w:pPr>
            <w:r w:rsidRPr="001E314F">
              <w:rPr>
                <w:rFonts w:asciiTheme="minorHAnsi" w:hAnsiTheme="minorHAnsi" w:cstheme="minorHAnsi"/>
                <w:sz w:val="20"/>
                <w:szCs w:val="20"/>
              </w:rPr>
              <w:t>PO2: Rozvoj podnikání a konkurence-schopnosti malých a středních podniků</w:t>
            </w:r>
          </w:p>
        </w:tc>
        <w:tc>
          <w:tcPr>
            <w:tcW w:w="1843" w:type="dxa"/>
          </w:tcPr>
          <w:p w14:paraId="430694A6" w14:textId="77777777" w:rsidR="000F1C75" w:rsidRPr="001E314F" w:rsidRDefault="000F1C75" w:rsidP="000F1C75">
            <w:pPr>
              <w:jc w:val="center"/>
              <w:cnfStyle w:val="000000000000" w:firstRow="0" w:lastRow="0" w:firstColumn="0" w:lastColumn="0" w:oddVBand="0" w:evenVBand="0" w:oddHBand="0" w:evenHBand="0" w:firstRowFirstColumn="0" w:firstRowLastColumn="0" w:lastRowFirstColumn="0" w:lastRowLastColumn="0"/>
              <w:rPr>
                <w:sz w:val="20"/>
                <w:szCs w:val="20"/>
              </w:rPr>
            </w:pPr>
            <w:r w:rsidRPr="001E314F">
              <w:rPr>
                <w:sz w:val="20"/>
                <w:szCs w:val="20"/>
              </w:rPr>
              <w:t>1 194 615 240</w:t>
            </w:r>
          </w:p>
        </w:tc>
        <w:tc>
          <w:tcPr>
            <w:tcW w:w="1134" w:type="dxa"/>
          </w:tcPr>
          <w:p w14:paraId="6E818F86" w14:textId="77777777" w:rsidR="000F1C75" w:rsidRPr="001E314F" w:rsidRDefault="000F1C75" w:rsidP="000F1C75">
            <w:pPr>
              <w:pStyle w:val="Cnormln"/>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E314F">
              <w:rPr>
                <w:rFonts w:asciiTheme="minorHAnsi" w:hAnsiTheme="minorHAnsi" w:cstheme="minorHAnsi"/>
                <w:sz w:val="20"/>
                <w:szCs w:val="20"/>
              </w:rPr>
              <w:t>29,2</w:t>
            </w:r>
          </w:p>
        </w:tc>
        <w:tc>
          <w:tcPr>
            <w:tcW w:w="2126" w:type="dxa"/>
          </w:tcPr>
          <w:p w14:paraId="7B6C051B" w14:textId="77777777" w:rsidR="000F1C75" w:rsidRPr="001E314F" w:rsidRDefault="000F1C75" w:rsidP="000F1C75">
            <w:pPr>
              <w:pStyle w:val="Cnormln"/>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E314F">
              <w:rPr>
                <w:rFonts w:asciiTheme="minorHAnsi" w:hAnsiTheme="minorHAnsi" w:cstheme="minorHAnsi"/>
                <w:sz w:val="20"/>
                <w:szCs w:val="20"/>
              </w:rPr>
              <w:t>892 130 143</w:t>
            </w:r>
          </w:p>
        </w:tc>
        <w:tc>
          <w:tcPr>
            <w:tcW w:w="1417" w:type="dxa"/>
          </w:tcPr>
          <w:p w14:paraId="7A0CDFB5" w14:textId="77777777" w:rsidR="000F1C75" w:rsidRPr="001E314F" w:rsidRDefault="000F1C75" w:rsidP="000F1C75">
            <w:pPr>
              <w:pStyle w:val="Cnormln"/>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E314F">
              <w:rPr>
                <w:rFonts w:asciiTheme="minorHAnsi" w:hAnsiTheme="minorHAnsi" w:cstheme="minorHAnsi"/>
                <w:sz w:val="20"/>
                <w:szCs w:val="20"/>
              </w:rPr>
              <w:t>20,6</w:t>
            </w:r>
          </w:p>
        </w:tc>
      </w:tr>
      <w:tr w:rsidR="000F1C75" w:rsidRPr="001E314F" w14:paraId="11A7F9D7" w14:textId="77777777" w:rsidTr="000F1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Pr>
          <w:p w14:paraId="1F400F3E" w14:textId="77777777" w:rsidR="000F1C75" w:rsidRPr="001E314F" w:rsidRDefault="000F1C75" w:rsidP="000F1C75">
            <w:pPr>
              <w:pStyle w:val="Cnormln"/>
              <w:spacing w:before="60" w:after="60"/>
              <w:rPr>
                <w:rFonts w:asciiTheme="minorHAnsi" w:hAnsiTheme="minorHAnsi" w:cstheme="minorHAnsi"/>
                <w:sz w:val="20"/>
                <w:szCs w:val="20"/>
              </w:rPr>
            </w:pPr>
            <w:r w:rsidRPr="001E314F">
              <w:rPr>
                <w:rFonts w:asciiTheme="minorHAnsi" w:hAnsiTheme="minorHAnsi" w:cstheme="minorHAnsi"/>
                <w:sz w:val="20"/>
                <w:szCs w:val="20"/>
              </w:rPr>
              <w:t>PO3: Účinné nakládání energií, rozvoj energetické infrastruktury a OZE (…)</w:t>
            </w:r>
          </w:p>
        </w:tc>
        <w:tc>
          <w:tcPr>
            <w:tcW w:w="1843" w:type="dxa"/>
          </w:tcPr>
          <w:p w14:paraId="779575B7" w14:textId="77777777" w:rsidR="000F1C75" w:rsidRPr="001E314F" w:rsidRDefault="000F1C75" w:rsidP="000F1C75">
            <w:pPr>
              <w:jc w:val="center"/>
              <w:cnfStyle w:val="000000100000" w:firstRow="0" w:lastRow="0" w:firstColumn="0" w:lastColumn="0" w:oddVBand="0" w:evenVBand="0" w:oddHBand="1" w:evenHBand="0" w:firstRowFirstColumn="0" w:firstRowLastColumn="0" w:lastRowFirstColumn="0" w:lastRowLastColumn="0"/>
              <w:rPr>
                <w:sz w:val="20"/>
                <w:szCs w:val="20"/>
              </w:rPr>
            </w:pPr>
            <w:r w:rsidRPr="001E314F">
              <w:rPr>
                <w:sz w:val="20"/>
                <w:szCs w:val="20"/>
              </w:rPr>
              <w:t>1 003 121 298</w:t>
            </w:r>
          </w:p>
        </w:tc>
        <w:tc>
          <w:tcPr>
            <w:tcW w:w="1134" w:type="dxa"/>
          </w:tcPr>
          <w:p w14:paraId="3BD1F686" w14:textId="77777777" w:rsidR="000F1C75" w:rsidRPr="001E314F" w:rsidRDefault="000F1C75" w:rsidP="000F1C75">
            <w:pPr>
              <w:pStyle w:val="Cnormln"/>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E314F">
              <w:rPr>
                <w:rFonts w:asciiTheme="minorHAnsi" w:hAnsiTheme="minorHAnsi" w:cstheme="minorHAnsi"/>
                <w:sz w:val="20"/>
                <w:szCs w:val="20"/>
              </w:rPr>
              <w:t>24,5</w:t>
            </w:r>
          </w:p>
        </w:tc>
        <w:tc>
          <w:tcPr>
            <w:tcW w:w="2126" w:type="dxa"/>
          </w:tcPr>
          <w:p w14:paraId="00EB5511" w14:textId="77777777" w:rsidR="000F1C75" w:rsidRPr="001E314F" w:rsidRDefault="000F1C75" w:rsidP="000F1C75">
            <w:pPr>
              <w:pStyle w:val="Cnormln"/>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E314F">
              <w:rPr>
                <w:rFonts w:asciiTheme="minorHAnsi" w:hAnsiTheme="minorHAnsi" w:cstheme="minorHAnsi"/>
                <w:sz w:val="20"/>
                <w:szCs w:val="20"/>
              </w:rPr>
              <w:t>1 217 129 658</w:t>
            </w:r>
          </w:p>
        </w:tc>
        <w:tc>
          <w:tcPr>
            <w:tcW w:w="1417" w:type="dxa"/>
          </w:tcPr>
          <w:p w14:paraId="5F2B0D3E" w14:textId="77777777" w:rsidR="000F1C75" w:rsidRPr="001E314F" w:rsidRDefault="000F1C75" w:rsidP="000F1C75">
            <w:pPr>
              <w:pStyle w:val="Cnormln"/>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E314F">
              <w:rPr>
                <w:rFonts w:asciiTheme="minorHAnsi" w:hAnsiTheme="minorHAnsi" w:cstheme="minorHAnsi"/>
                <w:sz w:val="20"/>
                <w:szCs w:val="20"/>
              </w:rPr>
              <w:t>28,1</w:t>
            </w:r>
          </w:p>
        </w:tc>
      </w:tr>
      <w:tr w:rsidR="000F1C75" w:rsidRPr="001E314F" w14:paraId="64EDCDED" w14:textId="77777777" w:rsidTr="000F1C75">
        <w:tc>
          <w:tcPr>
            <w:cnfStyle w:val="001000000000" w:firstRow="0" w:lastRow="0" w:firstColumn="1" w:lastColumn="0" w:oddVBand="0" w:evenVBand="0" w:oddHBand="0" w:evenHBand="0" w:firstRowFirstColumn="0" w:firstRowLastColumn="0" w:lastRowFirstColumn="0" w:lastRowLastColumn="0"/>
            <w:tcW w:w="3403" w:type="dxa"/>
          </w:tcPr>
          <w:p w14:paraId="742864C6" w14:textId="77777777" w:rsidR="000F1C75" w:rsidRPr="001E314F" w:rsidRDefault="000F1C75" w:rsidP="000F1C75">
            <w:pPr>
              <w:pStyle w:val="Cnormln"/>
              <w:spacing w:before="60" w:after="60"/>
              <w:rPr>
                <w:rFonts w:asciiTheme="minorHAnsi" w:hAnsiTheme="minorHAnsi" w:cstheme="minorHAnsi"/>
                <w:sz w:val="20"/>
                <w:szCs w:val="20"/>
              </w:rPr>
            </w:pPr>
            <w:r w:rsidRPr="001E314F">
              <w:rPr>
                <w:rFonts w:asciiTheme="minorHAnsi" w:hAnsiTheme="minorHAnsi" w:cstheme="minorHAnsi"/>
                <w:sz w:val="20"/>
                <w:szCs w:val="20"/>
              </w:rPr>
              <w:t>PO4: Rozvoj vysokorychlostních přístupových sítí k internetu a ICT</w:t>
            </w:r>
          </w:p>
        </w:tc>
        <w:tc>
          <w:tcPr>
            <w:tcW w:w="1843" w:type="dxa"/>
          </w:tcPr>
          <w:p w14:paraId="4CAEFE8F" w14:textId="77777777" w:rsidR="000F1C75" w:rsidRPr="001E314F" w:rsidRDefault="000F1C75" w:rsidP="000F1C75">
            <w:pPr>
              <w:jc w:val="center"/>
              <w:cnfStyle w:val="000000000000" w:firstRow="0" w:lastRow="0" w:firstColumn="0" w:lastColumn="0" w:oddVBand="0" w:evenVBand="0" w:oddHBand="0" w:evenHBand="0" w:firstRowFirstColumn="0" w:firstRowLastColumn="0" w:lastRowFirstColumn="0" w:lastRowLastColumn="0"/>
              <w:rPr>
                <w:sz w:val="20"/>
                <w:szCs w:val="20"/>
              </w:rPr>
            </w:pPr>
            <w:r w:rsidRPr="001E314F">
              <w:rPr>
                <w:sz w:val="20"/>
                <w:szCs w:val="20"/>
              </w:rPr>
              <w:t>437 018 656</w:t>
            </w:r>
          </w:p>
        </w:tc>
        <w:tc>
          <w:tcPr>
            <w:tcW w:w="1134" w:type="dxa"/>
          </w:tcPr>
          <w:p w14:paraId="70688CE3" w14:textId="77777777" w:rsidR="000F1C75" w:rsidRPr="001E314F" w:rsidRDefault="000F1C75" w:rsidP="000F1C75">
            <w:pPr>
              <w:pStyle w:val="Cnormln"/>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E314F">
              <w:rPr>
                <w:rFonts w:asciiTheme="minorHAnsi" w:hAnsiTheme="minorHAnsi" w:cstheme="minorHAnsi"/>
                <w:sz w:val="20"/>
                <w:szCs w:val="20"/>
              </w:rPr>
              <w:t>10,7</w:t>
            </w:r>
          </w:p>
        </w:tc>
        <w:tc>
          <w:tcPr>
            <w:tcW w:w="2126" w:type="dxa"/>
          </w:tcPr>
          <w:p w14:paraId="75F1D19B" w14:textId="77777777" w:rsidR="000F1C75" w:rsidRPr="001E314F" w:rsidRDefault="000F1C75" w:rsidP="000F1C75">
            <w:pPr>
              <w:pStyle w:val="Cnormln"/>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E314F">
              <w:rPr>
                <w:rFonts w:asciiTheme="minorHAnsi" w:hAnsiTheme="minorHAnsi" w:cstheme="minorHAnsi"/>
                <w:sz w:val="20"/>
                <w:szCs w:val="20"/>
              </w:rPr>
              <w:t>743 657 589</w:t>
            </w:r>
          </w:p>
        </w:tc>
        <w:tc>
          <w:tcPr>
            <w:tcW w:w="1417" w:type="dxa"/>
          </w:tcPr>
          <w:p w14:paraId="59030BF0" w14:textId="77777777" w:rsidR="000F1C75" w:rsidRPr="001E314F" w:rsidRDefault="000F1C75" w:rsidP="000F1C75">
            <w:pPr>
              <w:pStyle w:val="Cnormln"/>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E314F">
              <w:rPr>
                <w:rFonts w:asciiTheme="minorHAnsi" w:hAnsiTheme="minorHAnsi" w:cstheme="minorHAnsi"/>
                <w:sz w:val="20"/>
                <w:szCs w:val="20"/>
              </w:rPr>
              <w:t>17,2</w:t>
            </w:r>
          </w:p>
        </w:tc>
      </w:tr>
      <w:tr w:rsidR="000F1C75" w:rsidRPr="001E314F" w14:paraId="7170049A" w14:textId="77777777" w:rsidTr="000F1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Pr>
          <w:p w14:paraId="1201F1D7" w14:textId="77777777" w:rsidR="000F1C75" w:rsidRPr="001E314F" w:rsidRDefault="000F1C75" w:rsidP="000F1C75">
            <w:pPr>
              <w:pStyle w:val="Cnormln"/>
              <w:spacing w:before="60" w:after="60"/>
              <w:rPr>
                <w:rFonts w:asciiTheme="minorHAnsi" w:hAnsiTheme="minorHAnsi" w:cstheme="minorHAnsi"/>
                <w:sz w:val="20"/>
                <w:szCs w:val="20"/>
              </w:rPr>
            </w:pPr>
            <w:r w:rsidRPr="001E314F">
              <w:rPr>
                <w:rFonts w:asciiTheme="minorHAnsi" w:hAnsiTheme="minorHAnsi" w:cstheme="minorHAnsi"/>
                <w:sz w:val="20"/>
                <w:szCs w:val="20"/>
              </w:rPr>
              <w:t>PO5: Technická podpora</w:t>
            </w:r>
          </w:p>
        </w:tc>
        <w:tc>
          <w:tcPr>
            <w:tcW w:w="1843" w:type="dxa"/>
          </w:tcPr>
          <w:p w14:paraId="6FA7786E" w14:textId="77777777" w:rsidR="000F1C75" w:rsidRPr="001E314F" w:rsidRDefault="000F1C75" w:rsidP="000F1C75">
            <w:pPr>
              <w:jc w:val="center"/>
              <w:cnfStyle w:val="000000100000" w:firstRow="0" w:lastRow="0" w:firstColumn="0" w:lastColumn="0" w:oddVBand="0" w:evenVBand="0" w:oddHBand="1" w:evenHBand="0" w:firstRowFirstColumn="0" w:firstRowLastColumn="0" w:lastRowFirstColumn="0" w:lastRowLastColumn="0"/>
              <w:rPr>
                <w:sz w:val="20"/>
                <w:szCs w:val="20"/>
              </w:rPr>
            </w:pPr>
            <w:r w:rsidRPr="001E314F">
              <w:rPr>
                <w:sz w:val="20"/>
                <w:szCs w:val="20"/>
              </w:rPr>
              <w:t>125 600 816</w:t>
            </w:r>
          </w:p>
        </w:tc>
        <w:tc>
          <w:tcPr>
            <w:tcW w:w="1134" w:type="dxa"/>
          </w:tcPr>
          <w:p w14:paraId="06C3FE10" w14:textId="77777777" w:rsidR="000F1C75" w:rsidRPr="001E314F" w:rsidRDefault="000F1C75" w:rsidP="000F1C75">
            <w:pPr>
              <w:pStyle w:val="Cnormln"/>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E314F">
              <w:rPr>
                <w:rFonts w:asciiTheme="minorHAnsi" w:hAnsiTheme="minorHAnsi" w:cstheme="minorHAnsi"/>
                <w:sz w:val="20"/>
                <w:szCs w:val="20"/>
              </w:rPr>
              <w:t>3,1</w:t>
            </w:r>
          </w:p>
        </w:tc>
        <w:tc>
          <w:tcPr>
            <w:tcW w:w="2126" w:type="dxa"/>
          </w:tcPr>
          <w:p w14:paraId="27F66715" w14:textId="77777777" w:rsidR="000F1C75" w:rsidRPr="001E314F" w:rsidRDefault="000F1C75" w:rsidP="000F1C75">
            <w:pPr>
              <w:pStyle w:val="Cnormln"/>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bookmarkStart w:id="37" w:name="_Hlk46231606"/>
            <w:r w:rsidRPr="001E314F">
              <w:rPr>
                <w:rFonts w:asciiTheme="minorHAnsi" w:hAnsiTheme="minorHAnsi" w:cstheme="minorHAnsi"/>
                <w:sz w:val="20"/>
                <w:szCs w:val="20"/>
              </w:rPr>
              <w:t>125 600 816</w:t>
            </w:r>
            <w:bookmarkEnd w:id="37"/>
          </w:p>
        </w:tc>
        <w:tc>
          <w:tcPr>
            <w:tcW w:w="1417" w:type="dxa"/>
          </w:tcPr>
          <w:p w14:paraId="32DD5E1B" w14:textId="77777777" w:rsidR="000F1C75" w:rsidRPr="001E314F" w:rsidRDefault="000F1C75" w:rsidP="000F1C75">
            <w:pPr>
              <w:pStyle w:val="Cnormln"/>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E314F">
              <w:rPr>
                <w:rFonts w:asciiTheme="minorHAnsi" w:hAnsiTheme="minorHAnsi" w:cstheme="minorHAnsi"/>
                <w:sz w:val="20"/>
                <w:szCs w:val="20"/>
              </w:rPr>
              <w:t>2,9</w:t>
            </w:r>
          </w:p>
        </w:tc>
      </w:tr>
      <w:tr w:rsidR="000F1C75" w:rsidRPr="001E314F" w14:paraId="7026CD23" w14:textId="77777777" w:rsidTr="000F1C75">
        <w:tc>
          <w:tcPr>
            <w:cnfStyle w:val="001000000000" w:firstRow="0" w:lastRow="0" w:firstColumn="1" w:lastColumn="0" w:oddVBand="0" w:evenVBand="0" w:oddHBand="0" w:evenHBand="0" w:firstRowFirstColumn="0" w:firstRowLastColumn="0" w:lastRowFirstColumn="0" w:lastRowLastColumn="0"/>
            <w:tcW w:w="3403" w:type="dxa"/>
          </w:tcPr>
          <w:p w14:paraId="716D7D21" w14:textId="77777777" w:rsidR="000F1C75" w:rsidRPr="001E314F" w:rsidRDefault="000F1C75" w:rsidP="000F1C75">
            <w:pPr>
              <w:pStyle w:val="Cnormln"/>
              <w:spacing w:before="60" w:after="60"/>
              <w:rPr>
                <w:rFonts w:asciiTheme="minorHAnsi" w:hAnsiTheme="minorHAnsi" w:cstheme="minorHAnsi"/>
                <w:sz w:val="20"/>
                <w:szCs w:val="20"/>
              </w:rPr>
            </w:pPr>
            <w:r w:rsidRPr="001E314F">
              <w:rPr>
                <w:rFonts w:asciiTheme="minorHAnsi" w:hAnsiTheme="minorHAnsi" w:cstheme="minorHAnsi"/>
                <w:sz w:val="20"/>
                <w:szCs w:val="20"/>
              </w:rPr>
              <w:t>OP PIK Celkem</w:t>
            </w:r>
          </w:p>
        </w:tc>
        <w:tc>
          <w:tcPr>
            <w:tcW w:w="1843" w:type="dxa"/>
          </w:tcPr>
          <w:p w14:paraId="10665E7E" w14:textId="77777777" w:rsidR="000F1C75" w:rsidRPr="001E314F" w:rsidRDefault="000F1C75" w:rsidP="000F1C75">
            <w:pPr>
              <w:jc w:val="center"/>
              <w:cnfStyle w:val="000000000000" w:firstRow="0" w:lastRow="0" w:firstColumn="0" w:lastColumn="0" w:oddVBand="0" w:evenVBand="0" w:oddHBand="0" w:evenHBand="0" w:firstRowFirstColumn="0" w:firstRowLastColumn="0" w:lastRowFirstColumn="0" w:lastRowLastColumn="0"/>
              <w:rPr>
                <w:sz w:val="20"/>
                <w:szCs w:val="20"/>
              </w:rPr>
            </w:pPr>
            <w:r w:rsidRPr="001E314F">
              <w:rPr>
                <w:sz w:val="20"/>
                <w:szCs w:val="20"/>
              </w:rPr>
              <w:t>4 090 530 773</w:t>
            </w:r>
          </w:p>
        </w:tc>
        <w:tc>
          <w:tcPr>
            <w:tcW w:w="1134" w:type="dxa"/>
          </w:tcPr>
          <w:p w14:paraId="4243B2DB" w14:textId="77777777" w:rsidR="000F1C75" w:rsidRPr="001E314F" w:rsidRDefault="000F1C75" w:rsidP="000F1C75">
            <w:pPr>
              <w:pStyle w:val="Cnormln"/>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E314F">
              <w:rPr>
                <w:rFonts w:asciiTheme="minorHAnsi" w:hAnsiTheme="minorHAnsi" w:cstheme="minorHAnsi"/>
                <w:sz w:val="20"/>
                <w:szCs w:val="20"/>
              </w:rPr>
              <w:t>100</w:t>
            </w:r>
          </w:p>
        </w:tc>
        <w:tc>
          <w:tcPr>
            <w:tcW w:w="2126" w:type="dxa"/>
          </w:tcPr>
          <w:p w14:paraId="3A316668" w14:textId="77777777" w:rsidR="000F1C75" w:rsidRPr="001E314F" w:rsidRDefault="000F1C75" w:rsidP="000F1C75">
            <w:pPr>
              <w:pStyle w:val="Cnormln"/>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bookmarkStart w:id="38" w:name="_Hlk46231570"/>
            <w:r w:rsidRPr="001E314F">
              <w:rPr>
                <w:rFonts w:asciiTheme="minorHAnsi" w:hAnsiTheme="minorHAnsi" w:cstheme="minorHAnsi"/>
                <w:sz w:val="20"/>
                <w:szCs w:val="20"/>
              </w:rPr>
              <w:t>4 331 062 617</w:t>
            </w:r>
            <w:bookmarkEnd w:id="38"/>
          </w:p>
        </w:tc>
        <w:tc>
          <w:tcPr>
            <w:tcW w:w="1417" w:type="dxa"/>
          </w:tcPr>
          <w:p w14:paraId="14327E5F" w14:textId="77777777" w:rsidR="000F1C75" w:rsidRPr="001E314F" w:rsidRDefault="000F1C75" w:rsidP="000F1C75">
            <w:pPr>
              <w:pStyle w:val="Cnormln"/>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E314F">
              <w:rPr>
                <w:rFonts w:asciiTheme="minorHAnsi" w:hAnsiTheme="minorHAnsi" w:cstheme="minorHAnsi"/>
                <w:sz w:val="20"/>
                <w:szCs w:val="20"/>
              </w:rPr>
              <w:t>100</w:t>
            </w:r>
          </w:p>
        </w:tc>
      </w:tr>
    </w:tbl>
    <w:p w14:paraId="1B98B49F" w14:textId="77777777" w:rsidR="000F1C75" w:rsidRDefault="000F1C75" w:rsidP="000F1C75">
      <w:pPr>
        <w:pStyle w:val="Cnormln"/>
        <w:spacing w:before="60" w:after="60"/>
        <w:jc w:val="both"/>
        <w:rPr>
          <w:rFonts w:asciiTheme="minorHAnsi" w:hAnsiTheme="minorHAnsi" w:cstheme="minorHAnsi"/>
          <w:i/>
          <w:iCs/>
        </w:rPr>
      </w:pPr>
      <w:bookmarkStart w:id="39" w:name="_Hlk46231936"/>
      <w:bookmarkEnd w:id="36"/>
      <w:r>
        <w:rPr>
          <w:rFonts w:asciiTheme="minorHAnsi" w:hAnsiTheme="minorHAnsi" w:cstheme="minorHAnsi"/>
          <w:i/>
          <w:iCs/>
        </w:rPr>
        <w:t>Zdroj: Programový dokument, verze k dubnu 2020 a dubnu 2015</w:t>
      </w:r>
      <w:bookmarkEnd w:id="39"/>
    </w:p>
    <w:p w14:paraId="4C5609CF" w14:textId="77777777" w:rsidR="000F1C75" w:rsidRDefault="000F1C75" w:rsidP="000F1C75">
      <w:pPr>
        <w:pStyle w:val="Cnormln"/>
        <w:spacing w:before="60" w:after="60"/>
        <w:jc w:val="both"/>
        <w:rPr>
          <w:rFonts w:asciiTheme="minorHAnsi" w:hAnsiTheme="minorHAnsi" w:cstheme="minorHAnsi"/>
        </w:rPr>
      </w:pPr>
    </w:p>
    <w:p w14:paraId="1BC32012" w14:textId="77777777" w:rsidR="000F1C75" w:rsidRDefault="000F1C75" w:rsidP="000F1C75">
      <w:pPr>
        <w:pStyle w:val="Cnormln"/>
        <w:spacing w:before="60" w:after="60"/>
        <w:jc w:val="both"/>
        <w:rPr>
          <w:rFonts w:asciiTheme="minorHAnsi" w:hAnsiTheme="minorHAnsi" w:cstheme="minorHAnsi"/>
        </w:rPr>
      </w:pPr>
      <w:r>
        <w:rPr>
          <w:rFonts w:asciiTheme="minorHAnsi" w:hAnsiTheme="minorHAnsi" w:cstheme="minorHAnsi"/>
        </w:rPr>
        <w:t xml:space="preserve">Alokace na PO 5 tedy lehce přesahuje 3 % z celkové alokace prostředků EU na program jako celek </w:t>
      </w:r>
      <w:r w:rsidR="00012D0B">
        <w:rPr>
          <w:rFonts w:asciiTheme="minorHAnsi" w:hAnsiTheme="minorHAnsi" w:cstheme="minorHAnsi"/>
        </w:rPr>
        <w:br/>
      </w:r>
      <w:r>
        <w:rPr>
          <w:rFonts w:asciiTheme="minorHAnsi" w:hAnsiTheme="minorHAnsi" w:cstheme="minorHAnsi"/>
        </w:rPr>
        <w:t xml:space="preserve">a dosahuje cca 3,3 mld. Kč. </w:t>
      </w:r>
      <w:bookmarkStart w:id="40" w:name="_Hlk46231637"/>
      <w:r>
        <w:rPr>
          <w:rFonts w:asciiTheme="minorHAnsi" w:hAnsiTheme="minorHAnsi" w:cstheme="minorHAnsi"/>
        </w:rPr>
        <w:t>Při započítání spolufinancování ze státního rozpočtu ve výši 15 % činí celková alokace TP OP PIK cca 3,9 mld. Kč.</w:t>
      </w:r>
      <w:bookmarkEnd w:id="40"/>
    </w:p>
    <w:p w14:paraId="27B20C29" w14:textId="77777777" w:rsidR="000F1C75" w:rsidRDefault="000F1C75" w:rsidP="000F1C75">
      <w:pPr>
        <w:pStyle w:val="Cnormln"/>
        <w:spacing w:before="60" w:after="60"/>
        <w:jc w:val="both"/>
        <w:rPr>
          <w:rFonts w:asciiTheme="minorHAnsi" w:hAnsiTheme="minorHAnsi" w:cstheme="minorHAnsi"/>
        </w:rPr>
      </w:pPr>
      <w:r>
        <w:rPr>
          <w:rFonts w:asciiTheme="minorHAnsi" w:hAnsiTheme="minorHAnsi" w:cstheme="minorHAnsi"/>
        </w:rPr>
        <w:t>Absolutní výše alokace na TP zůstává v průběhu implementace konstantní, na rozdíl od ostatních PO tak nedochází k jejím změnám. S ohledem na pokles celkové alokace OP PIK oproti schválené verzi z dubna 2015 o cca 5,5 % (spolufinancování EU) se tak podíl TP na alokaci zvýšil o cca 0,2procentní body (z původních cca 2,9 %).</w:t>
      </w:r>
    </w:p>
    <w:p w14:paraId="74894E84" w14:textId="77777777" w:rsidR="000F1C75" w:rsidRDefault="000F1C75" w:rsidP="000F1C75">
      <w:pPr>
        <w:pStyle w:val="Cnormln"/>
        <w:spacing w:before="60" w:after="60"/>
        <w:jc w:val="both"/>
        <w:rPr>
          <w:rFonts w:asciiTheme="minorHAnsi" w:hAnsiTheme="minorHAnsi" w:cstheme="minorHAnsi"/>
        </w:rPr>
      </w:pPr>
      <w:r>
        <w:rPr>
          <w:rFonts w:asciiTheme="minorHAnsi" w:hAnsiTheme="minorHAnsi" w:cstheme="minorHAnsi"/>
        </w:rPr>
        <w:t xml:space="preserve">TP je čerpána prostřednictvím IP. </w:t>
      </w:r>
      <w:r w:rsidRPr="00F84977">
        <w:rPr>
          <w:rFonts w:asciiTheme="minorHAnsi" w:hAnsiTheme="minorHAnsi" w:cstheme="minorHAnsi"/>
        </w:rPr>
        <w:t xml:space="preserve">Do </w:t>
      </w:r>
      <w:r>
        <w:rPr>
          <w:rFonts w:asciiTheme="minorHAnsi" w:hAnsiTheme="minorHAnsi" w:cstheme="minorHAnsi"/>
        </w:rPr>
        <w:t xml:space="preserve">31. 12. 2018 bylo v rámci PO 5 OP PIK závazkováno </w:t>
      </w:r>
      <w:r w:rsidR="00012D0B">
        <w:rPr>
          <w:rFonts w:asciiTheme="minorHAnsi" w:hAnsiTheme="minorHAnsi" w:cstheme="minorHAnsi"/>
        </w:rPr>
        <w:br/>
      </w:r>
      <w:r>
        <w:rPr>
          <w:rFonts w:asciiTheme="minorHAnsi" w:hAnsiTheme="minorHAnsi" w:cstheme="minorHAnsi"/>
        </w:rPr>
        <w:t>cca 2,127 mld. Kč, tedy 81,75 mil EUR (prostředky EU</w:t>
      </w:r>
      <w:r w:rsidR="00282708">
        <w:rPr>
          <w:rFonts w:asciiTheme="minorHAnsi" w:hAnsiTheme="minorHAnsi" w:cstheme="minorHAnsi"/>
        </w:rPr>
        <w:t xml:space="preserve"> </w:t>
      </w:r>
      <w:r>
        <w:rPr>
          <w:rFonts w:asciiTheme="minorHAnsi" w:hAnsiTheme="minorHAnsi" w:cstheme="minorHAnsi"/>
        </w:rPr>
        <w:t>–</w:t>
      </w:r>
      <w:r w:rsidR="00282708">
        <w:rPr>
          <w:rFonts w:asciiTheme="minorHAnsi" w:hAnsiTheme="minorHAnsi" w:cstheme="minorHAnsi"/>
        </w:rPr>
        <w:t xml:space="preserve"> </w:t>
      </w:r>
      <w:r>
        <w:rPr>
          <w:rFonts w:asciiTheme="minorHAnsi" w:hAnsiTheme="minorHAnsi" w:cstheme="minorHAnsi"/>
        </w:rPr>
        <w:t>tedy bez spolufinancování). Tato částka tedy představuje kumulativní výši prostředků požadovaných projekty, které byly v rámci PO 5 schváleny k realizaci (celkem 38 IP). IP jsou zpracovávány zvlášť pro ŘO a ZS (API) a na období 3 let. První skupina IP tak byla implementovaná pro období 2016</w:t>
      </w:r>
      <w:r w:rsidR="00012D0B">
        <w:rPr>
          <w:rFonts w:asciiTheme="minorHAnsi" w:hAnsiTheme="minorHAnsi" w:cstheme="minorHAnsi"/>
        </w:rPr>
        <w:t xml:space="preserve"> </w:t>
      </w:r>
      <w:r>
        <w:rPr>
          <w:rFonts w:asciiTheme="minorHAnsi" w:hAnsiTheme="minorHAnsi" w:cstheme="minorHAnsi"/>
        </w:rPr>
        <w:t>–</w:t>
      </w:r>
      <w:r w:rsidR="00012D0B">
        <w:rPr>
          <w:rFonts w:asciiTheme="minorHAnsi" w:hAnsiTheme="minorHAnsi" w:cstheme="minorHAnsi"/>
        </w:rPr>
        <w:t xml:space="preserve"> </w:t>
      </w:r>
      <w:r>
        <w:rPr>
          <w:rFonts w:asciiTheme="minorHAnsi" w:hAnsiTheme="minorHAnsi" w:cstheme="minorHAnsi"/>
        </w:rPr>
        <w:t>2018, druhá skupina IP je aktuálně implementovaná pro období 2019</w:t>
      </w:r>
      <w:r w:rsidR="00012D0B">
        <w:rPr>
          <w:rFonts w:asciiTheme="minorHAnsi" w:hAnsiTheme="minorHAnsi" w:cstheme="minorHAnsi"/>
        </w:rPr>
        <w:t xml:space="preserve"> </w:t>
      </w:r>
      <w:r>
        <w:rPr>
          <w:rFonts w:asciiTheme="minorHAnsi" w:hAnsiTheme="minorHAnsi" w:cstheme="minorHAnsi"/>
        </w:rPr>
        <w:t>–</w:t>
      </w:r>
      <w:r w:rsidR="00012D0B">
        <w:rPr>
          <w:rFonts w:asciiTheme="minorHAnsi" w:hAnsiTheme="minorHAnsi" w:cstheme="minorHAnsi"/>
        </w:rPr>
        <w:t xml:space="preserve"> </w:t>
      </w:r>
      <w:r>
        <w:rPr>
          <w:rFonts w:asciiTheme="minorHAnsi" w:hAnsiTheme="minorHAnsi" w:cstheme="minorHAnsi"/>
        </w:rPr>
        <w:t>2021. IP jsou zpracovány zpravidla jako jednoúčelové projekty pro konkrétní skupinu výdajů (např. osobní náklady, provozní výdaje atd.).</w:t>
      </w:r>
    </w:p>
    <w:p w14:paraId="5296250C" w14:textId="77777777" w:rsidR="000F1C75" w:rsidRDefault="000F1C75" w:rsidP="000F1C75">
      <w:pPr>
        <w:pStyle w:val="Cnormln"/>
        <w:spacing w:before="60" w:after="60"/>
        <w:jc w:val="both"/>
        <w:rPr>
          <w:rFonts w:asciiTheme="minorHAnsi" w:hAnsiTheme="minorHAnsi" w:cstheme="minorHAnsi"/>
        </w:rPr>
      </w:pPr>
      <w:r>
        <w:rPr>
          <w:rFonts w:asciiTheme="minorHAnsi" w:hAnsiTheme="minorHAnsi" w:cstheme="minorHAnsi"/>
        </w:rPr>
        <w:t>Přehled implementovaných IP, včetně jejich rozpočtů a skutečného čerpání je předložen v tabulkách níže:</w:t>
      </w:r>
    </w:p>
    <w:p w14:paraId="65182A61" w14:textId="6AB75DAA" w:rsidR="000F1C75" w:rsidRDefault="000F1C75" w:rsidP="000F1C75">
      <w:pPr>
        <w:pStyle w:val="Titulek"/>
        <w:rPr>
          <w:rFonts w:cstheme="minorHAnsi"/>
        </w:rPr>
      </w:pPr>
      <w:bookmarkStart w:id="41" w:name="_Toc45657560"/>
      <w:bookmarkStart w:id="42" w:name="_Toc50456737"/>
      <w:r>
        <w:lastRenderedPageBreak/>
        <w:t xml:space="preserve">Tabulka </w:t>
      </w:r>
      <w:r w:rsidR="00C050DB">
        <w:fldChar w:fldCharType="begin"/>
      </w:r>
      <w:r w:rsidR="00C050DB">
        <w:instrText xml:space="preserve"> SEQ Tabulka \* ARABIC </w:instrText>
      </w:r>
      <w:r w:rsidR="00C050DB">
        <w:fldChar w:fldCharType="separate"/>
      </w:r>
      <w:r w:rsidR="00E96F43">
        <w:rPr>
          <w:noProof/>
        </w:rPr>
        <w:t>4</w:t>
      </w:r>
      <w:r w:rsidR="00C050DB">
        <w:rPr>
          <w:noProof/>
        </w:rPr>
        <w:fldChar w:fldCharType="end"/>
      </w:r>
      <w:r>
        <w:t xml:space="preserve">: Projekty ŘO, </w:t>
      </w:r>
      <w:bookmarkEnd w:id="41"/>
      <w:r>
        <w:t>2016</w:t>
      </w:r>
      <w:r w:rsidR="00012D0B">
        <w:t xml:space="preserve"> </w:t>
      </w:r>
      <w:r>
        <w:t>–</w:t>
      </w:r>
      <w:r w:rsidR="00012D0B">
        <w:t xml:space="preserve"> </w:t>
      </w:r>
      <w:r>
        <w:t>2018</w:t>
      </w:r>
      <w:bookmarkEnd w:id="42"/>
    </w:p>
    <w:tbl>
      <w:tblPr>
        <w:tblStyle w:val="Styl1"/>
        <w:tblW w:w="8789" w:type="dxa"/>
        <w:tblInd w:w="-5" w:type="dxa"/>
        <w:tblLook w:val="04A0" w:firstRow="1" w:lastRow="0" w:firstColumn="1" w:lastColumn="0" w:noHBand="0" w:noVBand="1"/>
      </w:tblPr>
      <w:tblGrid>
        <w:gridCol w:w="4161"/>
        <w:gridCol w:w="1793"/>
        <w:gridCol w:w="1559"/>
        <w:gridCol w:w="1276"/>
      </w:tblGrid>
      <w:tr w:rsidR="000F1C75" w14:paraId="31E63529" w14:textId="77777777" w:rsidTr="000F1C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61" w:type="dxa"/>
            <w:noWrap/>
            <w:hideMark/>
          </w:tcPr>
          <w:p w14:paraId="6B1EB017" w14:textId="77777777" w:rsidR="000F1C75" w:rsidRDefault="000F1C75" w:rsidP="000F1C75">
            <w:pPr>
              <w:spacing w:after="0"/>
              <w:jc w:val="center"/>
              <w:rPr>
                <w:rFonts w:ascii="Calibri" w:eastAsia="Times New Roman" w:hAnsi="Calibri" w:cs="Calibri"/>
                <w:color w:val="000000"/>
                <w:sz w:val="24"/>
                <w:szCs w:val="24"/>
                <w:lang w:eastAsia="cs-CZ"/>
              </w:rPr>
            </w:pPr>
            <w:r>
              <w:rPr>
                <w:rFonts w:ascii="Calibri" w:eastAsia="Times New Roman" w:hAnsi="Calibri" w:cs="Calibri"/>
                <w:color w:val="FFFFFF"/>
                <w:sz w:val="18"/>
                <w:szCs w:val="18"/>
                <w:lang w:eastAsia="cs-CZ"/>
              </w:rPr>
              <w:t xml:space="preserve">Projekty ŘO </w:t>
            </w:r>
            <w:r w:rsidR="00E7142C">
              <w:rPr>
                <w:rFonts w:ascii="Calibri" w:eastAsia="Times New Roman" w:hAnsi="Calibri" w:cs="Calibri"/>
                <w:color w:val="FFFFFF"/>
                <w:sz w:val="18"/>
                <w:szCs w:val="18"/>
                <w:lang w:eastAsia="cs-CZ"/>
              </w:rPr>
              <w:t>2016</w:t>
            </w:r>
            <w:r w:rsidR="00012D0B">
              <w:rPr>
                <w:rFonts w:ascii="Calibri" w:eastAsia="Times New Roman" w:hAnsi="Calibri" w:cs="Calibri"/>
                <w:color w:val="FFFFFF"/>
                <w:sz w:val="18"/>
                <w:szCs w:val="18"/>
                <w:lang w:eastAsia="cs-CZ"/>
              </w:rPr>
              <w:t xml:space="preserve"> </w:t>
            </w:r>
            <w:r w:rsidR="00E7142C">
              <w:rPr>
                <w:rFonts w:ascii="Calibri" w:eastAsia="Times New Roman" w:hAnsi="Calibri" w:cs="Calibri"/>
                <w:color w:val="FFFFFF"/>
                <w:sz w:val="18"/>
                <w:szCs w:val="18"/>
                <w:lang w:eastAsia="cs-CZ"/>
              </w:rPr>
              <w:t>–</w:t>
            </w:r>
            <w:r w:rsidR="00012D0B">
              <w:rPr>
                <w:rFonts w:ascii="Calibri" w:eastAsia="Times New Roman" w:hAnsi="Calibri" w:cs="Calibri"/>
                <w:color w:val="FFFFFF"/>
                <w:sz w:val="18"/>
                <w:szCs w:val="18"/>
                <w:lang w:eastAsia="cs-CZ"/>
              </w:rPr>
              <w:t xml:space="preserve"> </w:t>
            </w:r>
            <w:r w:rsidR="00E7142C">
              <w:rPr>
                <w:rFonts w:ascii="Calibri" w:eastAsia="Times New Roman" w:hAnsi="Calibri" w:cs="Calibri"/>
                <w:color w:val="FFFFFF"/>
                <w:sz w:val="18"/>
                <w:szCs w:val="18"/>
                <w:lang w:eastAsia="cs-CZ"/>
              </w:rPr>
              <w:t>2018</w:t>
            </w:r>
          </w:p>
        </w:tc>
        <w:tc>
          <w:tcPr>
            <w:tcW w:w="1793" w:type="dxa"/>
          </w:tcPr>
          <w:p w14:paraId="13564EEE" w14:textId="77777777" w:rsidR="000F1C75" w:rsidRDefault="000F1C75" w:rsidP="000F1C75">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8"/>
                <w:szCs w:val="18"/>
                <w:lang w:eastAsia="cs-CZ"/>
              </w:rPr>
            </w:pPr>
            <w:r>
              <w:rPr>
                <w:rFonts w:ascii="Calibri" w:eastAsia="Times New Roman" w:hAnsi="Calibri" w:cs="Calibri"/>
                <w:color w:val="FFFFFF"/>
                <w:sz w:val="18"/>
                <w:szCs w:val="18"/>
                <w:lang w:eastAsia="cs-CZ"/>
              </w:rPr>
              <w:t>Rozpočet projektu</w:t>
            </w:r>
            <w:r>
              <w:rPr>
                <w:rStyle w:val="Znakapoznpodarou"/>
                <w:rFonts w:ascii="Calibri" w:eastAsia="Times New Roman" w:hAnsi="Calibri" w:cs="Calibri"/>
                <w:color w:val="FFFFFF"/>
                <w:sz w:val="18"/>
                <w:szCs w:val="18"/>
                <w:lang w:eastAsia="cs-CZ"/>
              </w:rPr>
              <w:footnoteReference w:id="1"/>
            </w:r>
          </w:p>
        </w:tc>
        <w:tc>
          <w:tcPr>
            <w:tcW w:w="1559" w:type="dxa"/>
            <w:hideMark/>
          </w:tcPr>
          <w:p w14:paraId="711EBB94" w14:textId="77777777" w:rsidR="000F1C75" w:rsidRDefault="000F1C75" w:rsidP="000F1C75">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cs-CZ"/>
              </w:rPr>
            </w:pPr>
            <w:r>
              <w:rPr>
                <w:rFonts w:ascii="Calibri" w:eastAsia="Times New Roman" w:hAnsi="Calibri" w:cs="Calibri"/>
                <w:color w:val="FFFFFF"/>
                <w:sz w:val="18"/>
                <w:szCs w:val="18"/>
                <w:lang w:eastAsia="cs-CZ"/>
              </w:rPr>
              <w:t>Vyčerpáno (celkem)</w:t>
            </w:r>
          </w:p>
        </w:tc>
        <w:tc>
          <w:tcPr>
            <w:tcW w:w="1276" w:type="dxa"/>
          </w:tcPr>
          <w:p w14:paraId="430F02AB" w14:textId="77777777" w:rsidR="000F1C75" w:rsidRDefault="000F1C75" w:rsidP="000F1C75">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8"/>
                <w:szCs w:val="18"/>
                <w:lang w:eastAsia="cs-CZ"/>
              </w:rPr>
            </w:pPr>
            <w:r>
              <w:rPr>
                <w:rFonts w:ascii="Calibri" w:eastAsia="Times New Roman" w:hAnsi="Calibri" w:cs="Calibri"/>
                <w:color w:val="FFFFFF"/>
                <w:sz w:val="18"/>
                <w:szCs w:val="18"/>
                <w:lang w:eastAsia="cs-CZ"/>
              </w:rPr>
              <w:t>Vyčerpáno %</w:t>
            </w:r>
          </w:p>
        </w:tc>
      </w:tr>
      <w:tr w:rsidR="000F1C75" w14:paraId="6B3AE63F" w14:textId="77777777" w:rsidTr="000F1C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61" w:type="dxa"/>
            <w:noWrap/>
            <w:hideMark/>
          </w:tcPr>
          <w:p w14:paraId="679233F8" w14:textId="77777777" w:rsidR="000F1C75" w:rsidRDefault="000F1C75" w:rsidP="000F1C75">
            <w:pPr>
              <w:spacing w:after="0"/>
              <w:rPr>
                <w:rFonts w:ascii="Calibri" w:eastAsia="Times New Roman" w:hAnsi="Calibri" w:cs="Calibri"/>
                <w:color w:val="000000"/>
                <w:sz w:val="24"/>
                <w:szCs w:val="24"/>
                <w:lang w:eastAsia="cs-CZ"/>
              </w:rPr>
            </w:pPr>
            <w:r>
              <w:rPr>
                <w:rFonts w:ascii="Calibri" w:eastAsia="Times New Roman" w:hAnsi="Calibri" w:cs="Calibri"/>
                <w:color w:val="000000"/>
                <w:sz w:val="18"/>
                <w:szCs w:val="18"/>
                <w:lang w:eastAsia="cs-CZ"/>
              </w:rPr>
              <w:t>EXTERNÍ SLUŽBY</w:t>
            </w:r>
          </w:p>
        </w:tc>
        <w:tc>
          <w:tcPr>
            <w:tcW w:w="1793" w:type="dxa"/>
          </w:tcPr>
          <w:p w14:paraId="6EE09545" w14:textId="77777777" w:rsidR="000F1C75" w:rsidRPr="00A819E6" w:rsidRDefault="000F1C75" w:rsidP="000F1C75">
            <w:pPr>
              <w:spacing w:after="0"/>
              <w:ind w:right="1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sidRPr="00A819E6">
              <w:rPr>
                <w:rFonts w:ascii="Calibri" w:eastAsia="Times New Roman" w:hAnsi="Calibri" w:cs="Calibri"/>
                <w:color w:val="000000"/>
                <w:sz w:val="18"/>
                <w:szCs w:val="18"/>
                <w:lang w:eastAsia="cs-CZ"/>
              </w:rPr>
              <w:t>90 000 000</w:t>
            </w:r>
          </w:p>
        </w:tc>
        <w:tc>
          <w:tcPr>
            <w:tcW w:w="1559" w:type="dxa"/>
            <w:noWrap/>
            <w:hideMark/>
          </w:tcPr>
          <w:p w14:paraId="38CB72A6" w14:textId="77777777" w:rsidR="000F1C75" w:rsidRPr="00A819E6"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sidRPr="00A819E6">
              <w:rPr>
                <w:rFonts w:ascii="Calibri" w:eastAsia="Times New Roman" w:hAnsi="Calibri" w:cs="Calibri"/>
                <w:color w:val="000000"/>
                <w:sz w:val="18"/>
                <w:szCs w:val="18"/>
                <w:lang w:eastAsia="cs-CZ"/>
              </w:rPr>
              <w:t>8 217 810,94</w:t>
            </w:r>
          </w:p>
        </w:tc>
        <w:tc>
          <w:tcPr>
            <w:tcW w:w="1276" w:type="dxa"/>
          </w:tcPr>
          <w:p w14:paraId="6FFA2A6F" w14:textId="77777777" w:rsidR="000F1C75" w:rsidRPr="00A819E6" w:rsidRDefault="000F1C75" w:rsidP="000F1C75">
            <w:pPr>
              <w:spacing w:after="0"/>
              <w:ind w:right="137"/>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sidRPr="00A819E6">
              <w:rPr>
                <w:rFonts w:ascii="Calibri" w:eastAsia="Times New Roman" w:hAnsi="Calibri" w:cs="Calibri"/>
                <w:color w:val="000000"/>
                <w:sz w:val="18"/>
                <w:szCs w:val="18"/>
                <w:lang w:eastAsia="cs-CZ"/>
              </w:rPr>
              <w:t>9,1</w:t>
            </w:r>
          </w:p>
        </w:tc>
      </w:tr>
      <w:tr w:rsidR="000F1C75" w14:paraId="0F34ABC7" w14:textId="77777777" w:rsidTr="000F1C75">
        <w:trPr>
          <w:trHeight w:val="300"/>
        </w:trPr>
        <w:tc>
          <w:tcPr>
            <w:cnfStyle w:val="001000000000" w:firstRow="0" w:lastRow="0" w:firstColumn="1" w:lastColumn="0" w:oddVBand="0" w:evenVBand="0" w:oddHBand="0" w:evenHBand="0" w:firstRowFirstColumn="0" w:firstRowLastColumn="0" w:lastRowFirstColumn="0" w:lastRowLastColumn="0"/>
            <w:tcW w:w="4161" w:type="dxa"/>
            <w:noWrap/>
            <w:hideMark/>
          </w:tcPr>
          <w:p w14:paraId="4D9FFDE4" w14:textId="77777777" w:rsidR="000F1C75" w:rsidRDefault="000F1C75" w:rsidP="000F1C75">
            <w:pPr>
              <w:spacing w:after="0"/>
              <w:rPr>
                <w:rFonts w:ascii="Calibri" w:eastAsia="Times New Roman" w:hAnsi="Calibri" w:cs="Calibri"/>
                <w:color w:val="000000"/>
                <w:sz w:val="24"/>
                <w:szCs w:val="24"/>
                <w:lang w:eastAsia="cs-CZ"/>
              </w:rPr>
            </w:pPr>
            <w:r>
              <w:rPr>
                <w:rFonts w:ascii="Calibri" w:eastAsia="Times New Roman" w:hAnsi="Calibri" w:cs="Calibri"/>
                <w:color w:val="000000"/>
                <w:sz w:val="18"/>
                <w:szCs w:val="18"/>
                <w:lang w:eastAsia="cs-CZ"/>
              </w:rPr>
              <w:t>PROVOZNÍ VÝDAJE</w:t>
            </w:r>
          </w:p>
        </w:tc>
        <w:tc>
          <w:tcPr>
            <w:tcW w:w="1793" w:type="dxa"/>
          </w:tcPr>
          <w:p w14:paraId="0DDBE92D" w14:textId="77777777" w:rsidR="000F1C75" w:rsidRPr="00A819E6" w:rsidRDefault="000F1C75" w:rsidP="000F1C75">
            <w:pPr>
              <w:spacing w:after="0"/>
              <w:ind w:right="14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cs-CZ"/>
              </w:rPr>
            </w:pPr>
            <w:r w:rsidRPr="00A819E6">
              <w:rPr>
                <w:rFonts w:ascii="Calibri" w:eastAsia="Times New Roman" w:hAnsi="Calibri" w:cs="Calibri"/>
                <w:color w:val="000000"/>
                <w:sz w:val="18"/>
                <w:szCs w:val="18"/>
                <w:lang w:eastAsia="cs-CZ"/>
              </w:rPr>
              <w:t>15 000 000</w:t>
            </w:r>
          </w:p>
        </w:tc>
        <w:tc>
          <w:tcPr>
            <w:tcW w:w="1559" w:type="dxa"/>
            <w:noWrap/>
            <w:hideMark/>
          </w:tcPr>
          <w:p w14:paraId="488D128D" w14:textId="77777777" w:rsidR="000F1C75" w:rsidRPr="00A819E6"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cs-CZ"/>
              </w:rPr>
            </w:pPr>
            <w:r w:rsidRPr="00A819E6">
              <w:rPr>
                <w:rFonts w:ascii="Calibri" w:eastAsia="Times New Roman" w:hAnsi="Calibri" w:cs="Calibri"/>
                <w:color w:val="000000"/>
                <w:sz w:val="18"/>
                <w:szCs w:val="18"/>
                <w:lang w:eastAsia="cs-CZ"/>
              </w:rPr>
              <w:t>6 711 957,06</w:t>
            </w:r>
          </w:p>
        </w:tc>
        <w:tc>
          <w:tcPr>
            <w:tcW w:w="1276" w:type="dxa"/>
          </w:tcPr>
          <w:p w14:paraId="670D95B2" w14:textId="77777777" w:rsidR="000F1C75" w:rsidRPr="00A819E6" w:rsidRDefault="000F1C75" w:rsidP="000F1C75">
            <w:pPr>
              <w:spacing w:after="0"/>
              <w:ind w:right="13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cs-CZ"/>
              </w:rPr>
            </w:pPr>
            <w:r w:rsidRPr="00A819E6">
              <w:rPr>
                <w:rFonts w:ascii="Calibri" w:eastAsia="Times New Roman" w:hAnsi="Calibri" w:cs="Calibri"/>
                <w:color w:val="000000"/>
                <w:sz w:val="18"/>
                <w:szCs w:val="18"/>
                <w:lang w:eastAsia="cs-CZ"/>
              </w:rPr>
              <w:t>44,7</w:t>
            </w:r>
          </w:p>
        </w:tc>
      </w:tr>
      <w:tr w:rsidR="000F1C75" w14:paraId="321D7CE1" w14:textId="77777777" w:rsidTr="000F1C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61" w:type="dxa"/>
            <w:noWrap/>
            <w:hideMark/>
          </w:tcPr>
          <w:p w14:paraId="72AEAA29" w14:textId="77777777" w:rsidR="000F1C75" w:rsidRDefault="000F1C75" w:rsidP="000F1C75">
            <w:pPr>
              <w:spacing w:after="0"/>
              <w:rPr>
                <w:rFonts w:ascii="Calibri" w:eastAsia="Times New Roman" w:hAnsi="Calibri" w:cs="Calibri"/>
                <w:color w:val="000000"/>
                <w:sz w:val="24"/>
                <w:szCs w:val="24"/>
                <w:lang w:eastAsia="cs-CZ"/>
              </w:rPr>
            </w:pPr>
            <w:r>
              <w:rPr>
                <w:rFonts w:ascii="Calibri" w:eastAsia="Times New Roman" w:hAnsi="Calibri" w:cs="Calibri"/>
                <w:color w:val="000000"/>
                <w:sz w:val="18"/>
                <w:szCs w:val="18"/>
                <w:lang w:eastAsia="cs-CZ"/>
              </w:rPr>
              <w:t>OSOBNÍ NÁKLADY</w:t>
            </w:r>
          </w:p>
        </w:tc>
        <w:tc>
          <w:tcPr>
            <w:tcW w:w="1793" w:type="dxa"/>
          </w:tcPr>
          <w:p w14:paraId="31C2E1EE" w14:textId="77777777" w:rsidR="000F1C75" w:rsidRPr="00A819E6" w:rsidRDefault="000F1C75" w:rsidP="000F1C75">
            <w:pPr>
              <w:spacing w:after="0"/>
              <w:ind w:right="1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sidRPr="00A819E6">
              <w:rPr>
                <w:rFonts w:ascii="Calibri" w:eastAsia="Times New Roman" w:hAnsi="Calibri" w:cs="Calibri"/>
                <w:color w:val="000000"/>
                <w:sz w:val="18"/>
                <w:szCs w:val="18"/>
                <w:lang w:eastAsia="cs-CZ"/>
              </w:rPr>
              <w:t>700 000 000</w:t>
            </w:r>
          </w:p>
        </w:tc>
        <w:tc>
          <w:tcPr>
            <w:tcW w:w="1559" w:type="dxa"/>
            <w:noWrap/>
            <w:hideMark/>
          </w:tcPr>
          <w:p w14:paraId="1C6224D4" w14:textId="77777777" w:rsidR="000F1C75" w:rsidRPr="00A819E6"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sidRPr="00A819E6">
              <w:rPr>
                <w:rFonts w:ascii="Calibri" w:eastAsia="Times New Roman" w:hAnsi="Calibri" w:cs="Calibri"/>
                <w:color w:val="000000"/>
                <w:sz w:val="18"/>
                <w:szCs w:val="18"/>
                <w:lang w:eastAsia="cs-CZ"/>
              </w:rPr>
              <w:t>520 815 684,57</w:t>
            </w:r>
          </w:p>
        </w:tc>
        <w:tc>
          <w:tcPr>
            <w:tcW w:w="1276" w:type="dxa"/>
          </w:tcPr>
          <w:p w14:paraId="7C2BA9C9" w14:textId="77777777" w:rsidR="000F1C75" w:rsidRPr="00A819E6" w:rsidRDefault="000F1C75" w:rsidP="000F1C75">
            <w:pPr>
              <w:spacing w:after="0"/>
              <w:ind w:right="137"/>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sidRPr="00A819E6">
              <w:rPr>
                <w:rFonts w:ascii="Calibri" w:eastAsia="Times New Roman" w:hAnsi="Calibri" w:cs="Calibri"/>
                <w:color w:val="000000"/>
                <w:sz w:val="18"/>
                <w:szCs w:val="18"/>
                <w:lang w:eastAsia="cs-CZ"/>
              </w:rPr>
              <w:t>74,4</w:t>
            </w:r>
          </w:p>
        </w:tc>
      </w:tr>
      <w:tr w:rsidR="000F1C75" w14:paraId="17027451" w14:textId="77777777" w:rsidTr="000F1C75">
        <w:trPr>
          <w:trHeight w:val="300"/>
        </w:trPr>
        <w:tc>
          <w:tcPr>
            <w:cnfStyle w:val="001000000000" w:firstRow="0" w:lastRow="0" w:firstColumn="1" w:lastColumn="0" w:oddVBand="0" w:evenVBand="0" w:oddHBand="0" w:evenHBand="0" w:firstRowFirstColumn="0" w:firstRowLastColumn="0" w:lastRowFirstColumn="0" w:lastRowLastColumn="0"/>
            <w:tcW w:w="4161" w:type="dxa"/>
            <w:noWrap/>
            <w:hideMark/>
          </w:tcPr>
          <w:p w14:paraId="304C9D21" w14:textId="77777777" w:rsidR="000F1C75" w:rsidRDefault="000F1C75" w:rsidP="000F1C75">
            <w:pPr>
              <w:spacing w:after="0"/>
              <w:rPr>
                <w:rFonts w:ascii="Calibri" w:eastAsia="Times New Roman" w:hAnsi="Calibri" w:cs="Calibri"/>
                <w:color w:val="000000"/>
                <w:sz w:val="24"/>
                <w:szCs w:val="24"/>
                <w:lang w:eastAsia="cs-CZ"/>
              </w:rPr>
            </w:pPr>
            <w:r>
              <w:rPr>
                <w:rFonts w:ascii="Calibri" w:eastAsia="Times New Roman" w:hAnsi="Calibri" w:cs="Calibri"/>
                <w:color w:val="000000"/>
                <w:sz w:val="18"/>
                <w:szCs w:val="18"/>
                <w:lang w:eastAsia="cs-CZ"/>
              </w:rPr>
              <w:t xml:space="preserve">VZDĚLÁVÁNÍ IMPLEMENTAČNÍ STRUKTURY </w:t>
            </w:r>
          </w:p>
        </w:tc>
        <w:tc>
          <w:tcPr>
            <w:tcW w:w="1793" w:type="dxa"/>
          </w:tcPr>
          <w:p w14:paraId="0634C938" w14:textId="77777777" w:rsidR="000F1C75" w:rsidRPr="00A819E6" w:rsidRDefault="000F1C75" w:rsidP="000F1C75">
            <w:pPr>
              <w:spacing w:after="0"/>
              <w:ind w:right="14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cs-CZ"/>
              </w:rPr>
            </w:pPr>
            <w:r w:rsidRPr="00A819E6">
              <w:rPr>
                <w:rFonts w:ascii="Calibri" w:eastAsia="Times New Roman" w:hAnsi="Calibri" w:cs="Calibri"/>
                <w:color w:val="000000"/>
                <w:sz w:val="18"/>
                <w:szCs w:val="18"/>
                <w:lang w:eastAsia="cs-CZ"/>
              </w:rPr>
              <w:t>9 000 000</w:t>
            </w:r>
          </w:p>
        </w:tc>
        <w:tc>
          <w:tcPr>
            <w:tcW w:w="1559" w:type="dxa"/>
            <w:noWrap/>
            <w:hideMark/>
          </w:tcPr>
          <w:p w14:paraId="32180EBC" w14:textId="77777777" w:rsidR="000F1C75" w:rsidRPr="00A819E6"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cs-CZ"/>
              </w:rPr>
            </w:pPr>
            <w:r w:rsidRPr="00A819E6">
              <w:rPr>
                <w:rFonts w:ascii="Calibri" w:eastAsia="Times New Roman" w:hAnsi="Calibri" w:cs="Calibri"/>
                <w:color w:val="000000"/>
                <w:sz w:val="18"/>
                <w:szCs w:val="18"/>
                <w:lang w:eastAsia="cs-CZ"/>
              </w:rPr>
              <w:t>4 735 382,25</w:t>
            </w:r>
          </w:p>
        </w:tc>
        <w:tc>
          <w:tcPr>
            <w:tcW w:w="1276" w:type="dxa"/>
          </w:tcPr>
          <w:p w14:paraId="5FFA0E46" w14:textId="77777777" w:rsidR="000F1C75" w:rsidRPr="00A819E6" w:rsidRDefault="000F1C75" w:rsidP="000F1C75">
            <w:pPr>
              <w:spacing w:after="0"/>
              <w:ind w:right="13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cs-CZ"/>
              </w:rPr>
            </w:pPr>
            <w:r w:rsidRPr="00A819E6">
              <w:rPr>
                <w:rFonts w:ascii="Calibri" w:eastAsia="Times New Roman" w:hAnsi="Calibri" w:cs="Calibri"/>
                <w:color w:val="000000"/>
                <w:sz w:val="18"/>
                <w:szCs w:val="18"/>
                <w:lang w:eastAsia="cs-CZ"/>
              </w:rPr>
              <w:t>52,6</w:t>
            </w:r>
          </w:p>
        </w:tc>
      </w:tr>
      <w:tr w:rsidR="000F1C75" w14:paraId="524C5B17" w14:textId="77777777" w:rsidTr="000F1C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61" w:type="dxa"/>
            <w:noWrap/>
            <w:hideMark/>
          </w:tcPr>
          <w:p w14:paraId="5434F595" w14:textId="77777777" w:rsidR="000F1C75" w:rsidRDefault="000F1C75" w:rsidP="000F1C75">
            <w:pPr>
              <w:spacing w:after="0"/>
              <w:rPr>
                <w:rFonts w:ascii="Calibri" w:eastAsia="Times New Roman" w:hAnsi="Calibri" w:cs="Calibri"/>
                <w:color w:val="000000"/>
                <w:sz w:val="24"/>
                <w:szCs w:val="24"/>
                <w:lang w:eastAsia="cs-CZ"/>
              </w:rPr>
            </w:pPr>
            <w:r>
              <w:rPr>
                <w:rFonts w:ascii="Calibri" w:eastAsia="Times New Roman" w:hAnsi="Calibri" w:cs="Calibri"/>
                <w:color w:val="000000"/>
                <w:sz w:val="18"/>
                <w:szCs w:val="18"/>
                <w:lang w:eastAsia="cs-CZ"/>
              </w:rPr>
              <w:t>PLATFORMY, KULATÉ STOLY A JINÉ</w:t>
            </w:r>
          </w:p>
        </w:tc>
        <w:tc>
          <w:tcPr>
            <w:tcW w:w="1793" w:type="dxa"/>
          </w:tcPr>
          <w:p w14:paraId="0EBE2AC6" w14:textId="77777777" w:rsidR="000F1C75" w:rsidRPr="00A819E6" w:rsidRDefault="000F1C75" w:rsidP="000F1C75">
            <w:pPr>
              <w:spacing w:after="0"/>
              <w:ind w:right="1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sidRPr="00A819E6">
              <w:rPr>
                <w:rFonts w:ascii="Calibri" w:eastAsia="Times New Roman" w:hAnsi="Calibri" w:cs="Calibri"/>
                <w:color w:val="000000"/>
                <w:sz w:val="18"/>
                <w:szCs w:val="18"/>
                <w:lang w:eastAsia="cs-CZ"/>
              </w:rPr>
              <w:t>3 000 000</w:t>
            </w:r>
          </w:p>
        </w:tc>
        <w:tc>
          <w:tcPr>
            <w:tcW w:w="1559" w:type="dxa"/>
            <w:noWrap/>
            <w:hideMark/>
          </w:tcPr>
          <w:p w14:paraId="307BB902" w14:textId="77777777" w:rsidR="000F1C75" w:rsidRPr="00A819E6"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sidRPr="00A819E6">
              <w:rPr>
                <w:rFonts w:ascii="Calibri" w:eastAsia="Times New Roman" w:hAnsi="Calibri" w:cs="Calibri"/>
                <w:color w:val="000000"/>
                <w:sz w:val="18"/>
                <w:szCs w:val="18"/>
                <w:lang w:eastAsia="cs-CZ"/>
              </w:rPr>
              <w:t>126 149,00</w:t>
            </w:r>
          </w:p>
        </w:tc>
        <w:tc>
          <w:tcPr>
            <w:tcW w:w="1276" w:type="dxa"/>
          </w:tcPr>
          <w:p w14:paraId="15755BB8" w14:textId="77777777" w:rsidR="000F1C75" w:rsidRPr="00A819E6" w:rsidRDefault="000F1C75" w:rsidP="000F1C75">
            <w:pPr>
              <w:spacing w:after="0"/>
              <w:ind w:right="137"/>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sidRPr="00A819E6">
              <w:rPr>
                <w:rFonts w:ascii="Calibri" w:eastAsia="Times New Roman" w:hAnsi="Calibri" w:cs="Calibri"/>
                <w:color w:val="000000"/>
                <w:sz w:val="18"/>
                <w:szCs w:val="18"/>
                <w:lang w:eastAsia="cs-CZ"/>
              </w:rPr>
              <w:t>4,2</w:t>
            </w:r>
          </w:p>
        </w:tc>
      </w:tr>
      <w:tr w:rsidR="000F1C75" w14:paraId="332D49B7" w14:textId="77777777" w:rsidTr="000F1C75">
        <w:trPr>
          <w:trHeight w:val="300"/>
        </w:trPr>
        <w:tc>
          <w:tcPr>
            <w:cnfStyle w:val="001000000000" w:firstRow="0" w:lastRow="0" w:firstColumn="1" w:lastColumn="0" w:oddVBand="0" w:evenVBand="0" w:oddHBand="0" w:evenHBand="0" w:firstRowFirstColumn="0" w:firstRowLastColumn="0" w:lastRowFirstColumn="0" w:lastRowLastColumn="0"/>
            <w:tcW w:w="4161" w:type="dxa"/>
            <w:noWrap/>
            <w:hideMark/>
          </w:tcPr>
          <w:p w14:paraId="564F5280" w14:textId="77777777" w:rsidR="000F1C75" w:rsidRDefault="000F1C75" w:rsidP="000F1C75">
            <w:pPr>
              <w:spacing w:after="0"/>
              <w:rPr>
                <w:rFonts w:ascii="Calibri" w:eastAsia="Times New Roman" w:hAnsi="Calibri" w:cs="Calibri"/>
                <w:color w:val="000000"/>
                <w:sz w:val="24"/>
                <w:szCs w:val="24"/>
                <w:lang w:eastAsia="cs-CZ"/>
              </w:rPr>
            </w:pPr>
            <w:r>
              <w:rPr>
                <w:rFonts w:ascii="Calibri" w:eastAsia="Times New Roman" w:hAnsi="Calibri" w:cs="Calibri"/>
                <w:color w:val="000000"/>
                <w:sz w:val="18"/>
                <w:szCs w:val="18"/>
                <w:lang w:eastAsia="cs-CZ"/>
              </w:rPr>
              <w:t>MONITOROVACÍ VÝBOR</w:t>
            </w:r>
          </w:p>
        </w:tc>
        <w:tc>
          <w:tcPr>
            <w:tcW w:w="1793" w:type="dxa"/>
          </w:tcPr>
          <w:p w14:paraId="3C1CEDD7" w14:textId="77777777" w:rsidR="000F1C75" w:rsidRPr="00A819E6" w:rsidRDefault="000F1C75" w:rsidP="000F1C75">
            <w:pPr>
              <w:spacing w:after="0"/>
              <w:ind w:right="14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cs-CZ"/>
              </w:rPr>
            </w:pPr>
            <w:r w:rsidRPr="00A819E6">
              <w:rPr>
                <w:rFonts w:ascii="Calibri" w:eastAsia="Times New Roman" w:hAnsi="Calibri" w:cs="Calibri"/>
                <w:color w:val="000000"/>
                <w:sz w:val="18"/>
                <w:szCs w:val="18"/>
                <w:lang w:eastAsia="cs-CZ"/>
              </w:rPr>
              <w:t>4 000 000</w:t>
            </w:r>
          </w:p>
        </w:tc>
        <w:tc>
          <w:tcPr>
            <w:tcW w:w="1559" w:type="dxa"/>
            <w:noWrap/>
            <w:hideMark/>
          </w:tcPr>
          <w:p w14:paraId="3CDD15D1" w14:textId="77777777" w:rsidR="000F1C75" w:rsidRPr="00A819E6"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cs-CZ"/>
              </w:rPr>
            </w:pPr>
            <w:r w:rsidRPr="00A819E6">
              <w:rPr>
                <w:rFonts w:ascii="Calibri" w:eastAsia="Times New Roman" w:hAnsi="Calibri" w:cs="Calibri"/>
                <w:color w:val="000000"/>
                <w:sz w:val="18"/>
                <w:szCs w:val="18"/>
                <w:lang w:eastAsia="cs-CZ"/>
              </w:rPr>
              <w:t>1 606 022,15</w:t>
            </w:r>
          </w:p>
        </w:tc>
        <w:tc>
          <w:tcPr>
            <w:tcW w:w="1276" w:type="dxa"/>
          </w:tcPr>
          <w:p w14:paraId="089ABC0F" w14:textId="77777777" w:rsidR="000F1C75" w:rsidRPr="00A819E6" w:rsidRDefault="000F1C75" w:rsidP="000F1C75">
            <w:pPr>
              <w:spacing w:after="0"/>
              <w:ind w:right="13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cs-CZ"/>
              </w:rPr>
            </w:pPr>
            <w:r w:rsidRPr="00A819E6">
              <w:rPr>
                <w:rFonts w:ascii="Calibri" w:eastAsia="Times New Roman" w:hAnsi="Calibri" w:cs="Calibri"/>
                <w:color w:val="000000"/>
                <w:sz w:val="18"/>
                <w:szCs w:val="18"/>
                <w:lang w:eastAsia="cs-CZ"/>
              </w:rPr>
              <w:t>40,2</w:t>
            </w:r>
          </w:p>
        </w:tc>
      </w:tr>
      <w:tr w:rsidR="000F1C75" w14:paraId="12574ED6" w14:textId="77777777" w:rsidTr="000F1C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61" w:type="dxa"/>
            <w:noWrap/>
            <w:hideMark/>
          </w:tcPr>
          <w:p w14:paraId="6B71C925" w14:textId="77777777" w:rsidR="000F1C75" w:rsidRDefault="000F1C75" w:rsidP="000F1C75">
            <w:pPr>
              <w:spacing w:after="0"/>
              <w:rPr>
                <w:rFonts w:ascii="Calibri" w:eastAsia="Times New Roman" w:hAnsi="Calibri" w:cs="Calibri"/>
                <w:color w:val="000000"/>
                <w:sz w:val="24"/>
                <w:szCs w:val="24"/>
                <w:lang w:eastAsia="cs-CZ"/>
              </w:rPr>
            </w:pPr>
            <w:r>
              <w:rPr>
                <w:rFonts w:ascii="Calibri" w:eastAsia="Times New Roman" w:hAnsi="Calibri" w:cs="Calibri"/>
                <w:color w:val="000000"/>
                <w:sz w:val="18"/>
                <w:szCs w:val="18"/>
                <w:lang w:eastAsia="cs-CZ"/>
              </w:rPr>
              <w:t xml:space="preserve">KANCELÁŘSKÁ A PROVOZNÍ TECHNIKA </w:t>
            </w:r>
          </w:p>
        </w:tc>
        <w:tc>
          <w:tcPr>
            <w:tcW w:w="1793" w:type="dxa"/>
          </w:tcPr>
          <w:p w14:paraId="073E7E37" w14:textId="77777777" w:rsidR="000F1C75" w:rsidRPr="00A819E6" w:rsidRDefault="000F1C75" w:rsidP="000F1C75">
            <w:pPr>
              <w:spacing w:after="0"/>
              <w:ind w:right="1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sidRPr="00A819E6">
              <w:rPr>
                <w:rFonts w:ascii="Calibri" w:eastAsia="Times New Roman" w:hAnsi="Calibri" w:cs="Calibri"/>
                <w:color w:val="000000"/>
                <w:sz w:val="18"/>
                <w:szCs w:val="18"/>
                <w:lang w:eastAsia="cs-CZ"/>
              </w:rPr>
              <w:t>18 000 000</w:t>
            </w:r>
          </w:p>
        </w:tc>
        <w:tc>
          <w:tcPr>
            <w:tcW w:w="1559" w:type="dxa"/>
            <w:noWrap/>
            <w:hideMark/>
          </w:tcPr>
          <w:p w14:paraId="037CBB82" w14:textId="77777777" w:rsidR="000F1C75" w:rsidRPr="00A819E6"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sidRPr="00A819E6">
              <w:rPr>
                <w:rFonts w:ascii="Calibri" w:eastAsia="Times New Roman" w:hAnsi="Calibri" w:cs="Calibri"/>
                <w:color w:val="000000"/>
                <w:sz w:val="18"/>
                <w:szCs w:val="18"/>
                <w:lang w:eastAsia="cs-CZ"/>
              </w:rPr>
              <w:t>5 097 309,50</w:t>
            </w:r>
          </w:p>
        </w:tc>
        <w:tc>
          <w:tcPr>
            <w:tcW w:w="1276" w:type="dxa"/>
          </w:tcPr>
          <w:p w14:paraId="63320E31" w14:textId="77777777" w:rsidR="000F1C75" w:rsidRPr="00A819E6" w:rsidRDefault="000F1C75" w:rsidP="000F1C75">
            <w:pPr>
              <w:spacing w:after="0"/>
              <w:ind w:right="137"/>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sidRPr="00A819E6">
              <w:rPr>
                <w:rFonts w:ascii="Calibri" w:eastAsia="Times New Roman" w:hAnsi="Calibri" w:cs="Calibri"/>
                <w:color w:val="000000"/>
                <w:sz w:val="18"/>
                <w:szCs w:val="18"/>
                <w:lang w:eastAsia="cs-CZ"/>
              </w:rPr>
              <w:t>28,3</w:t>
            </w:r>
          </w:p>
        </w:tc>
      </w:tr>
      <w:tr w:rsidR="000F1C75" w14:paraId="6C96CED9" w14:textId="77777777" w:rsidTr="000F1C75">
        <w:trPr>
          <w:trHeight w:val="300"/>
        </w:trPr>
        <w:tc>
          <w:tcPr>
            <w:cnfStyle w:val="001000000000" w:firstRow="0" w:lastRow="0" w:firstColumn="1" w:lastColumn="0" w:oddVBand="0" w:evenVBand="0" w:oddHBand="0" w:evenHBand="0" w:firstRowFirstColumn="0" w:firstRowLastColumn="0" w:lastRowFirstColumn="0" w:lastRowLastColumn="0"/>
            <w:tcW w:w="4161" w:type="dxa"/>
            <w:noWrap/>
            <w:hideMark/>
          </w:tcPr>
          <w:p w14:paraId="3A7823D6" w14:textId="77777777" w:rsidR="000F1C75" w:rsidRDefault="000F1C75" w:rsidP="000F1C75">
            <w:pPr>
              <w:spacing w:after="0"/>
              <w:rPr>
                <w:rFonts w:ascii="Calibri" w:eastAsia="Times New Roman" w:hAnsi="Calibri" w:cs="Calibri"/>
                <w:color w:val="000000"/>
                <w:sz w:val="24"/>
                <w:szCs w:val="24"/>
                <w:lang w:eastAsia="cs-CZ"/>
              </w:rPr>
            </w:pPr>
            <w:r>
              <w:rPr>
                <w:rFonts w:ascii="Calibri" w:eastAsia="Times New Roman" w:hAnsi="Calibri" w:cs="Calibri"/>
                <w:color w:val="000000"/>
                <w:sz w:val="18"/>
                <w:szCs w:val="18"/>
                <w:lang w:eastAsia="cs-CZ"/>
              </w:rPr>
              <w:t>HODNOCENÍ, STUDIE A ANALÝZY</w:t>
            </w:r>
          </w:p>
        </w:tc>
        <w:tc>
          <w:tcPr>
            <w:tcW w:w="1793" w:type="dxa"/>
          </w:tcPr>
          <w:p w14:paraId="2E039625" w14:textId="77777777" w:rsidR="000F1C75" w:rsidRPr="00A819E6" w:rsidRDefault="000F1C75" w:rsidP="000F1C75">
            <w:pPr>
              <w:spacing w:after="0"/>
              <w:ind w:right="14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cs-CZ"/>
              </w:rPr>
            </w:pPr>
            <w:r w:rsidRPr="00A819E6">
              <w:rPr>
                <w:rFonts w:ascii="Calibri" w:eastAsia="Times New Roman" w:hAnsi="Calibri" w:cs="Calibri"/>
                <w:color w:val="000000"/>
                <w:sz w:val="18"/>
                <w:szCs w:val="18"/>
                <w:lang w:eastAsia="cs-CZ"/>
              </w:rPr>
              <w:t>12 000 000</w:t>
            </w:r>
          </w:p>
        </w:tc>
        <w:tc>
          <w:tcPr>
            <w:tcW w:w="1559" w:type="dxa"/>
            <w:noWrap/>
            <w:hideMark/>
          </w:tcPr>
          <w:p w14:paraId="5AA3D544" w14:textId="77777777" w:rsidR="000F1C75" w:rsidRPr="00A819E6"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cs-CZ"/>
              </w:rPr>
            </w:pPr>
            <w:r w:rsidRPr="00A819E6">
              <w:rPr>
                <w:rFonts w:ascii="Calibri" w:eastAsia="Times New Roman" w:hAnsi="Calibri" w:cs="Calibri"/>
                <w:color w:val="000000"/>
                <w:sz w:val="18"/>
                <w:szCs w:val="18"/>
                <w:lang w:eastAsia="cs-CZ"/>
              </w:rPr>
              <w:t>3 545 399,00</w:t>
            </w:r>
          </w:p>
        </w:tc>
        <w:tc>
          <w:tcPr>
            <w:tcW w:w="1276" w:type="dxa"/>
          </w:tcPr>
          <w:p w14:paraId="5A398B03" w14:textId="77777777" w:rsidR="000F1C75" w:rsidRPr="00A819E6" w:rsidRDefault="000F1C75" w:rsidP="000F1C75">
            <w:pPr>
              <w:spacing w:after="0"/>
              <w:ind w:right="13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cs-CZ"/>
              </w:rPr>
            </w:pPr>
            <w:r w:rsidRPr="00A819E6">
              <w:rPr>
                <w:rFonts w:ascii="Calibri" w:eastAsia="Times New Roman" w:hAnsi="Calibri" w:cs="Calibri"/>
                <w:color w:val="000000"/>
                <w:sz w:val="18"/>
                <w:szCs w:val="18"/>
                <w:lang w:eastAsia="cs-CZ"/>
              </w:rPr>
              <w:t>29,5</w:t>
            </w:r>
          </w:p>
        </w:tc>
      </w:tr>
      <w:tr w:rsidR="000F1C75" w14:paraId="25A473CA" w14:textId="77777777" w:rsidTr="000F1C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61" w:type="dxa"/>
            <w:noWrap/>
            <w:hideMark/>
          </w:tcPr>
          <w:p w14:paraId="708A5616" w14:textId="77777777" w:rsidR="000F1C75" w:rsidRDefault="000F1C75" w:rsidP="000F1C75">
            <w:pPr>
              <w:spacing w:after="0"/>
              <w:rPr>
                <w:rFonts w:ascii="Calibri" w:eastAsia="Times New Roman" w:hAnsi="Calibri" w:cs="Calibri"/>
                <w:color w:val="000000"/>
                <w:sz w:val="24"/>
                <w:szCs w:val="24"/>
                <w:lang w:eastAsia="cs-CZ"/>
              </w:rPr>
            </w:pPr>
            <w:r>
              <w:rPr>
                <w:rFonts w:ascii="Calibri" w:eastAsia="Times New Roman" w:hAnsi="Calibri" w:cs="Calibri"/>
                <w:color w:val="000000"/>
                <w:sz w:val="18"/>
                <w:szCs w:val="18"/>
                <w:lang w:eastAsia="cs-CZ"/>
              </w:rPr>
              <w:t xml:space="preserve">PUBLICITA </w:t>
            </w:r>
          </w:p>
        </w:tc>
        <w:tc>
          <w:tcPr>
            <w:tcW w:w="1793" w:type="dxa"/>
          </w:tcPr>
          <w:p w14:paraId="0615828E" w14:textId="77777777" w:rsidR="000F1C75" w:rsidRPr="00A819E6" w:rsidRDefault="000F1C75" w:rsidP="000F1C75">
            <w:pPr>
              <w:spacing w:after="0"/>
              <w:ind w:right="1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sidRPr="00A819E6">
              <w:rPr>
                <w:rFonts w:ascii="Calibri" w:eastAsia="Times New Roman" w:hAnsi="Calibri" w:cs="Calibri"/>
                <w:color w:val="000000"/>
                <w:sz w:val="18"/>
                <w:szCs w:val="18"/>
                <w:lang w:eastAsia="cs-CZ"/>
              </w:rPr>
              <w:t>81 000 000</w:t>
            </w:r>
          </w:p>
        </w:tc>
        <w:tc>
          <w:tcPr>
            <w:tcW w:w="1559" w:type="dxa"/>
            <w:noWrap/>
            <w:hideMark/>
          </w:tcPr>
          <w:p w14:paraId="023E3F1B" w14:textId="77777777" w:rsidR="000F1C75" w:rsidRPr="00A819E6"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sidRPr="00A819E6">
              <w:rPr>
                <w:rFonts w:ascii="Calibri" w:eastAsia="Times New Roman" w:hAnsi="Calibri" w:cs="Calibri"/>
                <w:color w:val="000000"/>
                <w:sz w:val="18"/>
                <w:szCs w:val="18"/>
                <w:lang w:eastAsia="cs-CZ"/>
              </w:rPr>
              <w:t>7 051 998,03</w:t>
            </w:r>
          </w:p>
        </w:tc>
        <w:tc>
          <w:tcPr>
            <w:tcW w:w="1276" w:type="dxa"/>
          </w:tcPr>
          <w:p w14:paraId="2907A728" w14:textId="77777777" w:rsidR="000F1C75" w:rsidRPr="00A819E6" w:rsidRDefault="000F1C75" w:rsidP="000F1C75">
            <w:pPr>
              <w:spacing w:after="0"/>
              <w:ind w:right="137"/>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sidRPr="00A819E6">
              <w:rPr>
                <w:rFonts w:ascii="Calibri" w:eastAsia="Times New Roman" w:hAnsi="Calibri" w:cs="Calibri"/>
                <w:color w:val="000000"/>
                <w:sz w:val="18"/>
                <w:szCs w:val="18"/>
                <w:lang w:eastAsia="cs-CZ"/>
              </w:rPr>
              <w:t>8,7</w:t>
            </w:r>
          </w:p>
        </w:tc>
      </w:tr>
      <w:tr w:rsidR="000F1C75" w14:paraId="108141B3" w14:textId="77777777" w:rsidTr="000F1C75">
        <w:trPr>
          <w:trHeight w:val="300"/>
        </w:trPr>
        <w:tc>
          <w:tcPr>
            <w:cnfStyle w:val="001000000000" w:firstRow="0" w:lastRow="0" w:firstColumn="1" w:lastColumn="0" w:oddVBand="0" w:evenVBand="0" w:oddHBand="0" w:evenHBand="0" w:firstRowFirstColumn="0" w:firstRowLastColumn="0" w:lastRowFirstColumn="0" w:lastRowLastColumn="0"/>
            <w:tcW w:w="4161" w:type="dxa"/>
            <w:shd w:val="clear" w:color="auto" w:fill="B5DAF5" w:themeFill="accent3"/>
            <w:noWrap/>
            <w:hideMark/>
          </w:tcPr>
          <w:p w14:paraId="30FAD716" w14:textId="77777777" w:rsidR="000F1C75" w:rsidRDefault="000F1C75" w:rsidP="000F1C75">
            <w:pPr>
              <w:spacing w:after="0"/>
              <w:rPr>
                <w:rFonts w:ascii="Calibri" w:eastAsia="Times New Roman" w:hAnsi="Calibri" w:cs="Calibri"/>
                <w:color w:val="000000"/>
                <w:sz w:val="24"/>
                <w:szCs w:val="24"/>
                <w:lang w:eastAsia="cs-CZ"/>
              </w:rPr>
            </w:pPr>
            <w:r>
              <w:rPr>
                <w:rFonts w:ascii="Calibri" w:eastAsia="Times New Roman" w:hAnsi="Calibri" w:cs="Calibri"/>
                <w:color w:val="000000"/>
                <w:sz w:val="18"/>
                <w:szCs w:val="18"/>
                <w:lang w:eastAsia="cs-CZ"/>
              </w:rPr>
              <w:t>CELKEM </w:t>
            </w:r>
          </w:p>
        </w:tc>
        <w:tc>
          <w:tcPr>
            <w:tcW w:w="1793" w:type="dxa"/>
            <w:shd w:val="clear" w:color="auto" w:fill="B5DAF5" w:themeFill="accent3"/>
          </w:tcPr>
          <w:p w14:paraId="221A4481" w14:textId="77777777" w:rsidR="000F1C75" w:rsidRPr="00A819E6" w:rsidRDefault="000F1C75" w:rsidP="000F1C75">
            <w:pPr>
              <w:spacing w:after="0"/>
              <w:ind w:right="14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cs-CZ"/>
              </w:rPr>
            </w:pPr>
            <w:r w:rsidRPr="00A819E6">
              <w:rPr>
                <w:rFonts w:ascii="Calibri" w:eastAsia="Times New Roman" w:hAnsi="Calibri" w:cs="Calibri"/>
                <w:color w:val="000000"/>
                <w:sz w:val="18"/>
                <w:szCs w:val="18"/>
                <w:lang w:eastAsia="cs-CZ"/>
              </w:rPr>
              <w:t>932 000 000</w:t>
            </w:r>
          </w:p>
        </w:tc>
        <w:tc>
          <w:tcPr>
            <w:tcW w:w="1559" w:type="dxa"/>
            <w:shd w:val="clear" w:color="auto" w:fill="B5DAF5" w:themeFill="accent3"/>
            <w:noWrap/>
            <w:hideMark/>
          </w:tcPr>
          <w:p w14:paraId="64C2D6B6" w14:textId="77777777" w:rsidR="000F1C75" w:rsidRPr="00A819E6"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cs-CZ"/>
              </w:rPr>
            </w:pPr>
            <w:r w:rsidRPr="00A819E6">
              <w:rPr>
                <w:rFonts w:ascii="Calibri" w:eastAsia="Times New Roman" w:hAnsi="Calibri" w:cs="Calibri"/>
                <w:color w:val="000000"/>
                <w:sz w:val="18"/>
                <w:szCs w:val="18"/>
                <w:lang w:eastAsia="cs-CZ"/>
              </w:rPr>
              <w:t>557 907 712,50</w:t>
            </w:r>
          </w:p>
        </w:tc>
        <w:tc>
          <w:tcPr>
            <w:tcW w:w="1276" w:type="dxa"/>
            <w:shd w:val="clear" w:color="auto" w:fill="B5DAF5" w:themeFill="accent3"/>
          </w:tcPr>
          <w:p w14:paraId="21B3F9C2" w14:textId="77777777" w:rsidR="000F1C75" w:rsidRPr="00A819E6" w:rsidRDefault="000F1C75" w:rsidP="000F1C75">
            <w:pPr>
              <w:spacing w:after="0"/>
              <w:ind w:right="13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cs-CZ"/>
              </w:rPr>
            </w:pPr>
            <w:r w:rsidRPr="00A819E6">
              <w:rPr>
                <w:rFonts w:ascii="Calibri" w:eastAsia="Times New Roman" w:hAnsi="Calibri" w:cs="Calibri"/>
                <w:color w:val="000000"/>
                <w:sz w:val="18"/>
                <w:szCs w:val="18"/>
                <w:lang w:eastAsia="cs-CZ"/>
              </w:rPr>
              <w:t>59,9</w:t>
            </w:r>
          </w:p>
        </w:tc>
      </w:tr>
    </w:tbl>
    <w:p w14:paraId="49C228AC" w14:textId="77777777" w:rsidR="000F1C75" w:rsidRDefault="000F1C75" w:rsidP="000F1C75">
      <w:pPr>
        <w:pStyle w:val="Cnormln"/>
        <w:spacing w:before="60" w:after="60"/>
        <w:jc w:val="both"/>
        <w:rPr>
          <w:rFonts w:asciiTheme="minorHAnsi" w:hAnsiTheme="minorHAnsi" w:cstheme="minorHAnsi"/>
          <w:i/>
          <w:iCs/>
        </w:rPr>
      </w:pPr>
      <w:r>
        <w:rPr>
          <w:rFonts w:asciiTheme="minorHAnsi" w:hAnsiTheme="minorHAnsi" w:cstheme="minorHAnsi"/>
          <w:i/>
          <w:iCs/>
        </w:rPr>
        <w:t>Zdroj: ŘO</w:t>
      </w:r>
    </w:p>
    <w:p w14:paraId="389F349D" w14:textId="31A46EF5" w:rsidR="000F1C75" w:rsidRDefault="000F1C75" w:rsidP="000F1C75">
      <w:pPr>
        <w:pStyle w:val="Titulek"/>
        <w:rPr>
          <w:rFonts w:cstheme="minorHAnsi"/>
        </w:rPr>
      </w:pPr>
      <w:bookmarkStart w:id="43" w:name="_Toc45657561"/>
      <w:bookmarkStart w:id="44" w:name="_Toc50456738"/>
      <w:r>
        <w:t xml:space="preserve">Tabulka </w:t>
      </w:r>
      <w:r w:rsidR="00C050DB">
        <w:fldChar w:fldCharType="begin"/>
      </w:r>
      <w:r w:rsidR="00C050DB">
        <w:instrText xml:space="preserve"> SEQ Tabulka \* ARABIC </w:instrText>
      </w:r>
      <w:r w:rsidR="00C050DB">
        <w:fldChar w:fldCharType="separate"/>
      </w:r>
      <w:r w:rsidR="00E96F43">
        <w:rPr>
          <w:noProof/>
        </w:rPr>
        <w:t>5</w:t>
      </w:r>
      <w:r w:rsidR="00C050DB">
        <w:rPr>
          <w:noProof/>
        </w:rPr>
        <w:fldChar w:fldCharType="end"/>
      </w:r>
      <w:r>
        <w:t xml:space="preserve">: Projekty API, </w:t>
      </w:r>
      <w:bookmarkEnd w:id="43"/>
      <w:r>
        <w:t>2016</w:t>
      </w:r>
      <w:r w:rsidR="00012D0B">
        <w:t xml:space="preserve"> </w:t>
      </w:r>
      <w:r>
        <w:t>–</w:t>
      </w:r>
      <w:r w:rsidR="00012D0B">
        <w:t xml:space="preserve"> </w:t>
      </w:r>
      <w:r>
        <w:t>2018</w:t>
      </w:r>
      <w:bookmarkEnd w:id="44"/>
    </w:p>
    <w:tbl>
      <w:tblPr>
        <w:tblStyle w:val="Styl1"/>
        <w:tblW w:w="8789" w:type="dxa"/>
        <w:tblInd w:w="-5" w:type="dxa"/>
        <w:tblLook w:val="04A0" w:firstRow="1" w:lastRow="0" w:firstColumn="1" w:lastColumn="0" w:noHBand="0" w:noVBand="1"/>
      </w:tblPr>
      <w:tblGrid>
        <w:gridCol w:w="4111"/>
        <w:gridCol w:w="50"/>
        <w:gridCol w:w="1793"/>
        <w:gridCol w:w="1559"/>
        <w:gridCol w:w="1276"/>
      </w:tblGrid>
      <w:tr w:rsidR="000F1C75" w14:paraId="073E1A81" w14:textId="77777777" w:rsidTr="000F1C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61" w:type="dxa"/>
            <w:gridSpan w:val="2"/>
            <w:noWrap/>
            <w:hideMark/>
          </w:tcPr>
          <w:p w14:paraId="4EB2349D" w14:textId="5B60DC1A" w:rsidR="000F1C75" w:rsidRDefault="000F1C75" w:rsidP="000F1C75">
            <w:pPr>
              <w:spacing w:after="0"/>
              <w:jc w:val="center"/>
              <w:rPr>
                <w:rFonts w:ascii="Calibri" w:eastAsia="Times New Roman" w:hAnsi="Calibri" w:cs="Calibri"/>
                <w:color w:val="000000"/>
                <w:sz w:val="24"/>
                <w:szCs w:val="24"/>
                <w:lang w:eastAsia="cs-CZ"/>
              </w:rPr>
            </w:pPr>
            <w:r>
              <w:rPr>
                <w:rFonts w:ascii="Calibri" w:eastAsia="Times New Roman" w:hAnsi="Calibri" w:cs="Calibri"/>
                <w:color w:val="FFFFFF"/>
                <w:sz w:val="18"/>
                <w:szCs w:val="18"/>
                <w:lang w:eastAsia="cs-CZ"/>
              </w:rPr>
              <w:t>Projekty API 2016</w:t>
            </w:r>
            <w:r w:rsidR="00012D0B">
              <w:rPr>
                <w:rFonts w:ascii="Calibri" w:eastAsia="Times New Roman" w:hAnsi="Calibri" w:cs="Calibri"/>
                <w:color w:val="FFFFFF"/>
                <w:sz w:val="18"/>
                <w:szCs w:val="18"/>
                <w:lang w:eastAsia="cs-CZ"/>
              </w:rPr>
              <w:t xml:space="preserve"> – </w:t>
            </w:r>
            <w:r>
              <w:rPr>
                <w:rFonts w:ascii="Calibri" w:eastAsia="Times New Roman" w:hAnsi="Calibri" w:cs="Calibri"/>
                <w:color w:val="FFFFFF"/>
                <w:sz w:val="18"/>
                <w:szCs w:val="18"/>
                <w:lang w:eastAsia="cs-CZ"/>
              </w:rPr>
              <w:t>2018</w:t>
            </w:r>
          </w:p>
        </w:tc>
        <w:tc>
          <w:tcPr>
            <w:tcW w:w="1793" w:type="dxa"/>
          </w:tcPr>
          <w:p w14:paraId="2599531D" w14:textId="77777777" w:rsidR="000F1C75" w:rsidRDefault="000F1C75" w:rsidP="000F1C75">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8"/>
                <w:szCs w:val="18"/>
                <w:lang w:eastAsia="cs-CZ"/>
              </w:rPr>
            </w:pPr>
            <w:r>
              <w:rPr>
                <w:rFonts w:ascii="Calibri" w:eastAsia="Times New Roman" w:hAnsi="Calibri" w:cs="Calibri"/>
                <w:color w:val="FFFFFF"/>
                <w:sz w:val="18"/>
                <w:szCs w:val="18"/>
                <w:lang w:eastAsia="cs-CZ"/>
              </w:rPr>
              <w:t>Rozpočet projektu</w:t>
            </w:r>
          </w:p>
        </w:tc>
        <w:tc>
          <w:tcPr>
            <w:tcW w:w="1559" w:type="dxa"/>
            <w:hideMark/>
          </w:tcPr>
          <w:p w14:paraId="06163E7B" w14:textId="77777777" w:rsidR="000F1C75" w:rsidRDefault="000F1C75" w:rsidP="000F1C75">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cs-CZ"/>
              </w:rPr>
            </w:pPr>
            <w:r>
              <w:rPr>
                <w:rFonts w:ascii="Calibri" w:eastAsia="Times New Roman" w:hAnsi="Calibri" w:cs="Calibri"/>
                <w:color w:val="FFFFFF"/>
                <w:sz w:val="18"/>
                <w:szCs w:val="18"/>
                <w:lang w:eastAsia="cs-CZ"/>
              </w:rPr>
              <w:t>Vyčerpáno (celkem)</w:t>
            </w:r>
          </w:p>
        </w:tc>
        <w:tc>
          <w:tcPr>
            <w:tcW w:w="1276" w:type="dxa"/>
          </w:tcPr>
          <w:p w14:paraId="1E6797FA" w14:textId="77777777" w:rsidR="000F1C75" w:rsidRDefault="000F1C75" w:rsidP="000F1C75">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8"/>
                <w:szCs w:val="18"/>
                <w:lang w:eastAsia="cs-CZ"/>
              </w:rPr>
            </w:pPr>
            <w:r>
              <w:rPr>
                <w:rFonts w:ascii="Calibri" w:eastAsia="Times New Roman" w:hAnsi="Calibri" w:cs="Calibri"/>
                <w:color w:val="FFFFFF"/>
                <w:sz w:val="18"/>
                <w:szCs w:val="18"/>
                <w:lang w:eastAsia="cs-CZ"/>
              </w:rPr>
              <w:t>Vyčerpáno %</w:t>
            </w:r>
          </w:p>
        </w:tc>
      </w:tr>
      <w:tr w:rsidR="000F1C75" w14:paraId="0C5EA2E4" w14:textId="77777777" w:rsidTr="000F1C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noWrap/>
            <w:hideMark/>
          </w:tcPr>
          <w:p w14:paraId="748B81AE" w14:textId="77777777" w:rsidR="000F1C75" w:rsidRDefault="000F1C75" w:rsidP="000F1C75">
            <w:pPr>
              <w:spacing w:after="0"/>
              <w:rPr>
                <w:rFonts w:ascii="Calibri" w:eastAsia="Times New Roman" w:hAnsi="Calibri" w:cs="Calibri"/>
                <w:color w:val="000000"/>
                <w:sz w:val="24"/>
                <w:szCs w:val="24"/>
                <w:lang w:eastAsia="cs-CZ"/>
              </w:rPr>
            </w:pPr>
            <w:r>
              <w:rPr>
                <w:rFonts w:ascii="Calibri" w:eastAsia="Times New Roman" w:hAnsi="Calibri" w:cs="Calibri"/>
                <w:color w:val="000000"/>
                <w:sz w:val="18"/>
                <w:szCs w:val="18"/>
                <w:lang w:eastAsia="cs-CZ"/>
              </w:rPr>
              <w:t>EXTERNÍ SLUŽBY</w:t>
            </w:r>
          </w:p>
        </w:tc>
        <w:tc>
          <w:tcPr>
            <w:tcW w:w="1843" w:type="dxa"/>
            <w:gridSpan w:val="2"/>
          </w:tcPr>
          <w:p w14:paraId="26FAE09B" w14:textId="77777777" w:rsidR="000F1C75" w:rsidRPr="00A819E6" w:rsidRDefault="000F1C75" w:rsidP="000F1C75">
            <w:pPr>
              <w:spacing w:after="0"/>
              <w:ind w:right="1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sidRPr="00A819E6">
              <w:rPr>
                <w:rFonts w:ascii="Calibri" w:eastAsia="Times New Roman" w:hAnsi="Calibri" w:cs="Calibri"/>
                <w:color w:val="000000"/>
                <w:sz w:val="18"/>
                <w:szCs w:val="18"/>
                <w:lang w:eastAsia="cs-CZ"/>
              </w:rPr>
              <w:t>5 550 000</w:t>
            </w:r>
          </w:p>
        </w:tc>
        <w:tc>
          <w:tcPr>
            <w:tcW w:w="1559" w:type="dxa"/>
          </w:tcPr>
          <w:p w14:paraId="01875F79" w14:textId="77777777" w:rsidR="000F1C75" w:rsidRPr="00A819E6" w:rsidRDefault="000F1C75" w:rsidP="000F1C75">
            <w:pPr>
              <w:spacing w:after="0"/>
              <w:ind w:right="141"/>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sidRPr="00A819E6">
              <w:rPr>
                <w:rFonts w:ascii="Calibri" w:eastAsia="Times New Roman" w:hAnsi="Calibri" w:cs="Calibri"/>
                <w:color w:val="000000"/>
                <w:sz w:val="18"/>
                <w:szCs w:val="18"/>
                <w:lang w:eastAsia="cs-CZ"/>
              </w:rPr>
              <w:t>1 796 804,72</w:t>
            </w:r>
          </w:p>
        </w:tc>
        <w:tc>
          <w:tcPr>
            <w:tcW w:w="1276" w:type="dxa"/>
          </w:tcPr>
          <w:p w14:paraId="41664B2C" w14:textId="77777777" w:rsidR="000F1C75" w:rsidRPr="00A819E6" w:rsidRDefault="000F1C75" w:rsidP="000F1C75">
            <w:pPr>
              <w:spacing w:after="0"/>
              <w:ind w:right="137"/>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sidRPr="00A819E6">
              <w:rPr>
                <w:rFonts w:ascii="Calibri" w:eastAsia="Times New Roman" w:hAnsi="Calibri" w:cs="Calibri"/>
                <w:color w:val="000000"/>
                <w:sz w:val="18"/>
                <w:szCs w:val="18"/>
                <w:lang w:eastAsia="cs-CZ"/>
              </w:rPr>
              <w:t>32,4</w:t>
            </w:r>
          </w:p>
        </w:tc>
      </w:tr>
      <w:tr w:rsidR="000F1C75" w14:paraId="791EB733" w14:textId="77777777" w:rsidTr="000F1C75">
        <w:trPr>
          <w:trHeight w:val="300"/>
        </w:trPr>
        <w:tc>
          <w:tcPr>
            <w:cnfStyle w:val="001000000000" w:firstRow="0" w:lastRow="0" w:firstColumn="1" w:lastColumn="0" w:oddVBand="0" w:evenVBand="0" w:oddHBand="0" w:evenHBand="0" w:firstRowFirstColumn="0" w:firstRowLastColumn="0" w:lastRowFirstColumn="0" w:lastRowLastColumn="0"/>
            <w:tcW w:w="4111" w:type="dxa"/>
            <w:noWrap/>
            <w:hideMark/>
          </w:tcPr>
          <w:p w14:paraId="259BC3D8" w14:textId="77777777" w:rsidR="000F1C75" w:rsidRDefault="000F1C75" w:rsidP="000F1C75">
            <w:pPr>
              <w:spacing w:after="0"/>
              <w:rPr>
                <w:rFonts w:ascii="Calibri" w:eastAsia="Times New Roman" w:hAnsi="Calibri" w:cs="Calibri"/>
                <w:color w:val="000000"/>
                <w:sz w:val="24"/>
                <w:szCs w:val="24"/>
                <w:lang w:eastAsia="cs-CZ"/>
              </w:rPr>
            </w:pPr>
            <w:r>
              <w:rPr>
                <w:rFonts w:ascii="Calibri" w:eastAsia="Times New Roman" w:hAnsi="Calibri" w:cs="Calibri"/>
                <w:color w:val="000000"/>
                <w:sz w:val="18"/>
                <w:szCs w:val="18"/>
                <w:lang w:eastAsia="cs-CZ"/>
              </w:rPr>
              <w:t>PROVOZNÍ VÝDAJE</w:t>
            </w:r>
          </w:p>
        </w:tc>
        <w:tc>
          <w:tcPr>
            <w:tcW w:w="1843" w:type="dxa"/>
            <w:gridSpan w:val="2"/>
          </w:tcPr>
          <w:p w14:paraId="63B50617" w14:textId="77777777" w:rsidR="000F1C75" w:rsidRPr="00A819E6" w:rsidRDefault="000F1C75" w:rsidP="000F1C75">
            <w:pPr>
              <w:spacing w:after="0"/>
              <w:ind w:right="14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cs-CZ"/>
              </w:rPr>
            </w:pPr>
            <w:r w:rsidRPr="00A819E6">
              <w:rPr>
                <w:rFonts w:ascii="Calibri" w:eastAsia="Times New Roman" w:hAnsi="Calibri" w:cs="Calibri"/>
                <w:color w:val="000000"/>
                <w:sz w:val="18"/>
                <w:szCs w:val="18"/>
                <w:lang w:eastAsia="cs-CZ"/>
              </w:rPr>
              <w:t>41 429 000</w:t>
            </w:r>
          </w:p>
        </w:tc>
        <w:tc>
          <w:tcPr>
            <w:tcW w:w="1559" w:type="dxa"/>
          </w:tcPr>
          <w:p w14:paraId="32B78B47" w14:textId="77777777" w:rsidR="000F1C75" w:rsidRPr="00A819E6" w:rsidRDefault="000F1C75" w:rsidP="000F1C75">
            <w:pPr>
              <w:spacing w:after="0"/>
              <w:ind w:right="141"/>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cs-CZ"/>
              </w:rPr>
            </w:pPr>
            <w:r w:rsidRPr="00A819E6">
              <w:rPr>
                <w:rFonts w:ascii="Calibri" w:eastAsia="Times New Roman" w:hAnsi="Calibri" w:cs="Calibri"/>
                <w:color w:val="000000"/>
                <w:sz w:val="18"/>
                <w:szCs w:val="18"/>
                <w:lang w:eastAsia="cs-CZ"/>
              </w:rPr>
              <w:t>38 382 884,90</w:t>
            </w:r>
          </w:p>
        </w:tc>
        <w:tc>
          <w:tcPr>
            <w:tcW w:w="1276" w:type="dxa"/>
          </w:tcPr>
          <w:p w14:paraId="46670459" w14:textId="77777777" w:rsidR="000F1C75" w:rsidRPr="00A819E6" w:rsidRDefault="000F1C75" w:rsidP="000F1C75">
            <w:pPr>
              <w:spacing w:after="0"/>
              <w:ind w:right="13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cs-CZ"/>
              </w:rPr>
            </w:pPr>
            <w:r w:rsidRPr="00A819E6">
              <w:rPr>
                <w:rFonts w:ascii="Calibri" w:eastAsia="Times New Roman" w:hAnsi="Calibri" w:cs="Calibri"/>
                <w:color w:val="000000"/>
                <w:sz w:val="18"/>
                <w:szCs w:val="18"/>
                <w:lang w:eastAsia="cs-CZ"/>
              </w:rPr>
              <w:t>92,6</w:t>
            </w:r>
          </w:p>
        </w:tc>
      </w:tr>
      <w:tr w:rsidR="000F1C75" w14:paraId="16A8A3FA" w14:textId="77777777" w:rsidTr="000F1C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noWrap/>
            <w:hideMark/>
          </w:tcPr>
          <w:p w14:paraId="2A671CCF" w14:textId="77777777" w:rsidR="000F1C75" w:rsidRDefault="000F1C75" w:rsidP="000F1C75">
            <w:pPr>
              <w:spacing w:after="0"/>
              <w:rPr>
                <w:rFonts w:ascii="Calibri" w:eastAsia="Times New Roman" w:hAnsi="Calibri" w:cs="Calibri"/>
                <w:color w:val="000000"/>
                <w:sz w:val="24"/>
                <w:szCs w:val="24"/>
                <w:lang w:eastAsia="cs-CZ"/>
              </w:rPr>
            </w:pPr>
            <w:r>
              <w:rPr>
                <w:rFonts w:ascii="Calibri" w:eastAsia="Times New Roman" w:hAnsi="Calibri" w:cs="Calibri"/>
                <w:color w:val="000000"/>
                <w:sz w:val="18"/>
                <w:szCs w:val="18"/>
                <w:lang w:eastAsia="cs-CZ"/>
              </w:rPr>
              <w:t>OSOBNÍ NÁKLADY</w:t>
            </w:r>
          </w:p>
        </w:tc>
        <w:tc>
          <w:tcPr>
            <w:tcW w:w="1843" w:type="dxa"/>
            <w:gridSpan w:val="2"/>
          </w:tcPr>
          <w:p w14:paraId="50C8FFA6" w14:textId="2DE8C3DD" w:rsidR="000F1C75" w:rsidRPr="00A819E6" w:rsidRDefault="0070086D" w:rsidP="000F1C75">
            <w:pPr>
              <w:spacing w:after="0"/>
              <w:ind w:right="1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337 064 497,10</w:t>
            </w:r>
          </w:p>
        </w:tc>
        <w:tc>
          <w:tcPr>
            <w:tcW w:w="1559" w:type="dxa"/>
          </w:tcPr>
          <w:p w14:paraId="4A0463F6" w14:textId="77777777" w:rsidR="000F1C75" w:rsidRPr="00A819E6" w:rsidRDefault="000F1C75" w:rsidP="000F1C75">
            <w:pPr>
              <w:spacing w:after="0"/>
              <w:ind w:right="141"/>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sidRPr="00A819E6">
              <w:rPr>
                <w:rFonts w:ascii="Calibri" w:eastAsia="Times New Roman" w:hAnsi="Calibri" w:cs="Calibri"/>
                <w:color w:val="000000"/>
                <w:sz w:val="18"/>
                <w:szCs w:val="18"/>
                <w:lang w:eastAsia="cs-CZ"/>
              </w:rPr>
              <w:t>336 118 880,95</w:t>
            </w:r>
          </w:p>
        </w:tc>
        <w:tc>
          <w:tcPr>
            <w:tcW w:w="1276" w:type="dxa"/>
          </w:tcPr>
          <w:p w14:paraId="257BBA59" w14:textId="55AEB6C6" w:rsidR="000F1C75" w:rsidRPr="00A819E6" w:rsidRDefault="0070086D" w:rsidP="000F1C75">
            <w:pPr>
              <w:spacing w:after="0"/>
              <w:ind w:right="137"/>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99,7</w:t>
            </w:r>
          </w:p>
        </w:tc>
      </w:tr>
      <w:tr w:rsidR="000F1C75" w14:paraId="731CB471" w14:textId="77777777" w:rsidTr="000F1C75">
        <w:trPr>
          <w:trHeight w:val="300"/>
        </w:trPr>
        <w:tc>
          <w:tcPr>
            <w:cnfStyle w:val="001000000000" w:firstRow="0" w:lastRow="0" w:firstColumn="1" w:lastColumn="0" w:oddVBand="0" w:evenVBand="0" w:oddHBand="0" w:evenHBand="0" w:firstRowFirstColumn="0" w:firstRowLastColumn="0" w:lastRowFirstColumn="0" w:lastRowLastColumn="0"/>
            <w:tcW w:w="4111" w:type="dxa"/>
            <w:noWrap/>
            <w:hideMark/>
          </w:tcPr>
          <w:p w14:paraId="5EA777C6" w14:textId="77777777" w:rsidR="000F1C75" w:rsidRDefault="000F1C75" w:rsidP="000F1C75">
            <w:pPr>
              <w:spacing w:after="0"/>
              <w:rPr>
                <w:rFonts w:ascii="Calibri" w:eastAsia="Times New Roman" w:hAnsi="Calibri" w:cs="Calibri"/>
                <w:color w:val="000000"/>
                <w:sz w:val="24"/>
                <w:szCs w:val="24"/>
                <w:lang w:eastAsia="cs-CZ"/>
              </w:rPr>
            </w:pPr>
            <w:r>
              <w:rPr>
                <w:rFonts w:ascii="Calibri" w:eastAsia="Times New Roman" w:hAnsi="Calibri" w:cs="Calibri"/>
                <w:color w:val="000000"/>
                <w:sz w:val="18"/>
                <w:szCs w:val="18"/>
                <w:lang w:eastAsia="cs-CZ"/>
              </w:rPr>
              <w:t xml:space="preserve">KANCELÁŘSKÁ A PROVOZNÍ TECHNIKA </w:t>
            </w:r>
          </w:p>
        </w:tc>
        <w:tc>
          <w:tcPr>
            <w:tcW w:w="1843" w:type="dxa"/>
            <w:gridSpan w:val="2"/>
          </w:tcPr>
          <w:p w14:paraId="59AACB7B" w14:textId="2AA69A54" w:rsidR="000F1C75" w:rsidRPr="00A819E6" w:rsidRDefault="0070086D" w:rsidP="000F1C75">
            <w:pPr>
              <w:spacing w:after="0"/>
              <w:ind w:right="14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11 955 000</w:t>
            </w:r>
          </w:p>
        </w:tc>
        <w:tc>
          <w:tcPr>
            <w:tcW w:w="1559" w:type="dxa"/>
          </w:tcPr>
          <w:p w14:paraId="084D24C0" w14:textId="77777777" w:rsidR="000F1C75" w:rsidRPr="00A819E6" w:rsidRDefault="000F1C75" w:rsidP="000F1C75">
            <w:pPr>
              <w:spacing w:after="0"/>
              <w:ind w:right="141"/>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cs-CZ"/>
              </w:rPr>
            </w:pPr>
            <w:r w:rsidRPr="00A819E6">
              <w:rPr>
                <w:rFonts w:ascii="Calibri" w:eastAsia="Times New Roman" w:hAnsi="Calibri" w:cs="Calibri"/>
                <w:color w:val="000000"/>
                <w:sz w:val="18"/>
                <w:szCs w:val="18"/>
                <w:lang w:eastAsia="cs-CZ"/>
              </w:rPr>
              <w:t>7 418 160,77</w:t>
            </w:r>
          </w:p>
        </w:tc>
        <w:tc>
          <w:tcPr>
            <w:tcW w:w="1276" w:type="dxa"/>
          </w:tcPr>
          <w:p w14:paraId="12877EEB" w14:textId="547B5E88" w:rsidR="000F1C75" w:rsidRPr="00A819E6" w:rsidRDefault="0070086D" w:rsidP="000F1C75">
            <w:pPr>
              <w:spacing w:after="0"/>
              <w:ind w:right="13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62,1</w:t>
            </w:r>
          </w:p>
        </w:tc>
      </w:tr>
      <w:tr w:rsidR="000F1C75" w14:paraId="670E35D0" w14:textId="77777777" w:rsidTr="000F1C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noWrap/>
            <w:hideMark/>
          </w:tcPr>
          <w:p w14:paraId="2F43404C" w14:textId="77777777" w:rsidR="000F1C75" w:rsidRDefault="000F1C75" w:rsidP="000F1C75">
            <w:pPr>
              <w:spacing w:after="0"/>
              <w:rPr>
                <w:rFonts w:ascii="Calibri" w:eastAsia="Times New Roman" w:hAnsi="Calibri" w:cs="Calibri"/>
                <w:color w:val="000000"/>
                <w:sz w:val="24"/>
                <w:szCs w:val="24"/>
                <w:lang w:eastAsia="cs-CZ"/>
              </w:rPr>
            </w:pPr>
            <w:r>
              <w:rPr>
                <w:rFonts w:ascii="Calibri" w:eastAsia="Times New Roman" w:hAnsi="Calibri" w:cs="Calibri"/>
                <w:color w:val="000000"/>
                <w:sz w:val="18"/>
                <w:szCs w:val="18"/>
                <w:lang w:eastAsia="cs-CZ"/>
              </w:rPr>
              <w:t xml:space="preserve">VZDĚLÁVÁNÍ IMPLEMENTAČNÍ STRUKTURY </w:t>
            </w:r>
          </w:p>
        </w:tc>
        <w:tc>
          <w:tcPr>
            <w:tcW w:w="1843" w:type="dxa"/>
            <w:gridSpan w:val="2"/>
          </w:tcPr>
          <w:p w14:paraId="42067728" w14:textId="77777777" w:rsidR="000F1C75" w:rsidRPr="00A819E6" w:rsidRDefault="000F1C75" w:rsidP="000F1C75">
            <w:pPr>
              <w:spacing w:after="0"/>
              <w:ind w:right="1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sidRPr="00A819E6">
              <w:rPr>
                <w:rFonts w:ascii="Calibri" w:eastAsia="Times New Roman" w:hAnsi="Calibri" w:cs="Calibri"/>
                <w:color w:val="000000"/>
                <w:sz w:val="18"/>
                <w:szCs w:val="18"/>
                <w:lang w:eastAsia="cs-CZ"/>
              </w:rPr>
              <w:t>4 800 000</w:t>
            </w:r>
          </w:p>
        </w:tc>
        <w:tc>
          <w:tcPr>
            <w:tcW w:w="1559" w:type="dxa"/>
          </w:tcPr>
          <w:p w14:paraId="0D160151" w14:textId="77777777" w:rsidR="000F1C75" w:rsidRPr="00A819E6" w:rsidRDefault="000F1C75" w:rsidP="000F1C75">
            <w:pPr>
              <w:spacing w:after="0"/>
              <w:ind w:right="141"/>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sidRPr="00A819E6">
              <w:rPr>
                <w:rFonts w:ascii="Calibri" w:eastAsia="Times New Roman" w:hAnsi="Calibri" w:cs="Calibri"/>
                <w:color w:val="000000"/>
                <w:sz w:val="18"/>
                <w:szCs w:val="18"/>
                <w:lang w:eastAsia="cs-CZ"/>
              </w:rPr>
              <w:t>2 653 133,94</w:t>
            </w:r>
          </w:p>
        </w:tc>
        <w:tc>
          <w:tcPr>
            <w:tcW w:w="1276" w:type="dxa"/>
          </w:tcPr>
          <w:p w14:paraId="203D345A" w14:textId="77777777" w:rsidR="000F1C75" w:rsidRPr="00A819E6" w:rsidRDefault="000F1C75" w:rsidP="000F1C75">
            <w:pPr>
              <w:spacing w:after="0"/>
              <w:ind w:right="137"/>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sidRPr="00A819E6">
              <w:rPr>
                <w:rFonts w:ascii="Calibri" w:eastAsia="Times New Roman" w:hAnsi="Calibri" w:cs="Calibri"/>
                <w:color w:val="000000"/>
                <w:sz w:val="18"/>
                <w:szCs w:val="18"/>
                <w:lang w:eastAsia="cs-CZ"/>
              </w:rPr>
              <w:t>55,3</w:t>
            </w:r>
          </w:p>
        </w:tc>
      </w:tr>
      <w:tr w:rsidR="000F1C75" w14:paraId="797B2A99" w14:textId="77777777" w:rsidTr="000F1C75">
        <w:trPr>
          <w:trHeight w:val="300"/>
        </w:trPr>
        <w:tc>
          <w:tcPr>
            <w:cnfStyle w:val="001000000000" w:firstRow="0" w:lastRow="0" w:firstColumn="1" w:lastColumn="0" w:oddVBand="0" w:evenVBand="0" w:oddHBand="0" w:evenHBand="0" w:firstRowFirstColumn="0" w:firstRowLastColumn="0" w:lastRowFirstColumn="0" w:lastRowLastColumn="0"/>
            <w:tcW w:w="4111" w:type="dxa"/>
            <w:noWrap/>
            <w:hideMark/>
          </w:tcPr>
          <w:p w14:paraId="27335397" w14:textId="77777777" w:rsidR="000F1C75" w:rsidRDefault="000F1C75" w:rsidP="000F1C75">
            <w:pPr>
              <w:spacing w:after="0"/>
              <w:rPr>
                <w:rFonts w:ascii="Calibri" w:eastAsia="Times New Roman" w:hAnsi="Calibri" w:cs="Calibri"/>
                <w:color w:val="000000"/>
                <w:sz w:val="24"/>
                <w:szCs w:val="24"/>
                <w:lang w:eastAsia="cs-CZ"/>
              </w:rPr>
            </w:pPr>
            <w:r>
              <w:rPr>
                <w:rFonts w:ascii="Calibri" w:eastAsia="Times New Roman" w:hAnsi="Calibri" w:cs="Calibri"/>
                <w:color w:val="000000"/>
                <w:sz w:val="18"/>
                <w:szCs w:val="18"/>
                <w:lang w:eastAsia="cs-CZ"/>
              </w:rPr>
              <w:t xml:space="preserve">PUBLICITA </w:t>
            </w:r>
          </w:p>
        </w:tc>
        <w:tc>
          <w:tcPr>
            <w:tcW w:w="1843" w:type="dxa"/>
            <w:gridSpan w:val="2"/>
          </w:tcPr>
          <w:p w14:paraId="771A9853" w14:textId="1BE67554" w:rsidR="000F1C75" w:rsidRPr="00A819E6" w:rsidRDefault="0070086D" w:rsidP="000F1C75">
            <w:pPr>
              <w:spacing w:after="0"/>
              <w:ind w:right="14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2 553 000</w:t>
            </w:r>
          </w:p>
        </w:tc>
        <w:tc>
          <w:tcPr>
            <w:tcW w:w="1559" w:type="dxa"/>
          </w:tcPr>
          <w:p w14:paraId="5252AB80" w14:textId="77777777" w:rsidR="000F1C75" w:rsidRPr="00A819E6" w:rsidRDefault="000F1C75" w:rsidP="000F1C75">
            <w:pPr>
              <w:spacing w:after="0"/>
              <w:ind w:right="141"/>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cs-CZ"/>
              </w:rPr>
            </w:pPr>
            <w:r w:rsidRPr="00A819E6">
              <w:rPr>
                <w:rFonts w:ascii="Calibri" w:eastAsia="Times New Roman" w:hAnsi="Calibri" w:cs="Calibri"/>
                <w:color w:val="000000"/>
                <w:sz w:val="18"/>
                <w:szCs w:val="18"/>
                <w:lang w:eastAsia="cs-CZ"/>
              </w:rPr>
              <w:t>914 828,49</w:t>
            </w:r>
          </w:p>
        </w:tc>
        <w:tc>
          <w:tcPr>
            <w:tcW w:w="1276" w:type="dxa"/>
          </w:tcPr>
          <w:p w14:paraId="488A3760" w14:textId="732FDCE5" w:rsidR="000F1C75" w:rsidRPr="00A819E6" w:rsidRDefault="0070086D" w:rsidP="000F1C75">
            <w:pPr>
              <w:spacing w:after="0"/>
              <w:ind w:right="13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35,8</w:t>
            </w:r>
          </w:p>
        </w:tc>
      </w:tr>
      <w:tr w:rsidR="000F1C75" w14:paraId="2C2540BE" w14:textId="77777777" w:rsidTr="000F1C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shd w:val="clear" w:color="auto" w:fill="B5DAF5" w:themeFill="accent3"/>
            <w:noWrap/>
            <w:hideMark/>
          </w:tcPr>
          <w:p w14:paraId="051E2FCA" w14:textId="77777777" w:rsidR="000F1C75" w:rsidRDefault="000F1C75" w:rsidP="000F1C75">
            <w:pPr>
              <w:spacing w:after="0"/>
              <w:rPr>
                <w:rFonts w:ascii="Calibri" w:eastAsia="Times New Roman" w:hAnsi="Calibri" w:cs="Calibri"/>
                <w:color w:val="000000"/>
                <w:sz w:val="24"/>
                <w:szCs w:val="24"/>
                <w:lang w:eastAsia="cs-CZ"/>
              </w:rPr>
            </w:pPr>
            <w:r>
              <w:rPr>
                <w:rFonts w:ascii="Calibri" w:eastAsia="Times New Roman" w:hAnsi="Calibri" w:cs="Calibri"/>
                <w:color w:val="000000"/>
                <w:sz w:val="18"/>
                <w:szCs w:val="18"/>
                <w:lang w:eastAsia="cs-CZ"/>
              </w:rPr>
              <w:t>CELKEM</w:t>
            </w:r>
          </w:p>
        </w:tc>
        <w:tc>
          <w:tcPr>
            <w:tcW w:w="1843" w:type="dxa"/>
            <w:gridSpan w:val="2"/>
            <w:shd w:val="clear" w:color="auto" w:fill="B5DAF5" w:themeFill="accent3"/>
          </w:tcPr>
          <w:p w14:paraId="721C03C3" w14:textId="2B1630FF" w:rsidR="000F1C75" w:rsidRPr="00A819E6" w:rsidRDefault="0070086D" w:rsidP="000F1C75">
            <w:pPr>
              <w:spacing w:after="0"/>
              <w:ind w:right="1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403 351 497,10</w:t>
            </w:r>
          </w:p>
        </w:tc>
        <w:tc>
          <w:tcPr>
            <w:tcW w:w="1559" w:type="dxa"/>
            <w:shd w:val="clear" w:color="auto" w:fill="B5DAF5" w:themeFill="accent3"/>
          </w:tcPr>
          <w:p w14:paraId="37C95690" w14:textId="77777777" w:rsidR="000F1C75" w:rsidRPr="00A819E6" w:rsidRDefault="000F1C75" w:rsidP="000F1C75">
            <w:pPr>
              <w:spacing w:after="0"/>
              <w:ind w:right="141"/>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sidRPr="00A819E6">
              <w:rPr>
                <w:rFonts w:ascii="Calibri" w:eastAsia="Times New Roman" w:hAnsi="Calibri" w:cs="Calibri"/>
                <w:color w:val="000000"/>
                <w:sz w:val="18"/>
                <w:szCs w:val="18"/>
                <w:lang w:eastAsia="cs-CZ"/>
              </w:rPr>
              <w:t>387 284 693,77</w:t>
            </w:r>
          </w:p>
        </w:tc>
        <w:tc>
          <w:tcPr>
            <w:tcW w:w="1276" w:type="dxa"/>
            <w:shd w:val="clear" w:color="auto" w:fill="B5DAF5" w:themeFill="accent3"/>
          </w:tcPr>
          <w:p w14:paraId="420A9C91" w14:textId="0D627757" w:rsidR="000F1C75" w:rsidRPr="00A819E6" w:rsidRDefault="0070086D" w:rsidP="000F1C75">
            <w:pPr>
              <w:spacing w:after="0"/>
              <w:ind w:right="137"/>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96,0</w:t>
            </w:r>
          </w:p>
        </w:tc>
      </w:tr>
    </w:tbl>
    <w:p w14:paraId="2C31793D" w14:textId="77777777" w:rsidR="000F1C75" w:rsidRDefault="000F1C75" w:rsidP="000F1C75">
      <w:pPr>
        <w:pStyle w:val="Cnormln"/>
        <w:spacing w:before="60" w:after="60"/>
        <w:jc w:val="both"/>
        <w:rPr>
          <w:rFonts w:asciiTheme="minorHAnsi" w:hAnsiTheme="minorHAnsi" w:cstheme="minorHAnsi"/>
          <w:i/>
          <w:iCs/>
        </w:rPr>
      </w:pPr>
      <w:r>
        <w:rPr>
          <w:rFonts w:asciiTheme="minorHAnsi" w:hAnsiTheme="minorHAnsi" w:cstheme="minorHAnsi"/>
          <w:i/>
          <w:iCs/>
        </w:rPr>
        <w:t>Zdroj: ŘO</w:t>
      </w:r>
    </w:p>
    <w:p w14:paraId="0104E631" w14:textId="40E6F144" w:rsidR="000F1C75" w:rsidRDefault="000F1C75" w:rsidP="000F1C75">
      <w:pPr>
        <w:pStyle w:val="Titulek"/>
        <w:rPr>
          <w:rFonts w:cstheme="minorHAnsi"/>
        </w:rPr>
      </w:pPr>
      <w:bookmarkStart w:id="45" w:name="_Toc45657562"/>
      <w:bookmarkStart w:id="46" w:name="_Toc50456739"/>
      <w:r>
        <w:t xml:space="preserve">Tabulka </w:t>
      </w:r>
      <w:r w:rsidR="00C050DB">
        <w:fldChar w:fldCharType="begin"/>
      </w:r>
      <w:r w:rsidR="00C050DB">
        <w:instrText xml:space="preserve"> SEQ Tabulka \* ARABIC </w:instrText>
      </w:r>
      <w:r w:rsidR="00C050DB">
        <w:fldChar w:fldCharType="separate"/>
      </w:r>
      <w:r w:rsidR="00E96F43">
        <w:rPr>
          <w:noProof/>
        </w:rPr>
        <w:t>6</w:t>
      </w:r>
      <w:r w:rsidR="00C050DB">
        <w:rPr>
          <w:noProof/>
        </w:rPr>
        <w:fldChar w:fldCharType="end"/>
      </w:r>
      <w:r>
        <w:t xml:space="preserve">: Projekty TP celkem, </w:t>
      </w:r>
      <w:bookmarkEnd w:id="45"/>
      <w:r>
        <w:t>2016</w:t>
      </w:r>
      <w:r w:rsidR="00012D0B">
        <w:t xml:space="preserve"> </w:t>
      </w:r>
      <w:r>
        <w:t>–</w:t>
      </w:r>
      <w:r w:rsidR="00012D0B">
        <w:t xml:space="preserve"> </w:t>
      </w:r>
      <w:r>
        <w:t>2018</w:t>
      </w:r>
      <w:bookmarkEnd w:id="46"/>
    </w:p>
    <w:tbl>
      <w:tblPr>
        <w:tblStyle w:val="Styl1"/>
        <w:tblW w:w="8852" w:type="dxa"/>
        <w:tblInd w:w="-5" w:type="dxa"/>
        <w:tblLayout w:type="fixed"/>
        <w:tblLook w:val="04A0" w:firstRow="1" w:lastRow="0" w:firstColumn="1" w:lastColumn="0" w:noHBand="0" w:noVBand="1"/>
      </w:tblPr>
      <w:tblGrid>
        <w:gridCol w:w="2840"/>
        <w:gridCol w:w="2410"/>
        <w:gridCol w:w="2410"/>
        <w:gridCol w:w="1192"/>
      </w:tblGrid>
      <w:tr w:rsidR="000F1C75" w14:paraId="5E530906" w14:textId="77777777" w:rsidTr="00E96F43">
        <w:trPr>
          <w:cnfStyle w:val="100000000000" w:firstRow="1" w:lastRow="0" w:firstColumn="0" w:lastColumn="0" w:oddVBand="0" w:evenVBand="0" w:oddHBand="0" w:evenHBand="0" w:firstRowFirstColumn="0" w:firstRowLastColumn="0" w:lastRowFirstColumn="0" w:lastRowLastColumn="0"/>
          <w:trHeight w:val="352"/>
        </w:trPr>
        <w:tc>
          <w:tcPr>
            <w:cnfStyle w:val="001000000100" w:firstRow="0" w:lastRow="0" w:firstColumn="1" w:lastColumn="0" w:oddVBand="0" w:evenVBand="0" w:oddHBand="0" w:evenHBand="0" w:firstRowFirstColumn="1" w:firstRowLastColumn="0" w:lastRowFirstColumn="0" w:lastRowLastColumn="0"/>
            <w:tcW w:w="2840" w:type="dxa"/>
            <w:noWrap/>
            <w:hideMark/>
          </w:tcPr>
          <w:p w14:paraId="33FF8ECA" w14:textId="77777777" w:rsidR="000F1C75" w:rsidRDefault="000F1C75" w:rsidP="000F1C75">
            <w:pPr>
              <w:spacing w:after="0"/>
              <w:jc w:val="center"/>
              <w:rPr>
                <w:rFonts w:ascii="Calibri" w:eastAsia="Times New Roman" w:hAnsi="Calibri" w:cs="Calibri"/>
                <w:color w:val="000000"/>
                <w:sz w:val="24"/>
                <w:szCs w:val="24"/>
                <w:lang w:eastAsia="cs-CZ"/>
              </w:rPr>
            </w:pPr>
          </w:p>
        </w:tc>
        <w:tc>
          <w:tcPr>
            <w:tcW w:w="2410" w:type="dxa"/>
          </w:tcPr>
          <w:p w14:paraId="6E159C92" w14:textId="77777777" w:rsidR="000F1C75" w:rsidRDefault="000F1C75" w:rsidP="000F1C75">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8"/>
                <w:szCs w:val="18"/>
                <w:lang w:eastAsia="cs-CZ"/>
              </w:rPr>
            </w:pPr>
            <w:r>
              <w:rPr>
                <w:rFonts w:ascii="Calibri" w:eastAsia="Times New Roman" w:hAnsi="Calibri" w:cs="Calibri"/>
                <w:color w:val="FFFFFF"/>
                <w:sz w:val="18"/>
                <w:szCs w:val="18"/>
                <w:lang w:eastAsia="cs-CZ"/>
              </w:rPr>
              <w:t>Rozpočet</w:t>
            </w:r>
          </w:p>
        </w:tc>
        <w:tc>
          <w:tcPr>
            <w:tcW w:w="2410" w:type="dxa"/>
            <w:hideMark/>
          </w:tcPr>
          <w:p w14:paraId="4E24736E" w14:textId="77777777" w:rsidR="000F1C75" w:rsidRDefault="000F1C75" w:rsidP="000F1C75">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cs-CZ"/>
              </w:rPr>
            </w:pPr>
            <w:r>
              <w:rPr>
                <w:rFonts w:ascii="Calibri" w:eastAsia="Times New Roman" w:hAnsi="Calibri" w:cs="Calibri"/>
                <w:color w:val="FFFFFF"/>
                <w:sz w:val="18"/>
                <w:szCs w:val="18"/>
                <w:lang w:eastAsia="cs-CZ"/>
              </w:rPr>
              <w:t>Vyčerpáno</w:t>
            </w:r>
          </w:p>
        </w:tc>
        <w:tc>
          <w:tcPr>
            <w:tcW w:w="1192" w:type="dxa"/>
          </w:tcPr>
          <w:p w14:paraId="676D11DC" w14:textId="77777777" w:rsidR="000F1C75" w:rsidRDefault="000F1C75" w:rsidP="000F1C75">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8"/>
                <w:szCs w:val="18"/>
                <w:lang w:eastAsia="cs-CZ"/>
              </w:rPr>
            </w:pPr>
            <w:r>
              <w:rPr>
                <w:rFonts w:ascii="Calibri" w:eastAsia="Times New Roman" w:hAnsi="Calibri" w:cs="Calibri"/>
                <w:color w:val="FFFFFF"/>
                <w:sz w:val="18"/>
                <w:szCs w:val="18"/>
                <w:lang w:eastAsia="cs-CZ"/>
              </w:rPr>
              <w:t>Vyčerpáno %</w:t>
            </w:r>
          </w:p>
        </w:tc>
      </w:tr>
      <w:tr w:rsidR="000F1C75" w14:paraId="0D8CD1B8" w14:textId="77777777" w:rsidTr="00E96F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0" w:type="dxa"/>
            <w:noWrap/>
            <w:hideMark/>
          </w:tcPr>
          <w:p w14:paraId="328E1ECC" w14:textId="77777777" w:rsidR="000F1C75" w:rsidRDefault="000F1C75" w:rsidP="000F1C75">
            <w:pPr>
              <w:spacing w:after="0"/>
              <w:jc w:val="center"/>
              <w:rPr>
                <w:rFonts w:ascii="Calibri" w:eastAsia="Times New Roman" w:hAnsi="Calibri" w:cs="Calibri"/>
                <w:color w:val="000000"/>
                <w:sz w:val="24"/>
                <w:szCs w:val="24"/>
                <w:lang w:eastAsia="cs-CZ"/>
              </w:rPr>
            </w:pPr>
            <w:r>
              <w:rPr>
                <w:rFonts w:ascii="Calibri" w:eastAsia="Times New Roman" w:hAnsi="Calibri" w:cs="Calibri"/>
                <w:color w:val="000000"/>
                <w:sz w:val="18"/>
                <w:szCs w:val="18"/>
                <w:lang w:eastAsia="cs-CZ"/>
              </w:rPr>
              <w:t>2016</w:t>
            </w:r>
            <w:r w:rsidR="00012D0B">
              <w:rPr>
                <w:rFonts w:ascii="Calibri" w:eastAsia="Times New Roman" w:hAnsi="Calibri" w:cs="Calibri"/>
                <w:color w:val="000000"/>
                <w:sz w:val="18"/>
                <w:szCs w:val="18"/>
                <w:lang w:eastAsia="cs-CZ"/>
              </w:rPr>
              <w:t xml:space="preserve"> </w:t>
            </w:r>
            <w:r>
              <w:rPr>
                <w:rFonts w:ascii="Calibri" w:eastAsia="Times New Roman" w:hAnsi="Calibri" w:cs="Calibri"/>
                <w:color w:val="000000"/>
                <w:sz w:val="18"/>
                <w:szCs w:val="18"/>
                <w:lang w:eastAsia="cs-CZ"/>
              </w:rPr>
              <w:t>–</w:t>
            </w:r>
            <w:r w:rsidR="00012D0B">
              <w:rPr>
                <w:rFonts w:ascii="Calibri" w:eastAsia="Times New Roman" w:hAnsi="Calibri" w:cs="Calibri"/>
                <w:color w:val="000000"/>
                <w:sz w:val="18"/>
                <w:szCs w:val="18"/>
                <w:lang w:eastAsia="cs-CZ"/>
              </w:rPr>
              <w:t xml:space="preserve"> </w:t>
            </w:r>
            <w:r>
              <w:rPr>
                <w:rFonts w:ascii="Calibri" w:eastAsia="Times New Roman" w:hAnsi="Calibri" w:cs="Calibri"/>
                <w:color w:val="000000"/>
                <w:sz w:val="18"/>
                <w:szCs w:val="18"/>
                <w:lang w:eastAsia="cs-CZ"/>
              </w:rPr>
              <w:t>2018 CELKEM</w:t>
            </w:r>
          </w:p>
        </w:tc>
        <w:tc>
          <w:tcPr>
            <w:tcW w:w="2410" w:type="dxa"/>
          </w:tcPr>
          <w:p w14:paraId="11403601" w14:textId="58DF620F" w:rsidR="000F1C75" w:rsidRPr="00A819E6" w:rsidRDefault="0070086D" w:rsidP="00E96F43">
            <w:pPr>
              <w:tabs>
                <w:tab w:val="left" w:pos="2158"/>
              </w:tabs>
              <w:spacing w:after="0"/>
              <w:ind w:right="14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1 335 351 497,10</w:t>
            </w:r>
          </w:p>
        </w:tc>
        <w:tc>
          <w:tcPr>
            <w:tcW w:w="2410" w:type="dxa"/>
          </w:tcPr>
          <w:p w14:paraId="67647930" w14:textId="77777777" w:rsidR="000F1C75" w:rsidRPr="00A819E6" w:rsidRDefault="000F1C75" w:rsidP="000F1C75">
            <w:pPr>
              <w:spacing w:after="0"/>
              <w:ind w:right="141"/>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sidRPr="00A819E6">
              <w:rPr>
                <w:rFonts w:ascii="Calibri" w:eastAsia="Times New Roman" w:hAnsi="Calibri" w:cs="Calibri"/>
                <w:color w:val="000000"/>
                <w:sz w:val="18"/>
                <w:szCs w:val="18"/>
                <w:lang w:eastAsia="cs-CZ"/>
              </w:rPr>
              <w:t>945 192 406,27</w:t>
            </w:r>
          </w:p>
        </w:tc>
        <w:tc>
          <w:tcPr>
            <w:tcW w:w="1192" w:type="dxa"/>
          </w:tcPr>
          <w:p w14:paraId="148A0274" w14:textId="0CC1B8C3" w:rsidR="000F1C75" w:rsidRPr="00A819E6" w:rsidRDefault="0070086D" w:rsidP="000F1C75">
            <w:pPr>
              <w:spacing w:after="0"/>
              <w:ind w:right="13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70,8</w:t>
            </w:r>
          </w:p>
        </w:tc>
      </w:tr>
    </w:tbl>
    <w:p w14:paraId="6E562E72" w14:textId="77777777" w:rsidR="000F1C75" w:rsidRDefault="000F1C75" w:rsidP="000F1C75">
      <w:pPr>
        <w:pStyle w:val="Cnormln"/>
        <w:spacing w:before="60" w:after="60"/>
        <w:jc w:val="both"/>
        <w:rPr>
          <w:rFonts w:asciiTheme="minorHAnsi" w:hAnsiTheme="minorHAnsi" w:cstheme="minorHAnsi"/>
          <w:i/>
          <w:iCs/>
        </w:rPr>
      </w:pPr>
      <w:r>
        <w:rPr>
          <w:rFonts w:asciiTheme="minorHAnsi" w:hAnsiTheme="minorHAnsi" w:cstheme="minorHAnsi"/>
          <w:i/>
          <w:iCs/>
        </w:rPr>
        <w:t>Zdroj: ŘO</w:t>
      </w:r>
    </w:p>
    <w:p w14:paraId="7B40CADD" w14:textId="77777777" w:rsidR="000F1C75" w:rsidRDefault="000F1C75" w:rsidP="000F1C75">
      <w:pPr>
        <w:pStyle w:val="Cnormln"/>
        <w:spacing w:before="60" w:after="60"/>
        <w:jc w:val="both"/>
        <w:rPr>
          <w:rFonts w:asciiTheme="minorHAnsi" w:hAnsiTheme="minorHAnsi" w:cstheme="minorHAnsi"/>
        </w:rPr>
      </w:pPr>
    </w:p>
    <w:p w14:paraId="7FB37F6F" w14:textId="257F0F52" w:rsidR="000F1C75" w:rsidRDefault="000F1C75" w:rsidP="000F1C75">
      <w:pPr>
        <w:pStyle w:val="Cnormln"/>
        <w:spacing w:before="60" w:after="60"/>
        <w:jc w:val="both"/>
        <w:rPr>
          <w:rFonts w:asciiTheme="minorHAnsi" w:hAnsiTheme="minorHAnsi" w:cstheme="minorHAnsi"/>
        </w:rPr>
      </w:pPr>
      <w:r>
        <w:rPr>
          <w:rFonts w:asciiTheme="minorHAnsi" w:hAnsiTheme="minorHAnsi" w:cstheme="minorHAnsi"/>
        </w:rPr>
        <w:t xml:space="preserve">Pro IP implementované v letech </w:t>
      </w:r>
      <w:bookmarkStart w:id="47" w:name="_Hlk46232024"/>
      <w:r>
        <w:rPr>
          <w:rFonts w:asciiTheme="minorHAnsi" w:hAnsiTheme="minorHAnsi" w:cstheme="minorHAnsi"/>
        </w:rPr>
        <w:t>2016</w:t>
      </w:r>
      <w:r w:rsidR="00012D0B">
        <w:rPr>
          <w:rFonts w:asciiTheme="minorHAnsi" w:hAnsiTheme="minorHAnsi" w:cstheme="minorHAnsi"/>
        </w:rPr>
        <w:t xml:space="preserve"> </w:t>
      </w:r>
      <w:r>
        <w:rPr>
          <w:rFonts w:asciiTheme="minorHAnsi" w:hAnsiTheme="minorHAnsi" w:cstheme="minorHAnsi"/>
        </w:rPr>
        <w:t>–</w:t>
      </w:r>
      <w:r w:rsidR="00DD776A">
        <w:rPr>
          <w:rFonts w:asciiTheme="minorHAnsi" w:hAnsiTheme="minorHAnsi" w:cstheme="minorHAnsi"/>
        </w:rPr>
        <w:t xml:space="preserve"> </w:t>
      </w:r>
      <w:r>
        <w:rPr>
          <w:rFonts w:asciiTheme="minorHAnsi" w:hAnsiTheme="minorHAnsi" w:cstheme="minorHAnsi"/>
        </w:rPr>
        <w:t>2018 bylo závazkováno celkem cca 1,3</w:t>
      </w:r>
      <w:r w:rsidR="0070086D">
        <w:rPr>
          <w:rFonts w:asciiTheme="minorHAnsi" w:hAnsiTheme="minorHAnsi" w:cstheme="minorHAnsi"/>
        </w:rPr>
        <w:t>4</w:t>
      </w:r>
      <w:r>
        <w:rPr>
          <w:rFonts w:asciiTheme="minorHAnsi" w:hAnsiTheme="minorHAnsi" w:cstheme="minorHAnsi"/>
        </w:rPr>
        <w:t xml:space="preserve"> mld. Kč</w:t>
      </w:r>
      <w:bookmarkEnd w:id="47"/>
      <w:r>
        <w:rPr>
          <w:rFonts w:asciiTheme="minorHAnsi" w:hAnsiTheme="minorHAnsi" w:cstheme="minorHAnsi"/>
        </w:rPr>
        <w:t>, tedy přibližně třetina celé alokace TP OP PIK (včetně spolufinancování). Čerpání části IP bylo ale výrazně nižší, než schválený rozpočet</w:t>
      </w:r>
      <w:r w:rsidR="00AF4E5E">
        <w:rPr>
          <w:rFonts w:asciiTheme="minorHAnsi" w:hAnsiTheme="minorHAnsi" w:cstheme="minorHAnsi"/>
        </w:rPr>
        <w:t xml:space="preserve"> </w:t>
      </w:r>
      <w:r>
        <w:rPr>
          <w:rFonts w:asciiTheme="minorHAnsi" w:hAnsiTheme="minorHAnsi" w:cstheme="minorHAnsi"/>
        </w:rPr>
        <w:t>–</w:t>
      </w:r>
      <w:r w:rsidR="00AF4E5E">
        <w:rPr>
          <w:rFonts w:asciiTheme="minorHAnsi" w:hAnsiTheme="minorHAnsi" w:cstheme="minorHAnsi"/>
        </w:rPr>
        <w:t xml:space="preserve"> </w:t>
      </w:r>
      <w:r>
        <w:rPr>
          <w:rFonts w:asciiTheme="minorHAnsi" w:hAnsiTheme="minorHAnsi" w:cstheme="minorHAnsi"/>
        </w:rPr>
        <w:t>v některých případech dosáhlo čerpání i méně než desetiny původního rozpočtu. Dostatečně spolehlivě tak byly čerpány pouze osobní náklady, které ale představují dominantní náklad, který je z rozpočtu TP OP PIK financovaný (v období 2016</w:t>
      </w:r>
      <w:r w:rsidR="00DD776A">
        <w:rPr>
          <w:rFonts w:asciiTheme="minorHAnsi" w:hAnsiTheme="minorHAnsi" w:cstheme="minorHAnsi"/>
        </w:rPr>
        <w:t xml:space="preserve"> </w:t>
      </w:r>
      <w:r>
        <w:rPr>
          <w:rFonts w:asciiTheme="minorHAnsi" w:hAnsiTheme="minorHAnsi" w:cstheme="minorHAnsi"/>
        </w:rPr>
        <w:t>–</w:t>
      </w:r>
      <w:r w:rsidR="00DD776A">
        <w:rPr>
          <w:rFonts w:asciiTheme="minorHAnsi" w:hAnsiTheme="minorHAnsi" w:cstheme="minorHAnsi"/>
        </w:rPr>
        <w:t xml:space="preserve"> </w:t>
      </w:r>
      <w:r>
        <w:rPr>
          <w:rFonts w:asciiTheme="minorHAnsi" w:hAnsiTheme="minorHAnsi" w:cstheme="minorHAnsi"/>
        </w:rPr>
        <w:t xml:space="preserve">2018 činily cca 78 % závazků všech schválených IP a dokonce více než 90 % prostředků, které byly z TP OP PIK v daném období vyčerpány). </w:t>
      </w:r>
    </w:p>
    <w:p w14:paraId="242CCEF8" w14:textId="6396D700" w:rsidR="000F1C75" w:rsidRDefault="000F1C75" w:rsidP="000F1C75">
      <w:pPr>
        <w:pStyle w:val="Cnormln"/>
        <w:spacing w:before="60" w:after="60"/>
        <w:jc w:val="both"/>
        <w:rPr>
          <w:rFonts w:asciiTheme="minorHAnsi" w:hAnsiTheme="minorHAnsi" w:cstheme="minorHAnsi"/>
        </w:rPr>
      </w:pPr>
      <w:r>
        <w:rPr>
          <w:rFonts w:asciiTheme="minorHAnsi" w:hAnsiTheme="minorHAnsi" w:cstheme="minorHAnsi"/>
        </w:rPr>
        <w:t>Závazk</w:t>
      </w:r>
      <w:r w:rsidR="00E96F43">
        <w:rPr>
          <w:rFonts w:asciiTheme="minorHAnsi" w:hAnsiTheme="minorHAnsi" w:cstheme="minorHAnsi"/>
        </w:rPr>
        <w:t>o</w:t>
      </w:r>
      <w:r>
        <w:rPr>
          <w:rFonts w:asciiTheme="minorHAnsi" w:hAnsiTheme="minorHAnsi" w:cstheme="minorHAnsi"/>
        </w:rPr>
        <w:t>vané prostředky na jednotlivé IP pro následující období 2019</w:t>
      </w:r>
      <w:r w:rsidR="00DD776A">
        <w:rPr>
          <w:rFonts w:asciiTheme="minorHAnsi" w:hAnsiTheme="minorHAnsi" w:cstheme="minorHAnsi"/>
        </w:rPr>
        <w:t xml:space="preserve"> </w:t>
      </w:r>
      <w:r>
        <w:rPr>
          <w:rFonts w:asciiTheme="minorHAnsi" w:hAnsiTheme="minorHAnsi" w:cstheme="minorHAnsi"/>
        </w:rPr>
        <w:t>–</w:t>
      </w:r>
      <w:r w:rsidR="00DD776A">
        <w:rPr>
          <w:rFonts w:asciiTheme="minorHAnsi" w:hAnsiTheme="minorHAnsi" w:cstheme="minorHAnsi"/>
        </w:rPr>
        <w:t xml:space="preserve"> </w:t>
      </w:r>
      <w:r>
        <w:rPr>
          <w:rFonts w:asciiTheme="minorHAnsi" w:hAnsiTheme="minorHAnsi" w:cstheme="minorHAnsi"/>
        </w:rPr>
        <w:t>2021 mají následující strukturu:</w:t>
      </w:r>
    </w:p>
    <w:p w14:paraId="660CCD7E" w14:textId="1743B106" w:rsidR="000F1C75" w:rsidRDefault="000F1C75" w:rsidP="000F1C75">
      <w:pPr>
        <w:pStyle w:val="Titulek"/>
        <w:rPr>
          <w:rFonts w:cstheme="minorHAnsi"/>
        </w:rPr>
      </w:pPr>
      <w:bookmarkStart w:id="48" w:name="_Toc45657563"/>
      <w:bookmarkStart w:id="49" w:name="_Toc50456740"/>
      <w:r>
        <w:lastRenderedPageBreak/>
        <w:t xml:space="preserve">Tabulka </w:t>
      </w:r>
      <w:r w:rsidR="00C050DB">
        <w:fldChar w:fldCharType="begin"/>
      </w:r>
      <w:r w:rsidR="00C050DB">
        <w:instrText xml:space="preserve"> SEQ Tabulka \* ARABIC </w:instrText>
      </w:r>
      <w:r w:rsidR="00C050DB">
        <w:fldChar w:fldCharType="separate"/>
      </w:r>
      <w:r w:rsidR="00E96F43">
        <w:rPr>
          <w:noProof/>
        </w:rPr>
        <w:t>7</w:t>
      </w:r>
      <w:r w:rsidR="00C050DB">
        <w:rPr>
          <w:noProof/>
        </w:rPr>
        <w:fldChar w:fldCharType="end"/>
      </w:r>
      <w:r>
        <w:t xml:space="preserve">: Projekty ŘO, </w:t>
      </w:r>
      <w:bookmarkEnd w:id="48"/>
      <w:r>
        <w:t>2019</w:t>
      </w:r>
      <w:r w:rsidR="00DD776A">
        <w:t xml:space="preserve"> </w:t>
      </w:r>
      <w:r>
        <w:t>–</w:t>
      </w:r>
      <w:r w:rsidR="00DD776A">
        <w:t xml:space="preserve"> </w:t>
      </w:r>
      <w:r>
        <w:t>2021</w:t>
      </w:r>
      <w:bookmarkEnd w:id="49"/>
    </w:p>
    <w:tbl>
      <w:tblPr>
        <w:tblStyle w:val="Styl1"/>
        <w:tblW w:w="8789" w:type="dxa"/>
        <w:tblInd w:w="-5" w:type="dxa"/>
        <w:tblLook w:val="04A0" w:firstRow="1" w:lastRow="0" w:firstColumn="1" w:lastColumn="0" w:noHBand="0" w:noVBand="1"/>
      </w:tblPr>
      <w:tblGrid>
        <w:gridCol w:w="3544"/>
        <w:gridCol w:w="1559"/>
        <w:gridCol w:w="1560"/>
        <w:gridCol w:w="2126"/>
      </w:tblGrid>
      <w:tr w:rsidR="000F1C75" w14:paraId="246FD8CD" w14:textId="77777777" w:rsidTr="000F1C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544" w:type="dxa"/>
            <w:noWrap/>
            <w:hideMark/>
          </w:tcPr>
          <w:p w14:paraId="14344CF8" w14:textId="77777777" w:rsidR="000F1C75" w:rsidRDefault="000F1C75" w:rsidP="000F1C75">
            <w:pPr>
              <w:spacing w:after="0"/>
              <w:jc w:val="center"/>
              <w:rPr>
                <w:rFonts w:ascii="Calibri" w:eastAsia="Times New Roman" w:hAnsi="Calibri" w:cs="Calibri"/>
                <w:color w:val="000000"/>
                <w:sz w:val="24"/>
                <w:szCs w:val="24"/>
                <w:lang w:eastAsia="cs-CZ"/>
              </w:rPr>
            </w:pPr>
            <w:r>
              <w:rPr>
                <w:rFonts w:ascii="Calibri" w:eastAsia="Times New Roman" w:hAnsi="Calibri" w:cs="Calibri"/>
                <w:color w:val="FFFFFF"/>
                <w:sz w:val="18"/>
                <w:szCs w:val="18"/>
                <w:lang w:eastAsia="cs-CZ"/>
              </w:rPr>
              <w:t>Projekty ŘO 2019</w:t>
            </w:r>
            <w:r w:rsidR="00DD776A">
              <w:rPr>
                <w:rFonts w:ascii="Calibri" w:eastAsia="Times New Roman" w:hAnsi="Calibri" w:cs="Calibri"/>
                <w:color w:val="FFFFFF"/>
                <w:sz w:val="18"/>
                <w:szCs w:val="18"/>
                <w:lang w:eastAsia="cs-CZ"/>
              </w:rPr>
              <w:t xml:space="preserve"> </w:t>
            </w:r>
            <w:r>
              <w:rPr>
                <w:rFonts w:ascii="Calibri" w:eastAsia="Times New Roman" w:hAnsi="Calibri" w:cs="Calibri"/>
                <w:color w:val="FFFFFF"/>
                <w:sz w:val="18"/>
                <w:szCs w:val="18"/>
                <w:lang w:eastAsia="cs-CZ"/>
              </w:rPr>
              <w:t>–</w:t>
            </w:r>
            <w:r w:rsidR="00DD776A">
              <w:rPr>
                <w:rFonts w:ascii="Calibri" w:eastAsia="Times New Roman" w:hAnsi="Calibri" w:cs="Calibri"/>
                <w:color w:val="FFFFFF"/>
                <w:sz w:val="18"/>
                <w:szCs w:val="18"/>
                <w:lang w:eastAsia="cs-CZ"/>
              </w:rPr>
              <w:t xml:space="preserve"> </w:t>
            </w:r>
            <w:r>
              <w:rPr>
                <w:rFonts w:ascii="Calibri" w:eastAsia="Times New Roman" w:hAnsi="Calibri" w:cs="Calibri"/>
                <w:color w:val="FFFFFF"/>
                <w:sz w:val="18"/>
                <w:szCs w:val="18"/>
                <w:lang w:eastAsia="cs-CZ"/>
              </w:rPr>
              <w:t>2021</w:t>
            </w:r>
          </w:p>
        </w:tc>
        <w:tc>
          <w:tcPr>
            <w:tcW w:w="1559" w:type="dxa"/>
          </w:tcPr>
          <w:p w14:paraId="357972AD" w14:textId="77777777" w:rsidR="000F1C75" w:rsidRDefault="000F1C75" w:rsidP="000F1C75">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8"/>
                <w:szCs w:val="18"/>
                <w:lang w:eastAsia="cs-CZ"/>
              </w:rPr>
            </w:pPr>
            <w:r>
              <w:rPr>
                <w:rFonts w:ascii="Calibri" w:eastAsia="Times New Roman" w:hAnsi="Calibri" w:cs="Calibri"/>
                <w:color w:val="FFFFFF"/>
                <w:sz w:val="18"/>
                <w:szCs w:val="18"/>
                <w:lang w:eastAsia="cs-CZ"/>
              </w:rPr>
              <w:t>Rozpočet projektu</w:t>
            </w:r>
          </w:p>
        </w:tc>
        <w:tc>
          <w:tcPr>
            <w:tcW w:w="1560" w:type="dxa"/>
          </w:tcPr>
          <w:p w14:paraId="0F31339D" w14:textId="77777777" w:rsidR="000F1C75" w:rsidRDefault="000F1C75" w:rsidP="000F1C75">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8"/>
                <w:szCs w:val="18"/>
                <w:lang w:eastAsia="cs-CZ"/>
              </w:rPr>
            </w:pPr>
            <w:r>
              <w:rPr>
                <w:rFonts w:ascii="Calibri" w:eastAsia="Times New Roman" w:hAnsi="Calibri" w:cs="Calibri"/>
                <w:color w:val="FFFFFF"/>
                <w:sz w:val="18"/>
                <w:szCs w:val="18"/>
                <w:lang w:eastAsia="cs-CZ"/>
              </w:rPr>
              <w:t>% rozpočtu na odpovídajícím IP 2016–2018</w:t>
            </w:r>
          </w:p>
        </w:tc>
        <w:tc>
          <w:tcPr>
            <w:tcW w:w="2126" w:type="dxa"/>
            <w:hideMark/>
          </w:tcPr>
          <w:p w14:paraId="6D95BC90" w14:textId="77777777" w:rsidR="000F1C75" w:rsidRDefault="000F1C75" w:rsidP="000F1C75">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cs-CZ"/>
              </w:rPr>
            </w:pPr>
            <w:r>
              <w:rPr>
                <w:rFonts w:ascii="Calibri" w:eastAsia="Times New Roman" w:hAnsi="Calibri" w:cs="Calibri"/>
                <w:color w:val="FFFFFF"/>
                <w:sz w:val="18"/>
                <w:szCs w:val="18"/>
                <w:lang w:eastAsia="cs-CZ"/>
              </w:rPr>
              <w:t>Vyčerpáno k 31. 5. 2019</w:t>
            </w:r>
          </w:p>
        </w:tc>
      </w:tr>
      <w:tr w:rsidR="000F1C75" w14:paraId="1AEFA7A1" w14:textId="77777777" w:rsidTr="000F1C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4" w:type="dxa"/>
            <w:noWrap/>
            <w:hideMark/>
          </w:tcPr>
          <w:p w14:paraId="71DCE6F1" w14:textId="77777777" w:rsidR="000F1C75" w:rsidRDefault="000F1C75" w:rsidP="000F1C75">
            <w:pPr>
              <w:spacing w:after="0"/>
              <w:rPr>
                <w:rFonts w:ascii="Calibri" w:eastAsia="Times New Roman" w:hAnsi="Calibri" w:cs="Calibri"/>
                <w:color w:val="000000"/>
                <w:sz w:val="24"/>
                <w:szCs w:val="24"/>
                <w:lang w:eastAsia="cs-CZ"/>
              </w:rPr>
            </w:pPr>
            <w:r>
              <w:rPr>
                <w:rFonts w:ascii="Calibri" w:eastAsia="Times New Roman" w:hAnsi="Calibri" w:cs="Calibri"/>
                <w:color w:val="000000"/>
                <w:sz w:val="18"/>
                <w:szCs w:val="18"/>
                <w:lang w:eastAsia="cs-CZ"/>
              </w:rPr>
              <w:t>EXTERNÍ SLUŽBY</w:t>
            </w:r>
          </w:p>
        </w:tc>
        <w:tc>
          <w:tcPr>
            <w:tcW w:w="1559" w:type="dxa"/>
          </w:tcPr>
          <w:p w14:paraId="4294ADC7" w14:textId="77777777" w:rsidR="000F1C75" w:rsidRPr="00A819E6" w:rsidRDefault="000F1C75" w:rsidP="000F1C75">
            <w:pPr>
              <w:spacing w:after="0"/>
              <w:ind w:right="1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sidRPr="00733FC5">
              <w:rPr>
                <w:rFonts w:ascii="Calibri" w:eastAsia="Times New Roman" w:hAnsi="Calibri" w:cs="Calibri"/>
                <w:color w:val="000000"/>
                <w:sz w:val="18"/>
                <w:szCs w:val="18"/>
                <w:lang w:eastAsia="cs-CZ"/>
              </w:rPr>
              <w:t>65 000 000</w:t>
            </w:r>
          </w:p>
        </w:tc>
        <w:tc>
          <w:tcPr>
            <w:tcW w:w="1560" w:type="dxa"/>
          </w:tcPr>
          <w:p w14:paraId="5CDB7971" w14:textId="77777777" w:rsidR="000F1C75" w:rsidRPr="00565D62" w:rsidRDefault="000F1C75" w:rsidP="000F1C75">
            <w:pPr>
              <w:spacing w:after="0"/>
              <w:ind w:right="1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sidRPr="00565D62">
              <w:rPr>
                <w:rFonts w:ascii="Calibri" w:eastAsia="Times New Roman" w:hAnsi="Calibri" w:cs="Calibri"/>
                <w:color w:val="000000"/>
                <w:sz w:val="18"/>
                <w:szCs w:val="18"/>
                <w:lang w:eastAsia="cs-CZ"/>
              </w:rPr>
              <w:t>72,2</w:t>
            </w:r>
          </w:p>
        </w:tc>
        <w:tc>
          <w:tcPr>
            <w:tcW w:w="2126" w:type="dxa"/>
            <w:noWrap/>
          </w:tcPr>
          <w:p w14:paraId="6ACECF32" w14:textId="77777777" w:rsidR="000F1C75" w:rsidRPr="00A819E6"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sidRPr="00565D62">
              <w:rPr>
                <w:rFonts w:ascii="Calibri" w:eastAsia="Times New Roman" w:hAnsi="Calibri" w:cs="Calibri"/>
                <w:color w:val="000000"/>
                <w:sz w:val="18"/>
                <w:szCs w:val="18"/>
                <w:lang w:eastAsia="cs-CZ"/>
              </w:rPr>
              <w:t>359 689,64</w:t>
            </w:r>
          </w:p>
        </w:tc>
      </w:tr>
      <w:tr w:rsidR="000F1C75" w14:paraId="021B0EB7" w14:textId="77777777" w:rsidTr="000F1C75">
        <w:trPr>
          <w:trHeight w:val="300"/>
        </w:trPr>
        <w:tc>
          <w:tcPr>
            <w:cnfStyle w:val="001000000000" w:firstRow="0" w:lastRow="0" w:firstColumn="1" w:lastColumn="0" w:oddVBand="0" w:evenVBand="0" w:oddHBand="0" w:evenHBand="0" w:firstRowFirstColumn="0" w:firstRowLastColumn="0" w:lastRowFirstColumn="0" w:lastRowLastColumn="0"/>
            <w:tcW w:w="3544" w:type="dxa"/>
            <w:noWrap/>
            <w:hideMark/>
          </w:tcPr>
          <w:p w14:paraId="76FE85B4" w14:textId="77777777" w:rsidR="000F1C75" w:rsidRDefault="000F1C75" w:rsidP="000F1C75">
            <w:pPr>
              <w:spacing w:after="0"/>
              <w:rPr>
                <w:rFonts w:ascii="Calibri" w:eastAsia="Times New Roman" w:hAnsi="Calibri" w:cs="Calibri"/>
                <w:color w:val="000000"/>
                <w:sz w:val="24"/>
                <w:szCs w:val="24"/>
                <w:lang w:eastAsia="cs-CZ"/>
              </w:rPr>
            </w:pPr>
            <w:r>
              <w:rPr>
                <w:rFonts w:ascii="Calibri" w:eastAsia="Times New Roman" w:hAnsi="Calibri" w:cs="Calibri"/>
                <w:color w:val="000000"/>
                <w:sz w:val="18"/>
                <w:szCs w:val="18"/>
                <w:lang w:eastAsia="cs-CZ"/>
              </w:rPr>
              <w:t>PROVOZNÍ VÝDAJE</w:t>
            </w:r>
          </w:p>
        </w:tc>
        <w:tc>
          <w:tcPr>
            <w:tcW w:w="1559" w:type="dxa"/>
          </w:tcPr>
          <w:p w14:paraId="1D5C4FC4" w14:textId="77777777" w:rsidR="000F1C75" w:rsidRPr="00A819E6" w:rsidRDefault="000F1C75" w:rsidP="000F1C75">
            <w:pPr>
              <w:spacing w:after="0"/>
              <w:ind w:right="14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cs-CZ"/>
              </w:rPr>
            </w:pPr>
            <w:r w:rsidRPr="00733FC5">
              <w:rPr>
                <w:rFonts w:ascii="Calibri" w:eastAsia="Times New Roman" w:hAnsi="Calibri" w:cs="Calibri"/>
                <w:color w:val="000000"/>
                <w:sz w:val="18"/>
                <w:szCs w:val="18"/>
                <w:lang w:eastAsia="cs-CZ"/>
              </w:rPr>
              <w:t>18 000 000</w:t>
            </w:r>
          </w:p>
        </w:tc>
        <w:tc>
          <w:tcPr>
            <w:tcW w:w="1560" w:type="dxa"/>
          </w:tcPr>
          <w:p w14:paraId="796CD1F7" w14:textId="77777777" w:rsidR="000F1C75" w:rsidRPr="00565D62" w:rsidRDefault="000F1C75" w:rsidP="000F1C75">
            <w:pPr>
              <w:spacing w:after="0"/>
              <w:ind w:right="14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cs-CZ"/>
              </w:rPr>
            </w:pPr>
            <w:r w:rsidRPr="00565D62">
              <w:rPr>
                <w:rFonts w:ascii="Calibri" w:eastAsia="Times New Roman" w:hAnsi="Calibri" w:cs="Calibri"/>
                <w:color w:val="000000"/>
                <w:sz w:val="18"/>
                <w:szCs w:val="18"/>
                <w:lang w:eastAsia="cs-CZ"/>
              </w:rPr>
              <w:t>120,0</w:t>
            </w:r>
          </w:p>
        </w:tc>
        <w:tc>
          <w:tcPr>
            <w:tcW w:w="2126" w:type="dxa"/>
            <w:noWrap/>
          </w:tcPr>
          <w:p w14:paraId="5EBFE0AC" w14:textId="77777777" w:rsidR="000F1C75" w:rsidRPr="00A819E6"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cs-CZ"/>
              </w:rPr>
            </w:pPr>
            <w:r w:rsidRPr="00565D62">
              <w:rPr>
                <w:rFonts w:ascii="Calibri" w:eastAsia="Times New Roman" w:hAnsi="Calibri" w:cs="Calibri"/>
                <w:color w:val="000000"/>
                <w:sz w:val="18"/>
                <w:szCs w:val="18"/>
                <w:lang w:eastAsia="cs-CZ"/>
              </w:rPr>
              <w:t>509 079,48</w:t>
            </w:r>
          </w:p>
        </w:tc>
      </w:tr>
      <w:tr w:rsidR="000F1C75" w14:paraId="7B28402F" w14:textId="77777777" w:rsidTr="000F1C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4" w:type="dxa"/>
            <w:noWrap/>
            <w:hideMark/>
          </w:tcPr>
          <w:p w14:paraId="631028FE" w14:textId="77777777" w:rsidR="000F1C75" w:rsidRDefault="000F1C75" w:rsidP="000F1C75">
            <w:pPr>
              <w:spacing w:after="0"/>
              <w:rPr>
                <w:rFonts w:ascii="Calibri" w:eastAsia="Times New Roman" w:hAnsi="Calibri" w:cs="Calibri"/>
                <w:color w:val="000000"/>
                <w:sz w:val="24"/>
                <w:szCs w:val="24"/>
                <w:lang w:eastAsia="cs-CZ"/>
              </w:rPr>
            </w:pPr>
            <w:r>
              <w:rPr>
                <w:rFonts w:ascii="Calibri" w:eastAsia="Times New Roman" w:hAnsi="Calibri" w:cs="Calibri"/>
                <w:color w:val="000000"/>
                <w:sz w:val="18"/>
                <w:szCs w:val="18"/>
                <w:lang w:eastAsia="cs-CZ"/>
              </w:rPr>
              <w:t>OSOBNÍ NÁKLADY</w:t>
            </w:r>
          </w:p>
        </w:tc>
        <w:tc>
          <w:tcPr>
            <w:tcW w:w="1559" w:type="dxa"/>
          </w:tcPr>
          <w:p w14:paraId="7E01800C" w14:textId="77777777" w:rsidR="000F1C75" w:rsidRPr="00A819E6" w:rsidRDefault="000F1C75" w:rsidP="000F1C75">
            <w:pPr>
              <w:spacing w:after="0"/>
              <w:ind w:right="1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sidRPr="00733FC5">
              <w:rPr>
                <w:rFonts w:ascii="Calibri" w:eastAsia="Times New Roman" w:hAnsi="Calibri" w:cs="Calibri"/>
                <w:color w:val="000000"/>
                <w:sz w:val="18"/>
                <w:szCs w:val="18"/>
                <w:lang w:eastAsia="cs-CZ"/>
              </w:rPr>
              <w:t>750 000 000</w:t>
            </w:r>
          </w:p>
        </w:tc>
        <w:tc>
          <w:tcPr>
            <w:tcW w:w="1560" w:type="dxa"/>
          </w:tcPr>
          <w:p w14:paraId="1A9A5328" w14:textId="77777777" w:rsidR="000F1C75" w:rsidRPr="00565D62" w:rsidRDefault="000F1C75" w:rsidP="000F1C75">
            <w:pPr>
              <w:spacing w:after="0"/>
              <w:ind w:right="1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sidRPr="00565D62">
              <w:rPr>
                <w:rFonts w:ascii="Calibri" w:eastAsia="Times New Roman" w:hAnsi="Calibri" w:cs="Calibri"/>
                <w:color w:val="000000"/>
                <w:sz w:val="18"/>
                <w:szCs w:val="18"/>
                <w:lang w:eastAsia="cs-CZ"/>
              </w:rPr>
              <w:t>107,1</w:t>
            </w:r>
          </w:p>
        </w:tc>
        <w:tc>
          <w:tcPr>
            <w:tcW w:w="2126" w:type="dxa"/>
            <w:noWrap/>
          </w:tcPr>
          <w:p w14:paraId="2D74F6AE" w14:textId="77777777" w:rsidR="000F1C75" w:rsidRPr="00A819E6"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sidRPr="00565D62">
              <w:rPr>
                <w:rFonts w:ascii="Calibri" w:eastAsia="Times New Roman" w:hAnsi="Calibri" w:cs="Calibri"/>
                <w:color w:val="000000"/>
                <w:sz w:val="18"/>
                <w:szCs w:val="18"/>
                <w:lang w:eastAsia="cs-CZ"/>
              </w:rPr>
              <w:t>80 094 188,00</w:t>
            </w:r>
          </w:p>
        </w:tc>
      </w:tr>
      <w:tr w:rsidR="000F1C75" w14:paraId="49FD66CF" w14:textId="77777777" w:rsidTr="000F1C75">
        <w:trPr>
          <w:trHeight w:val="300"/>
        </w:trPr>
        <w:tc>
          <w:tcPr>
            <w:cnfStyle w:val="001000000000" w:firstRow="0" w:lastRow="0" w:firstColumn="1" w:lastColumn="0" w:oddVBand="0" w:evenVBand="0" w:oddHBand="0" w:evenHBand="0" w:firstRowFirstColumn="0" w:firstRowLastColumn="0" w:lastRowFirstColumn="0" w:lastRowLastColumn="0"/>
            <w:tcW w:w="3544" w:type="dxa"/>
            <w:noWrap/>
            <w:hideMark/>
          </w:tcPr>
          <w:p w14:paraId="52333625" w14:textId="77777777" w:rsidR="000F1C75" w:rsidRDefault="000F1C75" w:rsidP="000F1C75">
            <w:pPr>
              <w:spacing w:after="0"/>
              <w:rPr>
                <w:rFonts w:ascii="Calibri" w:eastAsia="Times New Roman" w:hAnsi="Calibri" w:cs="Calibri"/>
                <w:color w:val="000000"/>
                <w:sz w:val="24"/>
                <w:szCs w:val="24"/>
                <w:lang w:eastAsia="cs-CZ"/>
              </w:rPr>
            </w:pPr>
            <w:r>
              <w:rPr>
                <w:rFonts w:ascii="Calibri" w:eastAsia="Times New Roman" w:hAnsi="Calibri" w:cs="Calibri"/>
                <w:color w:val="000000"/>
                <w:sz w:val="18"/>
                <w:szCs w:val="18"/>
                <w:lang w:eastAsia="cs-CZ"/>
              </w:rPr>
              <w:t xml:space="preserve">VZDĚLÁVÁNÍ IMPLEMENTAČNÍ STRUKTURY </w:t>
            </w:r>
          </w:p>
        </w:tc>
        <w:tc>
          <w:tcPr>
            <w:tcW w:w="1559" w:type="dxa"/>
          </w:tcPr>
          <w:p w14:paraId="11B11903" w14:textId="77777777" w:rsidR="000F1C75" w:rsidRPr="00A819E6" w:rsidRDefault="000F1C75" w:rsidP="000F1C75">
            <w:pPr>
              <w:spacing w:after="0"/>
              <w:ind w:right="14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cs-CZ"/>
              </w:rPr>
            </w:pPr>
            <w:r w:rsidRPr="00733FC5">
              <w:rPr>
                <w:rFonts w:ascii="Calibri" w:eastAsia="Times New Roman" w:hAnsi="Calibri" w:cs="Calibri"/>
                <w:color w:val="000000"/>
                <w:sz w:val="18"/>
                <w:szCs w:val="18"/>
                <w:lang w:eastAsia="cs-CZ"/>
              </w:rPr>
              <w:t>9 000 000</w:t>
            </w:r>
          </w:p>
        </w:tc>
        <w:tc>
          <w:tcPr>
            <w:tcW w:w="1560" w:type="dxa"/>
          </w:tcPr>
          <w:p w14:paraId="52194D53" w14:textId="77777777" w:rsidR="000F1C75" w:rsidRPr="00565D62" w:rsidRDefault="000F1C75" w:rsidP="000F1C75">
            <w:pPr>
              <w:spacing w:after="0"/>
              <w:ind w:right="14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cs-CZ"/>
              </w:rPr>
            </w:pPr>
            <w:r w:rsidRPr="00565D62">
              <w:rPr>
                <w:rFonts w:ascii="Calibri" w:eastAsia="Times New Roman" w:hAnsi="Calibri" w:cs="Calibri"/>
                <w:color w:val="000000"/>
                <w:sz w:val="18"/>
                <w:szCs w:val="18"/>
                <w:lang w:eastAsia="cs-CZ"/>
              </w:rPr>
              <w:t>100,0</w:t>
            </w:r>
          </w:p>
        </w:tc>
        <w:tc>
          <w:tcPr>
            <w:tcW w:w="2126" w:type="dxa"/>
            <w:noWrap/>
          </w:tcPr>
          <w:p w14:paraId="2FB83CB3" w14:textId="77777777" w:rsidR="000F1C75" w:rsidRPr="00A819E6"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cs-CZ"/>
              </w:rPr>
            </w:pPr>
            <w:r w:rsidRPr="00565D62">
              <w:rPr>
                <w:rFonts w:ascii="Calibri" w:eastAsia="Times New Roman" w:hAnsi="Calibri" w:cs="Calibri"/>
                <w:color w:val="000000"/>
                <w:sz w:val="18"/>
                <w:szCs w:val="18"/>
                <w:lang w:eastAsia="cs-CZ"/>
              </w:rPr>
              <w:t>899 852,64</w:t>
            </w:r>
          </w:p>
        </w:tc>
      </w:tr>
      <w:tr w:rsidR="000F1C75" w14:paraId="5E66E613" w14:textId="77777777" w:rsidTr="000F1C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4" w:type="dxa"/>
            <w:noWrap/>
            <w:hideMark/>
          </w:tcPr>
          <w:p w14:paraId="195DED7E" w14:textId="77777777" w:rsidR="000F1C75" w:rsidRDefault="000F1C75" w:rsidP="000F1C75">
            <w:pPr>
              <w:spacing w:after="0"/>
              <w:rPr>
                <w:rFonts w:ascii="Calibri" w:eastAsia="Times New Roman" w:hAnsi="Calibri" w:cs="Calibri"/>
                <w:color w:val="000000"/>
                <w:sz w:val="24"/>
                <w:szCs w:val="24"/>
                <w:lang w:eastAsia="cs-CZ"/>
              </w:rPr>
            </w:pPr>
            <w:r>
              <w:rPr>
                <w:rFonts w:ascii="Calibri" w:eastAsia="Times New Roman" w:hAnsi="Calibri" w:cs="Calibri"/>
                <w:color w:val="000000"/>
                <w:sz w:val="18"/>
                <w:szCs w:val="18"/>
                <w:lang w:eastAsia="cs-CZ"/>
              </w:rPr>
              <w:t>PLATFORMY, KULATÉ STOLY A JINÉ</w:t>
            </w:r>
          </w:p>
        </w:tc>
        <w:tc>
          <w:tcPr>
            <w:tcW w:w="1559" w:type="dxa"/>
          </w:tcPr>
          <w:p w14:paraId="436CA987" w14:textId="77777777" w:rsidR="000F1C75" w:rsidRPr="00A819E6" w:rsidRDefault="000F1C75" w:rsidP="000F1C75">
            <w:pPr>
              <w:spacing w:after="0"/>
              <w:ind w:right="1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sidRPr="00733FC5">
              <w:rPr>
                <w:rFonts w:ascii="Calibri" w:eastAsia="Times New Roman" w:hAnsi="Calibri" w:cs="Calibri"/>
                <w:color w:val="000000"/>
                <w:sz w:val="18"/>
                <w:szCs w:val="18"/>
                <w:lang w:eastAsia="cs-CZ"/>
              </w:rPr>
              <w:t>750 000</w:t>
            </w:r>
          </w:p>
        </w:tc>
        <w:tc>
          <w:tcPr>
            <w:tcW w:w="1560" w:type="dxa"/>
          </w:tcPr>
          <w:p w14:paraId="3AB08712" w14:textId="77777777" w:rsidR="000F1C75" w:rsidRPr="00565D62" w:rsidRDefault="000F1C75" w:rsidP="000F1C75">
            <w:pPr>
              <w:spacing w:after="0"/>
              <w:ind w:right="1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sidRPr="00565D62">
              <w:rPr>
                <w:rFonts w:ascii="Calibri" w:eastAsia="Times New Roman" w:hAnsi="Calibri" w:cs="Calibri"/>
                <w:color w:val="000000"/>
                <w:sz w:val="18"/>
                <w:szCs w:val="18"/>
                <w:lang w:eastAsia="cs-CZ"/>
              </w:rPr>
              <w:t>25,0</w:t>
            </w:r>
          </w:p>
        </w:tc>
        <w:tc>
          <w:tcPr>
            <w:tcW w:w="2126" w:type="dxa"/>
            <w:noWrap/>
          </w:tcPr>
          <w:p w14:paraId="213A8E04" w14:textId="77777777" w:rsidR="000F1C75" w:rsidRPr="00A819E6"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sidRPr="00565D62">
              <w:rPr>
                <w:rFonts w:ascii="Calibri" w:eastAsia="Times New Roman" w:hAnsi="Calibri" w:cs="Calibri"/>
                <w:color w:val="000000"/>
                <w:sz w:val="18"/>
                <w:szCs w:val="18"/>
                <w:lang w:eastAsia="cs-CZ"/>
              </w:rPr>
              <w:t>37 790,00</w:t>
            </w:r>
          </w:p>
        </w:tc>
      </w:tr>
      <w:tr w:rsidR="000F1C75" w14:paraId="5DD38D27" w14:textId="77777777" w:rsidTr="000F1C75">
        <w:trPr>
          <w:trHeight w:val="300"/>
        </w:trPr>
        <w:tc>
          <w:tcPr>
            <w:cnfStyle w:val="001000000000" w:firstRow="0" w:lastRow="0" w:firstColumn="1" w:lastColumn="0" w:oddVBand="0" w:evenVBand="0" w:oddHBand="0" w:evenHBand="0" w:firstRowFirstColumn="0" w:firstRowLastColumn="0" w:lastRowFirstColumn="0" w:lastRowLastColumn="0"/>
            <w:tcW w:w="3544" w:type="dxa"/>
            <w:noWrap/>
            <w:hideMark/>
          </w:tcPr>
          <w:p w14:paraId="2C9550B4" w14:textId="77777777" w:rsidR="000F1C75" w:rsidRDefault="000F1C75" w:rsidP="000F1C75">
            <w:pPr>
              <w:spacing w:after="0"/>
              <w:rPr>
                <w:rFonts w:ascii="Calibri" w:eastAsia="Times New Roman" w:hAnsi="Calibri" w:cs="Calibri"/>
                <w:color w:val="000000"/>
                <w:sz w:val="24"/>
                <w:szCs w:val="24"/>
                <w:lang w:eastAsia="cs-CZ"/>
              </w:rPr>
            </w:pPr>
            <w:r>
              <w:rPr>
                <w:rFonts w:ascii="Calibri" w:eastAsia="Times New Roman" w:hAnsi="Calibri" w:cs="Calibri"/>
                <w:color w:val="000000"/>
                <w:sz w:val="18"/>
                <w:szCs w:val="18"/>
                <w:lang w:eastAsia="cs-CZ"/>
              </w:rPr>
              <w:t>MONITOROVACÍ VÝBOR</w:t>
            </w:r>
          </w:p>
        </w:tc>
        <w:tc>
          <w:tcPr>
            <w:tcW w:w="1559" w:type="dxa"/>
          </w:tcPr>
          <w:p w14:paraId="7745CF25" w14:textId="77777777" w:rsidR="000F1C75" w:rsidRPr="00A819E6" w:rsidRDefault="000F1C75" w:rsidP="000F1C75">
            <w:pPr>
              <w:spacing w:after="0"/>
              <w:ind w:right="14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cs-CZ"/>
              </w:rPr>
            </w:pPr>
            <w:r w:rsidRPr="00733FC5">
              <w:rPr>
                <w:rFonts w:ascii="Calibri" w:eastAsia="Times New Roman" w:hAnsi="Calibri" w:cs="Calibri"/>
                <w:color w:val="000000"/>
                <w:sz w:val="18"/>
                <w:szCs w:val="18"/>
                <w:lang w:eastAsia="cs-CZ"/>
              </w:rPr>
              <w:t>2 250 000</w:t>
            </w:r>
          </w:p>
        </w:tc>
        <w:tc>
          <w:tcPr>
            <w:tcW w:w="1560" w:type="dxa"/>
          </w:tcPr>
          <w:p w14:paraId="4C28C2C4" w14:textId="77777777" w:rsidR="000F1C75" w:rsidRPr="00565D62" w:rsidRDefault="000F1C75" w:rsidP="000F1C75">
            <w:pPr>
              <w:spacing w:after="0"/>
              <w:ind w:right="14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cs-CZ"/>
              </w:rPr>
            </w:pPr>
            <w:r w:rsidRPr="00565D62">
              <w:rPr>
                <w:rFonts w:ascii="Calibri" w:eastAsia="Times New Roman" w:hAnsi="Calibri" w:cs="Calibri"/>
                <w:color w:val="000000"/>
                <w:sz w:val="18"/>
                <w:szCs w:val="18"/>
                <w:lang w:eastAsia="cs-CZ"/>
              </w:rPr>
              <w:t>56,3</w:t>
            </w:r>
          </w:p>
        </w:tc>
        <w:tc>
          <w:tcPr>
            <w:tcW w:w="2126" w:type="dxa"/>
            <w:noWrap/>
          </w:tcPr>
          <w:p w14:paraId="52C4AAA6" w14:textId="77777777" w:rsidR="000F1C75" w:rsidRPr="00A819E6"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0</w:t>
            </w:r>
          </w:p>
        </w:tc>
      </w:tr>
      <w:tr w:rsidR="000F1C75" w14:paraId="02246306" w14:textId="77777777" w:rsidTr="000F1C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4" w:type="dxa"/>
            <w:noWrap/>
            <w:hideMark/>
          </w:tcPr>
          <w:p w14:paraId="17DAEBC2" w14:textId="77777777" w:rsidR="000F1C75" w:rsidRDefault="000F1C75" w:rsidP="000F1C75">
            <w:pPr>
              <w:spacing w:after="0"/>
              <w:rPr>
                <w:rFonts w:ascii="Calibri" w:eastAsia="Times New Roman" w:hAnsi="Calibri" w:cs="Calibri"/>
                <w:color w:val="000000"/>
                <w:sz w:val="24"/>
                <w:szCs w:val="24"/>
                <w:lang w:eastAsia="cs-CZ"/>
              </w:rPr>
            </w:pPr>
            <w:r>
              <w:rPr>
                <w:rFonts w:ascii="Calibri" w:eastAsia="Times New Roman" w:hAnsi="Calibri" w:cs="Calibri"/>
                <w:color w:val="000000"/>
                <w:sz w:val="18"/>
                <w:szCs w:val="18"/>
                <w:lang w:eastAsia="cs-CZ"/>
              </w:rPr>
              <w:t xml:space="preserve">KANCELÁŘSKÁ A PROVOZNÍ TECHNIKA </w:t>
            </w:r>
          </w:p>
        </w:tc>
        <w:tc>
          <w:tcPr>
            <w:tcW w:w="1559" w:type="dxa"/>
          </w:tcPr>
          <w:p w14:paraId="44933C1B" w14:textId="77777777" w:rsidR="000F1C75" w:rsidRPr="00A819E6" w:rsidRDefault="000F1C75" w:rsidP="000F1C75">
            <w:pPr>
              <w:spacing w:after="0"/>
              <w:ind w:right="1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sidRPr="00733FC5">
              <w:rPr>
                <w:rFonts w:ascii="Calibri" w:eastAsia="Times New Roman" w:hAnsi="Calibri" w:cs="Calibri"/>
                <w:color w:val="000000"/>
                <w:sz w:val="18"/>
                <w:szCs w:val="18"/>
                <w:lang w:eastAsia="cs-CZ"/>
              </w:rPr>
              <w:t>18 000 000</w:t>
            </w:r>
          </w:p>
        </w:tc>
        <w:tc>
          <w:tcPr>
            <w:tcW w:w="1560" w:type="dxa"/>
          </w:tcPr>
          <w:p w14:paraId="5F75AE59" w14:textId="77777777" w:rsidR="000F1C75" w:rsidRPr="00565D62" w:rsidRDefault="000F1C75" w:rsidP="000F1C75">
            <w:pPr>
              <w:spacing w:after="0"/>
              <w:ind w:right="1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sidRPr="00565D62">
              <w:rPr>
                <w:rFonts w:ascii="Calibri" w:eastAsia="Times New Roman" w:hAnsi="Calibri" w:cs="Calibri"/>
                <w:color w:val="000000"/>
                <w:sz w:val="18"/>
                <w:szCs w:val="18"/>
                <w:lang w:eastAsia="cs-CZ"/>
              </w:rPr>
              <w:t>100,0</w:t>
            </w:r>
          </w:p>
        </w:tc>
        <w:tc>
          <w:tcPr>
            <w:tcW w:w="2126" w:type="dxa"/>
            <w:noWrap/>
          </w:tcPr>
          <w:p w14:paraId="40AE84AB" w14:textId="77777777" w:rsidR="000F1C75" w:rsidRPr="00A819E6"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0</w:t>
            </w:r>
          </w:p>
        </w:tc>
      </w:tr>
      <w:tr w:rsidR="000F1C75" w14:paraId="41293DD7" w14:textId="77777777" w:rsidTr="000F1C75">
        <w:trPr>
          <w:trHeight w:val="300"/>
        </w:trPr>
        <w:tc>
          <w:tcPr>
            <w:cnfStyle w:val="001000000000" w:firstRow="0" w:lastRow="0" w:firstColumn="1" w:lastColumn="0" w:oddVBand="0" w:evenVBand="0" w:oddHBand="0" w:evenHBand="0" w:firstRowFirstColumn="0" w:firstRowLastColumn="0" w:lastRowFirstColumn="0" w:lastRowLastColumn="0"/>
            <w:tcW w:w="3544" w:type="dxa"/>
            <w:noWrap/>
            <w:hideMark/>
          </w:tcPr>
          <w:p w14:paraId="48F79AEC" w14:textId="77777777" w:rsidR="000F1C75" w:rsidRDefault="000F1C75" w:rsidP="000F1C75">
            <w:pPr>
              <w:spacing w:after="0"/>
              <w:rPr>
                <w:rFonts w:ascii="Calibri" w:eastAsia="Times New Roman" w:hAnsi="Calibri" w:cs="Calibri"/>
                <w:color w:val="000000"/>
                <w:sz w:val="24"/>
                <w:szCs w:val="24"/>
                <w:lang w:eastAsia="cs-CZ"/>
              </w:rPr>
            </w:pPr>
            <w:r>
              <w:rPr>
                <w:rFonts w:ascii="Calibri" w:eastAsia="Times New Roman" w:hAnsi="Calibri" w:cs="Calibri"/>
                <w:color w:val="000000"/>
                <w:sz w:val="18"/>
                <w:szCs w:val="18"/>
                <w:lang w:eastAsia="cs-CZ"/>
              </w:rPr>
              <w:t>HODNOCENÍ, STUDIE A ANALÝZY</w:t>
            </w:r>
          </w:p>
        </w:tc>
        <w:tc>
          <w:tcPr>
            <w:tcW w:w="1559" w:type="dxa"/>
          </w:tcPr>
          <w:p w14:paraId="5DFF1CFC" w14:textId="77777777" w:rsidR="000F1C75" w:rsidRPr="00A819E6" w:rsidRDefault="000F1C75" w:rsidP="000F1C75">
            <w:pPr>
              <w:spacing w:after="0"/>
              <w:ind w:right="14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cs-CZ"/>
              </w:rPr>
            </w:pPr>
            <w:r w:rsidRPr="00733FC5">
              <w:rPr>
                <w:rFonts w:ascii="Calibri" w:eastAsia="Times New Roman" w:hAnsi="Calibri" w:cs="Calibri"/>
                <w:color w:val="000000"/>
                <w:sz w:val="18"/>
                <w:szCs w:val="18"/>
                <w:lang w:eastAsia="cs-CZ"/>
              </w:rPr>
              <w:t>20 000 000</w:t>
            </w:r>
          </w:p>
        </w:tc>
        <w:tc>
          <w:tcPr>
            <w:tcW w:w="1560" w:type="dxa"/>
          </w:tcPr>
          <w:p w14:paraId="1F07EACE" w14:textId="77777777" w:rsidR="000F1C75" w:rsidRPr="00565D62" w:rsidRDefault="000F1C75" w:rsidP="000F1C75">
            <w:pPr>
              <w:spacing w:after="0"/>
              <w:ind w:right="14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cs-CZ"/>
              </w:rPr>
            </w:pPr>
            <w:r w:rsidRPr="00565D62">
              <w:rPr>
                <w:rFonts w:ascii="Calibri" w:eastAsia="Times New Roman" w:hAnsi="Calibri" w:cs="Calibri"/>
                <w:color w:val="000000"/>
                <w:sz w:val="18"/>
                <w:szCs w:val="18"/>
                <w:lang w:eastAsia="cs-CZ"/>
              </w:rPr>
              <w:t>166,7</w:t>
            </w:r>
          </w:p>
        </w:tc>
        <w:tc>
          <w:tcPr>
            <w:tcW w:w="2126" w:type="dxa"/>
            <w:noWrap/>
          </w:tcPr>
          <w:p w14:paraId="0DC7B2F6" w14:textId="77777777" w:rsidR="000F1C75" w:rsidRPr="00A819E6"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cs-CZ"/>
              </w:rPr>
            </w:pPr>
            <w:r w:rsidRPr="00565D62">
              <w:rPr>
                <w:rFonts w:ascii="Calibri" w:eastAsia="Times New Roman" w:hAnsi="Calibri" w:cs="Calibri"/>
                <w:color w:val="000000"/>
                <w:sz w:val="18"/>
                <w:szCs w:val="18"/>
                <w:lang w:eastAsia="cs-CZ"/>
              </w:rPr>
              <w:t>1 222 173,97</w:t>
            </w:r>
          </w:p>
        </w:tc>
      </w:tr>
      <w:tr w:rsidR="000F1C75" w14:paraId="1E88834F" w14:textId="77777777" w:rsidTr="000F1C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4" w:type="dxa"/>
            <w:noWrap/>
            <w:hideMark/>
          </w:tcPr>
          <w:p w14:paraId="66363CF7" w14:textId="77777777" w:rsidR="000F1C75" w:rsidRDefault="000F1C75" w:rsidP="000F1C75">
            <w:pPr>
              <w:spacing w:after="0"/>
              <w:rPr>
                <w:rFonts w:ascii="Calibri" w:eastAsia="Times New Roman" w:hAnsi="Calibri" w:cs="Calibri"/>
                <w:color w:val="000000"/>
                <w:sz w:val="24"/>
                <w:szCs w:val="24"/>
                <w:lang w:eastAsia="cs-CZ"/>
              </w:rPr>
            </w:pPr>
            <w:r>
              <w:rPr>
                <w:rFonts w:ascii="Calibri" w:eastAsia="Times New Roman" w:hAnsi="Calibri" w:cs="Calibri"/>
                <w:color w:val="000000"/>
                <w:sz w:val="18"/>
                <w:szCs w:val="18"/>
                <w:lang w:eastAsia="cs-CZ"/>
              </w:rPr>
              <w:t xml:space="preserve">PUBLICITA </w:t>
            </w:r>
          </w:p>
        </w:tc>
        <w:tc>
          <w:tcPr>
            <w:tcW w:w="1559" w:type="dxa"/>
          </w:tcPr>
          <w:p w14:paraId="49CDC418" w14:textId="77777777" w:rsidR="000F1C75" w:rsidRPr="00A819E6" w:rsidRDefault="000F1C75" w:rsidP="000F1C75">
            <w:pPr>
              <w:spacing w:after="0"/>
              <w:ind w:right="1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sidRPr="00733FC5">
              <w:rPr>
                <w:rFonts w:ascii="Calibri" w:eastAsia="Times New Roman" w:hAnsi="Calibri" w:cs="Calibri"/>
                <w:color w:val="000000"/>
                <w:sz w:val="18"/>
                <w:szCs w:val="18"/>
                <w:lang w:eastAsia="cs-CZ"/>
              </w:rPr>
              <w:t>60 000 000</w:t>
            </w:r>
          </w:p>
        </w:tc>
        <w:tc>
          <w:tcPr>
            <w:tcW w:w="1560" w:type="dxa"/>
          </w:tcPr>
          <w:p w14:paraId="75E8A9ED" w14:textId="77777777" w:rsidR="000F1C75" w:rsidRPr="00565D62" w:rsidRDefault="000F1C75" w:rsidP="000F1C75">
            <w:pPr>
              <w:spacing w:after="0"/>
              <w:ind w:right="1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sidRPr="00565D62">
              <w:rPr>
                <w:rFonts w:ascii="Calibri" w:eastAsia="Times New Roman" w:hAnsi="Calibri" w:cs="Calibri"/>
                <w:color w:val="000000"/>
                <w:sz w:val="18"/>
                <w:szCs w:val="18"/>
                <w:lang w:eastAsia="cs-CZ"/>
              </w:rPr>
              <w:t>74,1</w:t>
            </w:r>
          </w:p>
        </w:tc>
        <w:tc>
          <w:tcPr>
            <w:tcW w:w="2126" w:type="dxa"/>
            <w:noWrap/>
          </w:tcPr>
          <w:p w14:paraId="79CBE7CC" w14:textId="77777777" w:rsidR="000F1C75" w:rsidRPr="00A819E6"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sidRPr="00565D62">
              <w:rPr>
                <w:rFonts w:ascii="Calibri" w:eastAsia="Times New Roman" w:hAnsi="Calibri" w:cs="Calibri"/>
                <w:color w:val="000000"/>
                <w:sz w:val="18"/>
                <w:szCs w:val="18"/>
                <w:lang w:eastAsia="cs-CZ"/>
              </w:rPr>
              <w:t>572 337,90</w:t>
            </w:r>
          </w:p>
        </w:tc>
      </w:tr>
      <w:tr w:rsidR="000F1C75" w14:paraId="5D414BBB" w14:textId="77777777" w:rsidTr="000F1C75">
        <w:trPr>
          <w:trHeight w:val="300"/>
        </w:trPr>
        <w:tc>
          <w:tcPr>
            <w:cnfStyle w:val="001000000000" w:firstRow="0" w:lastRow="0" w:firstColumn="1" w:lastColumn="0" w:oddVBand="0" w:evenVBand="0" w:oddHBand="0" w:evenHBand="0" w:firstRowFirstColumn="0" w:firstRowLastColumn="0" w:lastRowFirstColumn="0" w:lastRowLastColumn="0"/>
            <w:tcW w:w="3544" w:type="dxa"/>
            <w:shd w:val="clear" w:color="auto" w:fill="B5DAF5" w:themeFill="accent3"/>
            <w:noWrap/>
            <w:hideMark/>
          </w:tcPr>
          <w:p w14:paraId="76222D76" w14:textId="77777777" w:rsidR="000F1C75" w:rsidRDefault="000F1C75" w:rsidP="000F1C75">
            <w:pPr>
              <w:spacing w:after="0"/>
              <w:rPr>
                <w:rFonts w:ascii="Calibri" w:eastAsia="Times New Roman" w:hAnsi="Calibri" w:cs="Calibri"/>
                <w:color w:val="000000"/>
                <w:sz w:val="24"/>
                <w:szCs w:val="24"/>
                <w:lang w:eastAsia="cs-CZ"/>
              </w:rPr>
            </w:pPr>
            <w:r>
              <w:rPr>
                <w:rFonts w:ascii="Calibri" w:eastAsia="Times New Roman" w:hAnsi="Calibri" w:cs="Calibri"/>
                <w:color w:val="000000"/>
                <w:sz w:val="18"/>
                <w:szCs w:val="18"/>
                <w:lang w:eastAsia="cs-CZ"/>
              </w:rPr>
              <w:t>CELKEM </w:t>
            </w:r>
          </w:p>
        </w:tc>
        <w:tc>
          <w:tcPr>
            <w:tcW w:w="1559" w:type="dxa"/>
            <w:shd w:val="clear" w:color="auto" w:fill="B5DAF5" w:themeFill="accent3"/>
          </w:tcPr>
          <w:p w14:paraId="1836F7D0" w14:textId="77777777" w:rsidR="000F1C75" w:rsidRPr="00A819E6" w:rsidRDefault="000F1C75" w:rsidP="000F1C75">
            <w:pPr>
              <w:spacing w:after="0"/>
              <w:ind w:right="14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cs-CZ"/>
              </w:rPr>
            </w:pPr>
            <w:r w:rsidRPr="00A819E6">
              <w:rPr>
                <w:rFonts w:ascii="Calibri" w:eastAsia="Times New Roman" w:hAnsi="Calibri" w:cs="Calibri"/>
                <w:color w:val="000000"/>
                <w:sz w:val="18"/>
                <w:szCs w:val="18"/>
                <w:lang w:eastAsia="cs-CZ"/>
              </w:rPr>
              <w:t>9</w:t>
            </w:r>
            <w:r>
              <w:rPr>
                <w:rFonts w:ascii="Calibri" w:eastAsia="Times New Roman" w:hAnsi="Calibri" w:cs="Calibri"/>
                <w:color w:val="000000"/>
                <w:sz w:val="18"/>
                <w:szCs w:val="18"/>
                <w:lang w:eastAsia="cs-CZ"/>
              </w:rPr>
              <w:t>4</w:t>
            </w:r>
            <w:r w:rsidRPr="00A819E6">
              <w:rPr>
                <w:rFonts w:ascii="Calibri" w:eastAsia="Times New Roman" w:hAnsi="Calibri" w:cs="Calibri"/>
                <w:color w:val="000000"/>
                <w:sz w:val="18"/>
                <w:szCs w:val="18"/>
                <w:lang w:eastAsia="cs-CZ"/>
              </w:rPr>
              <w:t>3 000 000</w:t>
            </w:r>
          </w:p>
        </w:tc>
        <w:tc>
          <w:tcPr>
            <w:tcW w:w="1560" w:type="dxa"/>
            <w:shd w:val="clear" w:color="auto" w:fill="B5DAF5" w:themeFill="accent3"/>
          </w:tcPr>
          <w:p w14:paraId="0FCDA86E" w14:textId="77777777" w:rsidR="000F1C75" w:rsidRPr="00565D62" w:rsidRDefault="000F1C75" w:rsidP="000F1C75">
            <w:pPr>
              <w:spacing w:after="0"/>
              <w:ind w:right="14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cs-CZ"/>
              </w:rPr>
            </w:pPr>
            <w:r w:rsidRPr="00565D62">
              <w:rPr>
                <w:rFonts w:ascii="Calibri" w:eastAsia="Times New Roman" w:hAnsi="Calibri" w:cs="Calibri"/>
                <w:color w:val="000000"/>
                <w:sz w:val="18"/>
                <w:szCs w:val="18"/>
                <w:lang w:eastAsia="cs-CZ"/>
              </w:rPr>
              <w:t>101,2</w:t>
            </w:r>
          </w:p>
        </w:tc>
        <w:tc>
          <w:tcPr>
            <w:tcW w:w="2126" w:type="dxa"/>
            <w:shd w:val="clear" w:color="auto" w:fill="B5DAF5" w:themeFill="accent3"/>
            <w:noWrap/>
            <w:hideMark/>
          </w:tcPr>
          <w:p w14:paraId="5FC32A79" w14:textId="77777777" w:rsidR="000F1C75" w:rsidRPr="00A819E6"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cs-CZ"/>
              </w:rPr>
            </w:pPr>
            <w:r w:rsidRPr="004F1614">
              <w:rPr>
                <w:rFonts w:ascii="Calibri" w:eastAsia="Times New Roman" w:hAnsi="Calibri" w:cs="Calibri"/>
                <w:color w:val="000000"/>
                <w:sz w:val="18"/>
                <w:szCs w:val="18"/>
                <w:lang w:eastAsia="cs-CZ"/>
              </w:rPr>
              <w:t>83 695 111,63</w:t>
            </w:r>
          </w:p>
        </w:tc>
      </w:tr>
    </w:tbl>
    <w:p w14:paraId="2D0334BA" w14:textId="77777777" w:rsidR="000F1C75" w:rsidRDefault="000F1C75" w:rsidP="000F1C75">
      <w:pPr>
        <w:pStyle w:val="Cnormln"/>
        <w:spacing w:before="60" w:after="60"/>
        <w:jc w:val="both"/>
        <w:rPr>
          <w:rFonts w:asciiTheme="minorHAnsi" w:hAnsiTheme="minorHAnsi" w:cstheme="minorHAnsi"/>
          <w:i/>
          <w:iCs/>
        </w:rPr>
      </w:pPr>
      <w:r>
        <w:rPr>
          <w:rFonts w:asciiTheme="minorHAnsi" w:hAnsiTheme="minorHAnsi" w:cstheme="minorHAnsi"/>
          <w:i/>
          <w:iCs/>
        </w:rPr>
        <w:t>Zdroj: ŘO, NKÚ</w:t>
      </w:r>
    </w:p>
    <w:p w14:paraId="6F0A9DB5" w14:textId="77777777" w:rsidR="000F1C75" w:rsidRDefault="000F1C75" w:rsidP="000F1C75">
      <w:pPr>
        <w:pStyle w:val="Cnormln"/>
        <w:spacing w:before="60" w:after="60"/>
        <w:jc w:val="both"/>
        <w:rPr>
          <w:rFonts w:asciiTheme="minorHAnsi" w:hAnsiTheme="minorHAnsi" w:cstheme="minorHAnsi"/>
        </w:rPr>
      </w:pPr>
    </w:p>
    <w:p w14:paraId="0551164E" w14:textId="517E2BE3" w:rsidR="000F1C75" w:rsidRDefault="000F1C75" w:rsidP="000F1C75">
      <w:pPr>
        <w:pStyle w:val="Titulek"/>
        <w:rPr>
          <w:rFonts w:cstheme="minorHAnsi"/>
        </w:rPr>
      </w:pPr>
      <w:bookmarkStart w:id="50" w:name="_Toc45657564"/>
      <w:bookmarkStart w:id="51" w:name="_Toc50456741"/>
      <w:r>
        <w:t xml:space="preserve">Tabulka </w:t>
      </w:r>
      <w:r w:rsidR="00C050DB">
        <w:fldChar w:fldCharType="begin"/>
      </w:r>
      <w:r w:rsidR="00C050DB">
        <w:instrText xml:space="preserve"> SEQ Tabulka \* ARABIC </w:instrText>
      </w:r>
      <w:r w:rsidR="00C050DB">
        <w:fldChar w:fldCharType="separate"/>
      </w:r>
      <w:r w:rsidR="00E96F43">
        <w:rPr>
          <w:noProof/>
        </w:rPr>
        <w:t>8</w:t>
      </w:r>
      <w:r w:rsidR="00C050DB">
        <w:rPr>
          <w:noProof/>
        </w:rPr>
        <w:fldChar w:fldCharType="end"/>
      </w:r>
      <w:r>
        <w:t xml:space="preserve">: Projekty API, </w:t>
      </w:r>
      <w:bookmarkEnd w:id="50"/>
      <w:r>
        <w:t>2019</w:t>
      </w:r>
      <w:r w:rsidR="00DD776A">
        <w:t xml:space="preserve"> </w:t>
      </w:r>
      <w:r>
        <w:t>–</w:t>
      </w:r>
      <w:r w:rsidR="00DD776A">
        <w:t xml:space="preserve"> </w:t>
      </w:r>
      <w:r>
        <w:t>2021</w:t>
      </w:r>
      <w:bookmarkEnd w:id="51"/>
    </w:p>
    <w:tbl>
      <w:tblPr>
        <w:tblStyle w:val="Styl1"/>
        <w:tblW w:w="8794" w:type="dxa"/>
        <w:tblInd w:w="-5" w:type="dxa"/>
        <w:tblLook w:val="04A0" w:firstRow="1" w:lastRow="0" w:firstColumn="1" w:lastColumn="0" w:noHBand="0" w:noVBand="1"/>
      </w:tblPr>
      <w:tblGrid>
        <w:gridCol w:w="3549"/>
        <w:gridCol w:w="1587"/>
        <w:gridCol w:w="1507"/>
        <w:gridCol w:w="2151"/>
      </w:tblGrid>
      <w:tr w:rsidR="00D91F94" w14:paraId="10E37DDD" w14:textId="61C2D24F" w:rsidTr="00E96F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549" w:type="dxa"/>
            <w:noWrap/>
            <w:hideMark/>
          </w:tcPr>
          <w:p w14:paraId="12D15108" w14:textId="5970CE7E" w:rsidR="00D91F94" w:rsidRDefault="00D91F94" w:rsidP="000F1C75">
            <w:pPr>
              <w:spacing w:after="0"/>
              <w:jc w:val="center"/>
              <w:rPr>
                <w:rFonts w:ascii="Calibri" w:eastAsia="Times New Roman" w:hAnsi="Calibri" w:cs="Calibri"/>
                <w:color w:val="000000"/>
                <w:sz w:val="24"/>
                <w:szCs w:val="24"/>
                <w:lang w:eastAsia="cs-CZ"/>
              </w:rPr>
            </w:pPr>
            <w:r>
              <w:rPr>
                <w:rFonts w:ascii="Calibri" w:eastAsia="Times New Roman" w:hAnsi="Calibri" w:cs="Calibri"/>
                <w:color w:val="FFFFFF"/>
                <w:sz w:val="18"/>
                <w:szCs w:val="18"/>
                <w:lang w:eastAsia="cs-CZ"/>
              </w:rPr>
              <w:t>Projekty API 2019 – 2021</w:t>
            </w:r>
          </w:p>
        </w:tc>
        <w:tc>
          <w:tcPr>
            <w:tcW w:w="1587" w:type="dxa"/>
          </w:tcPr>
          <w:p w14:paraId="031E5735" w14:textId="77777777" w:rsidR="00D91F94" w:rsidRDefault="00D91F94" w:rsidP="000F1C75">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8"/>
                <w:szCs w:val="18"/>
                <w:lang w:eastAsia="cs-CZ"/>
              </w:rPr>
            </w:pPr>
            <w:r>
              <w:rPr>
                <w:rFonts w:ascii="Calibri" w:eastAsia="Times New Roman" w:hAnsi="Calibri" w:cs="Calibri"/>
                <w:color w:val="FFFFFF"/>
                <w:sz w:val="18"/>
                <w:szCs w:val="18"/>
                <w:lang w:eastAsia="cs-CZ"/>
              </w:rPr>
              <w:t>Rozpočet projektu</w:t>
            </w:r>
          </w:p>
        </w:tc>
        <w:tc>
          <w:tcPr>
            <w:tcW w:w="1507" w:type="dxa"/>
            <w:hideMark/>
          </w:tcPr>
          <w:p w14:paraId="3E0441AE" w14:textId="77777777" w:rsidR="00D91F94" w:rsidRDefault="00D91F94" w:rsidP="000F1C75">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8"/>
                <w:szCs w:val="18"/>
                <w:lang w:eastAsia="cs-CZ"/>
              </w:rPr>
            </w:pPr>
            <w:r>
              <w:rPr>
                <w:rFonts w:ascii="Calibri" w:eastAsia="Times New Roman" w:hAnsi="Calibri" w:cs="Calibri"/>
                <w:color w:val="FFFFFF"/>
                <w:sz w:val="18"/>
                <w:szCs w:val="18"/>
                <w:lang w:eastAsia="cs-CZ"/>
              </w:rPr>
              <w:t>% rozpočtu na odpovídajícím IP 2016–2018</w:t>
            </w:r>
          </w:p>
        </w:tc>
        <w:tc>
          <w:tcPr>
            <w:tcW w:w="2151" w:type="dxa"/>
          </w:tcPr>
          <w:p w14:paraId="4458773F" w14:textId="77777777" w:rsidR="00D91F94" w:rsidRDefault="00D91F94" w:rsidP="000F1C75">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cs-CZ"/>
              </w:rPr>
            </w:pPr>
            <w:r>
              <w:rPr>
                <w:rFonts w:ascii="Calibri" w:eastAsia="Times New Roman" w:hAnsi="Calibri" w:cs="Calibri"/>
                <w:color w:val="FFFFFF"/>
                <w:sz w:val="18"/>
                <w:szCs w:val="18"/>
                <w:lang w:eastAsia="cs-CZ"/>
              </w:rPr>
              <w:t>Vyčerpáno k 31. 5. 2019</w:t>
            </w:r>
          </w:p>
        </w:tc>
      </w:tr>
      <w:tr w:rsidR="00D91F94" w14:paraId="06206153" w14:textId="6747D79B" w:rsidTr="00E96F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9" w:type="dxa"/>
            <w:noWrap/>
            <w:hideMark/>
          </w:tcPr>
          <w:p w14:paraId="02602FD3" w14:textId="77777777" w:rsidR="00D91F94" w:rsidRDefault="00D91F94" w:rsidP="000F1C75">
            <w:pPr>
              <w:spacing w:after="0"/>
              <w:rPr>
                <w:rFonts w:ascii="Calibri" w:eastAsia="Times New Roman" w:hAnsi="Calibri" w:cs="Calibri"/>
                <w:color w:val="000000"/>
                <w:sz w:val="24"/>
                <w:szCs w:val="24"/>
                <w:lang w:eastAsia="cs-CZ"/>
              </w:rPr>
            </w:pPr>
            <w:r>
              <w:rPr>
                <w:rFonts w:ascii="Calibri" w:eastAsia="Times New Roman" w:hAnsi="Calibri" w:cs="Calibri"/>
                <w:color w:val="000000"/>
                <w:sz w:val="18"/>
                <w:szCs w:val="18"/>
                <w:lang w:eastAsia="cs-CZ"/>
              </w:rPr>
              <w:t>EXTERNÍ SLUŽBY</w:t>
            </w:r>
          </w:p>
        </w:tc>
        <w:tc>
          <w:tcPr>
            <w:tcW w:w="1587" w:type="dxa"/>
          </w:tcPr>
          <w:p w14:paraId="3F176F65" w14:textId="77777777" w:rsidR="00D91F94" w:rsidRPr="00A819E6" w:rsidRDefault="00D91F94" w:rsidP="000F1C75">
            <w:pPr>
              <w:spacing w:after="0"/>
              <w:ind w:right="1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sidRPr="003D2901">
              <w:rPr>
                <w:rFonts w:ascii="Calibri" w:eastAsia="Times New Roman" w:hAnsi="Calibri" w:cs="Calibri"/>
                <w:color w:val="000000"/>
                <w:sz w:val="18"/>
                <w:szCs w:val="18"/>
                <w:lang w:eastAsia="cs-CZ"/>
              </w:rPr>
              <w:t>7 470 000</w:t>
            </w:r>
          </w:p>
        </w:tc>
        <w:tc>
          <w:tcPr>
            <w:tcW w:w="1507" w:type="dxa"/>
          </w:tcPr>
          <w:p w14:paraId="011942F3" w14:textId="77777777" w:rsidR="00D91F94" w:rsidRPr="003D2901" w:rsidRDefault="00D91F94" w:rsidP="000F1C75">
            <w:pPr>
              <w:spacing w:after="0"/>
              <w:ind w:right="1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sidRPr="003D2901">
              <w:rPr>
                <w:rFonts w:ascii="Calibri" w:eastAsia="Times New Roman" w:hAnsi="Calibri" w:cs="Calibri"/>
                <w:color w:val="000000"/>
                <w:sz w:val="18"/>
                <w:szCs w:val="18"/>
                <w:lang w:eastAsia="cs-CZ"/>
              </w:rPr>
              <w:t>134,6</w:t>
            </w:r>
          </w:p>
        </w:tc>
        <w:tc>
          <w:tcPr>
            <w:tcW w:w="2151" w:type="dxa"/>
          </w:tcPr>
          <w:p w14:paraId="412A12CF" w14:textId="77777777" w:rsidR="00D91F94" w:rsidRPr="00A819E6" w:rsidRDefault="00D91F94" w:rsidP="000F1C75">
            <w:pPr>
              <w:spacing w:after="0"/>
              <w:ind w:right="137"/>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sidRPr="003D2901">
              <w:rPr>
                <w:rFonts w:ascii="Calibri" w:eastAsia="Times New Roman" w:hAnsi="Calibri" w:cs="Calibri"/>
                <w:color w:val="000000"/>
                <w:sz w:val="18"/>
                <w:szCs w:val="18"/>
                <w:lang w:eastAsia="cs-CZ"/>
              </w:rPr>
              <w:t>472 661,69</w:t>
            </w:r>
          </w:p>
        </w:tc>
      </w:tr>
      <w:tr w:rsidR="00D91F94" w14:paraId="1A48575C" w14:textId="6002EB8A" w:rsidTr="00E96F43">
        <w:trPr>
          <w:trHeight w:val="300"/>
        </w:trPr>
        <w:tc>
          <w:tcPr>
            <w:cnfStyle w:val="001000000000" w:firstRow="0" w:lastRow="0" w:firstColumn="1" w:lastColumn="0" w:oddVBand="0" w:evenVBand="0" w:oddHBand="0" w:evenHBand="0" w:firstRowFirstColumn="0" w:firstRowLastColumn="0" w:lastRowFirstColumn="0" w:lastRowLastColumn="0"/>
            <w:tcW w:w="3549" w:type="dxa"/>
            <w:noWrap/>
            <w:hideMark/>
          </w:tcPr>
          <w:p w14:paraId="23426F17" w14:textId="77777777" w:rsidR="00D91F94" w:rsidRDefault="00D91F94" w:rsidP="000F1C75">
            <w:pPr>
              <w:spacing w:after="0"/>
              <w:rPr>
                <w:rFonts w:ascii="Calibri" w:eastAsia="Times New Roman" w:hAnsi="Calibri" w:cs="Calibri"/>
                <w:color w:val="000000"/>
                <w:sz w:val="24"/>
                <w:szCs w:val="24"/>
                <w:lang w:eastAsia="cs-CZ"/>
              </w:rPr>
            </w:pPr>
            <w:r>
              <w:rPr>
                <w:rFonts w:ascii="Calibri" w:eastAsia="Times New Roman" w:hAnsi="Calibri" w:cs="Calibri"/>
                <w:color w:val="000000"/>
                <w:sz w:val="18"/>
                <w:szCs w:val="18"/>
                <w:lang w:eastAsia="cs-CZ"/>
              </w:rPr>
              <w:t>PROVOZ–Nájem, dodávky, služby (3 oddělené IP)</w:t>
            </w:r>
          </w:p>
        </w:tc>
        <w:tc>
          <w:tcPr>
            <w:tcW w:w="1587" w:type="dxa"/>
          </w:tcPr>
          <w:p w14:paraId="46AC9933" w14:textId="77777777" w:rsidR="00D91F94" w:rsidRPr="00A819E6" w:rsidRDefault="00D91F94" w:rsidP="000F1C75">
            <w:pPr>
              <w:spacing w:after="0"/>
              <w:ind w:right="14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61 660 000</w:t>
            </w:r>
          </w:p>
        </w:tc>
        <w:tc>
          <w:tcPr>
            <w:tcW w:w="1507" w:type="dxa"/>
          </w:tcPr>
          <w:p w14:paraId="667E1D2E" w14:textId="77777777" w:rsidR="00D91F94" w:rsidRPr="003D2901" w:rsidRDefault="00D91F94" w:rsidP="000F1C75">
            <w:pPr>
              <w:spacing w:after="0"/>
              <w:ind w:right="14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cs-CZ"/>
              </w:rPr>
            </w:pPr>
            <w:r w:rsidRPr="003D2901">
              <w:rPr>
                <w:rFonts w:ascii="Calibri" w:eastAsia="Times New Roman" w:hAnsi="Calibri" w:cs="Calibri"/>
                <w:color w:val="000000"/>
                <w:sz w:val="18"/>
                <w:szCs w:val="18"/>
                <w:lang w:eastAsia="cs-CZ"/>
              </w:rPr>
              <w:t>127,3</w:t>
            </w:r>
          </w:p>
        </w:tc>
        <w:tc>
          <w:tcPr>
            <w:tcW w:w="2151" w:type="dxa"/>
          </w:tcPr>
          <w:p w14:paraId="0F325DE2" w14:textId="77777777" w:rsidR="00D91F94" w:rsidRPr="00A819E6" w:rsidRDefault="00D91F94" w:rsidP="000F1C75">
            <w:pPr>
              <w:spacing w:after="0"/>
              <w:ind w:right="13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cs-CZ"/>
              </w:rPr>
            </w:pPr>
            <w:r w:rsidRPr="003D2901">
              <w:rPr>
                <w:rFonts w:ascii="Calibri" w:eastAsia="Times New Roman" w:hAnsi="Calibri" w:cs="Calibri"/>
                <w:color w:val="000000"/>
                <w:sz w:val="18"/>
                <w:szCs w:val="18"/>
                <w:lang w:eastAsia="cs-CZ"/>
              </w:rPr>
              <w:t>4 585 099,77</w:t>
            </w:r>
          </w:p>
        </w:tc>
      </w:tr>
      <w:tr w:rsidR="00D91F94" w14:paraId="5047430B" w14:textId="5110DAA9" w:rsidTr="00E96F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9" w:type="dxa"/>
            <w:noWrap/>
            <w:hideMark/>
          </w:tcPr>
          <w:p w14:paraId="644C16FF" w14:textId="77777777" w:rsidR="00D91F94" w:rsidRDefault="00D91F94" w:rsidP="000F1C75">
            <w:pPr>
              <w:spacing w:after="0"/>
              <w:rPr>
                <w:rFonts w:ascii="Calibri" w:eastAsia="Times New Roman" w:hAnsi="Calibri" w:cs="Calibri"/>
                <w:color w:val="000000"/>
                <w:sz w:val="24"/>
                <w:szCs w:val="24"/>
                <w:lang w:eastAsia="cs-CZ"/>
              </w:rPr>
            </w:pPr>
            <w:r>
              <w:rPr>
                <w:rFonts w:ascii="Calibri" w:eastAsia="Times New Roman" w:hAnsi="Calibri" w:cs="Calibri"/>
                <w:color w:val="000000"/>
                <w:sz w:val="18"/>
                <w:szCs w:val="18"/>
                <w:lang w:eastAsia="cs-CZ"/>
              </w:rPr>
              <w:t>OSOBNÍ NÁKLADY</w:t>
            </w:r>
          </w:p>
        </w:tc>
        <w:tc>
          <w:tcPr>
            <w:tcW w:w="1587" w:type="dxa"/>
          </w:tcPr>
          <w:p w14:paraId="561B25C7" w14:textId="619328FF" w:rsidR="00D91F94" w:rsidRPr="00D91F94" w:rsidRDefault="00D91F94" w:rsidP="000F1C75">
            <w:pPr>
              <w:spacing w:after="0"/>
              <w:ind w:right="1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sidRPr="00E96F43">
              <w:rPr>
                <w:rFonts w:ascii="Calibri" w:eastAsia="Times New Roman" w:hAnsi="Calibri" w:cs="Calibri"/>
                <w:color w:val="000000"/>
                <w:sz w:val="18"/>
                <w:szCs w:val="18"/>
                <w:lang w:eastAsia="cs-CZ"/>
              </w:rPr>
              <w:t>266 202 049</w:t>
            </w:r>
          </w:p>
        </w:tc>
        <w:tc>
          <w:tcPr>
            <w:tcW w:w="1507" w:type="dxa"/>
          </w:tcPr>
          <w:p w14:paraId="6A8527C5" w14:textId="65989DDE" w:rsidR="00D91F94" w:rsidRPr="003D2901" w:rsidRDefault="00274174" w:rsidP="000F1C75">
            <w:pPr>
              <w:spacing w:after="0"/>
              <w:ind w:right="1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79,0</w:t>
            </w:r>
          </w:p>
        </w:tc>
        <w:tc>
          <w:tcPr>
            <w:tcW w:w="2151" w:type="dxa"/>
          </w:tcPr>
          <w:p w14:paraId="1153A0AA" w14:textId="2AED48AF" w:rsidR="00D91F94" w:rsidRPr="00D91F94" w:rsidRDefault="00D91F94" w:rsidP="000F1C75">
            <w:pPr>
              <w:spacing w:after="0"/>
              <w:ind w:right="137"/>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sidRPr="00E96F43">
              <w:rPr>
                <w:rFonts w:ascii="Calibri" w:eastAsia="Times New Roman" w:hAnsi="Calibri" w:cs="Calibri"/>
                <w:color w:val="000000"/>
                <w:sz w:val="18"/>
                <w:szCs w:val="18"/>
                <w:lang w:eastAsia="cs-CZ"/>
              </w:rPr>
              <w:t>50 325 076</w:t>
            </w:r>
          </w:p>
        </w:tc>
      </w:tr>
      <w:tr w:rsidR="00D91F94" w14:paraId="508AFA46" w14:textId="60B5481F" w:rsidTr="00E96F43">
        <w:trPr>
          <w:trHeight w:val="300"/>
        </w:trPr>
        <w:tc>
          <w:tcPr>
            <w:cnfStyle w:val="001000000000" w:firstRow="0" w:lastRow="0" w:firstColumn="1" w:lastColumn="0" w:oddVBand="0" w:evenVBand="0" w:oddHBand="0" w:evenHBand="0" w:firstRowFirstColumn="0" w:firstRowLastColumn="0" w:lastRowFirstColumn="0" w:lastRowLastColumn="0"/>
            <w:tcW w:w="3549" w:type="dxa"/>
            <w:noWrap/>
            <w:hideMark/>
          </w:tcPr>
          <w:p w14:paraId="58E3DA0E" w14:textId="77777777" w:rsidR="00D91F94" w:rsidRDefault="00D91F94" w:rsidP="000F1C75">
            <w:pPr>
              <w:spacing w:after="0"/>
              <w:rPr>
                <w:rFonts w:ascii="Calibri" w:eastAsia="Times New Roman" w:hAnsi="Calibri" w:cs="Calibri"/>
                <w:color w:val="000000"/>
                <w:sz w:val="24"/>
                <w:szCs w:val="24"/>
                <w:lang w:eastAsia="cs-CZ"/>
              </w:rPr>
            </w:pPr>
            <w:r>
              <w:rPr>
                <w:rFonts w:ascii="Calibri" w:eastAsia="Times New Roman" w:hAnsi="Calibri" w:cs="Calibri"/>
                <w:color w:val="000000"/>
                <w:sz w:val="18"/>
                <w:szCs w:val="18"/>
                <w:lang w:eastAsia="cs-CZ"/>
              </w:rPr>
              <w:t>VZDĚLÁVÁNÍ</w:t>
            </w:r>
          </w:p>
        </w:tc>
        <w:tc>
          <w:tcPr>
            <w:tcW w:w="1587" w:type="dxa"/>
          </w:tcPr>
          <w:p w14:paraId="38313BDB" w14:textId="77777777" w:rsidR="00D91F94" w:rsidRPr="00A819E6" w:rsidRDefault="00D91F94" w:rsidP="000F1C75">
            <w:pPr>
              <w:spacing w:after="0"/>
              <w:ind w:right="14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cs-CZ"/>
              </w:rPr>
            </w:pPr>
            <w:r w:rsidRPr="003D2901">
              <w:rPr>
                <w:rFonts w:ascii="Calibri" w:eastAsia="Times New Roman" w:hAnsi="Calibri" w:cs="Calibri"/>
                <w:color w:val="000000"/>
                <w:sz w:val="18"/>
                <w:szCs w:val="18"/>
                <w:lang w:eastAsia="cs-CZ"/>
              </w:rPr>
              <w:t>9 000 000</w:t>
            </w:r>
          </w:p>
        </w:tc>
        <w:tc>
          <w:tcPr>
            <w:tcW w:w="1507" w:type="dxa"/>
          </w:tcPr>
          <w:p w14:paraId="53D20232" w14:textId="77777777" w:rsidR="00D91F94" w:rsidRPr="003D2901" w:rsidRDefault="00D91F94" w:rsidP="000F1C75">
            <w:pPr>
              <w:spacing w:after="0"/>
              <w:ind w:right="14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cs-CZ"/>
              </w:rPr>
            </w:pPr>
            <w:r w:rsidRPr="003D2901">
              <w:rPr>
                <w:rFonts w:ascii="Calibri" w:eastAsia="Times New Roman" w:hAnsi="Calibri" w:cs="Calibri"/>
                <w:color w:val="000000"/>
                <w:sz w:val="18"/>
                <w:szCs w:val="18"/>
                <w:lang w:eastAsia="cs-CZ"/>
              </w:rPr>
              <w:t>187,5</w:t>
            </w:r>
          </w:p>
        </w:tc>
        <w:tc>
          <w:tcPr>
            <w:tcW w:w="2151" w:type="dxa"/>
          </w:tcPr>
          <w:p w14:paraId="3AAB1680" w14:textId="77777777" w:rsidR="00D91F94" w:rsidRPr="00A819E6" w:rsidRDefault="00D91F94" w:rsidP="000F1C75">
            <w:pPr>
              <w:spacing w:after="0"/>
              <w:ind w:right="13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cs-CZ"/>
              </w:rPr>
            </w:pPr>
            <w:r w:rsidRPr="003D2901">
              <w:rPr>
                <w:rFonts w:ascii="Calibri" w:eastAsia="Times New Roman" w:hAnsi="Calibri" w:cs="Calibri"/>
                <w:color w:val="000000"/>
                <w:sz w:val="18"/>
                <w:szCs w:val="18"/>
                <w:lang w:eastAsia="cs-CZ"/>
              </w:rPr>
              <w:t>284 422,36</w:t>
            </w:r>
          </w:p>
        </w:tc>
      </w:tr>
      <w:tr w:rsidR="00D91F94" w14:paraId="648AA39C" w14:textId="080807FF" w:rsidTr="00E96F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9" w:type="dxa"/>
            <w:noWrap/>
            <w:hideMark/>
          </w:tcPr>
          <w:p w14:paraId="7EB03E18" w14:textId="77777777" w:rsidR="00D91F94" w:rsidRDefault="00D91F94" w:rsidP="000F1C75">
            <w:pPr>
              <w:spacing w:after="0"/>
              <w:rPr>
                <w:rFonts w:ascii="Calibri" w:eastAsia="Times New Roman" w:hAnsi="Calibri" w:cs="Calibri"/>
                <w:color w:val="000000"/>
                <w:sz w:val="24"/>
                <w:szCs w:val="24"/>
                <w:lang w:eastAsia="cs-CZ"/>
              </w:rPr>
            </w:pPr>
            <w:r>
              <w:rPr>
                <w:rFonts w:ascii="Calibri" w:eastAsia="Times New Roman" w:hAnsi="Calibri" w:cs="Calibri"/>
                <w:color w:val="000000"/>
                <w:sz w:val="18"/>
                <w:szCs w:val="18"/>
                <w:lang w:eastAsia="cs-CZ"/>
              </w:rPr>
              <w:t xml:space="preserve">PUBLICITA </w:t>
            </w:r>
          </w:p>
        </w:tc>
        <w:tc>
          <w:tcPr>
            <w:tcW w:w="1587" w:type="dxa"/>
          </w:tcPr>
          <w:p w14:paraId="4A4B29C9" w14:textId="77777777" w:rsidR="00D91F94" w:rsidRPr="00A819E6" w:rsidRDefault="00D91F94" w:rsidP="000F1C75">
            <w:pPr>
              <w:spacing w:after="0"/>
              <w:ind w:right="1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sidRPr="003D2901">
              <w:rPr>
                <w:rFonts w:ascii="Calibri" w:eastAsia="Times New Roman" w:hAnsi="Calibri" w:cs="Calibri"/>
                <w:color w:val="000000"/>
                <w:sz w:val="18"/>
                <w:szCs w:val="18"/>
                <w:lang w:eastAsia="cs-CZ"/>
              </w:rPr>
              <w:t>4 270 000</w:t>
            </w:r>
          </w:p>
        </w:tc>
        <w:tc>
          <w:tcPr>
            <w:tcW w:w="1507" w:type="dxa"/>
          </w:tcPr>
          <w:p w14:paraId="408EE2A7" w14:textId="6C0A1ECA" w:rsidR="00D91F94" w:rsidRPr="003D2901" w:rsidRDefault="00274174" w:rsidP="000F1C75">
            <w:pPr>
              <w:spacing w:after="0"/>
              <w:ind w:right="1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167,3</w:t>
            </w:r>
          </w:p>
        </w:tc>
        <w:tc>
          <w:tcPr>
            <w:tcW w:w="2151" w:type="dxa"/>
          </w:tcPr>
          <w:p w14:paraId="449A0A51" w14:textId="77777777" w:rsidR="00D91F94" w:rsidRPr="00A819E6" w:rsidRDefault="00D91F94" w:rsidP="000F1C75">
            <w:pPr>
              <w:spacing w:after="0"/>
              <w:ind w:right="137"/>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sidRPr="004F1614">
              <w:rPr>
                <w:rFonts w:ascii="Calibri" w:eastAsia="Times New Roman" w:hAnsi="Calibri" w:cs="Calibri"/>
                <w:color w:val="000000"/>
                <w:sz w:val="18"/>
                <w:szCs w:val="18"/>
                <w:lang w:eastAsia="cs-CZ"/>
              </w:rPr>
              <w:t>414 334,16</w:t>
            </w:r>
          </w:p>
        </w:tc>
      </w:tr>
      <w:tr w:rsidR="00D91F94" w:rsidRPr="003D2901" w14:paraId="2A0A7F88" w14:textId="016E1812" w:rsidTr="00E96F43">
        <w:trPr>
          <w:trHeight w:val="300"/>
        </w:trPr>
        <w:tc>
          <w:tcPr>
            <w:cnfStyle w:val="001000000000" w:firstRow="0" w:lastRow="0" w:firstColumn="1" w:lastColumn="0" w:oddVBand="0" w:evenVBand="0" w:oddHBand="0" w:evenHBand="0" w:firstRowFirstColumn="0" w:firstRowLastColumn="0" w:lastRowFirstColumn="0" w:lastRowLastColumn="0"/>
            <w:tcW w:w="3549" w:type="dxa"/>
            <w:noWrap/>
          </w:tcPr>
          <w:p w14:paraId="35B37DE0" w14:textId="77777777" w:rsidR="00D91F94" w:rsidRDefault="00D91F94" w:rsidP="000F1C75">
            <w:pPr>
              <w:spacing w:after="0"/>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IT INFRASTRUKTURA–Provoz, investice (2 oddělené IP)</w:t>
            </w:r>
          </w:p>
        </w:tc>
        <w:tc>
          <w:tcPr>
            <w:tcW w:w="1587" w:type="dxa"/>
          </w:tcPr>
          <w:p w14:paraId="41F0CAEC" w14:textId="77777777" w:rsidR="00D91F94" w:rsidRPr="00A819E6" w:rsidRDefault="00D91F94" w:rsidP="000F1C75">
            <w:pPr>
              <w:spacing w:after="0"/>
              <w:ind w:right="14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18 000 000</w:t>
            </w:r>
          </w:p>
        </w:tc>
        <w:tc>
          <w:tcPr>
            <w:tcW w:w="1507" w:type="dxa"/>
          </w:tcPr>
          <w:p w14:paraId="4DA5A3B0" w14:textId="77777777" w:rsidR="00D91F94" w:rsidRPr="003D2901" w:rsidRDefault="00D91F94" w:rsidP="000F1C75">
            <w:pPr>
              <w:spacing w:after="0"/>
              <w:ind w:right="14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w:t>
            </w:r>
          </w:p>
        </w:tc>
        <w:tc>
          <w:tcPr>
            <w:tcW w:w="2151" w:type="dxa"/>
          </w:tcPr>
          <w:p w14:paraId="66857C9D" w14:textId="77777777" w:rsidR="00D91F94" w:rsidRPr="00A819E6" w:rsidRDefault="00D91F94" w:rsidP="000F1C75">
            <w:pPr>
              <w:spacing w:after="0"/>
              <w:ind w:right="13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0</w:t>
            </w:r>
          </w:p>
        </w:tc>
      </w:tr>
      <w:tr w:rsidR="00D91F94" w:rsidRPr="003D2901" w14:paraId="193B27DE" w14:textId="08768B2E" w:rsidTr="00E96F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9" w:type="dxa"/>
            <w:noWrap/>
          </w:tcPr>
          <w:p w14:paraId="6FCB5ED8" w14:textId="77777777" w:rsidR="00D91F94" w:rsidRDefault="00D91F94" w:rsidP="000F1C75">
            <w:pPr>
              <w:spacing w:after="0"/>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PRACOVNÍ CESTY–tuzemské a zahraniční (2 oddělené IP)</w:t>
            </w:r>
          </w:p>
        </w:tc>
        <w:tc>
          <w:tcPr>
            <w:tcW w:w="1587" w:type="dxa"/>
          </w:tcPr>
          <w:p w14:paraId="68026786" w14:textId="77777777" w:rsidR="00D91F94" w:rsidRPr="00A819E6" w:rsidRDefault="00D91F94" w:rsidP="000F1C75">
            <w:pPr>
              <w:spacing w:after="0"/>
              <w:ind w:right="1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5 100 000</w:t>
            </w:r>
          </w:p>
        </w:tc>
        <w:tc>
          <w:tcPr>
            <w:tcW w:w="1507" w:type="dxa"/>
          </w:tcPr>
          <w:p w14:paraId="3F4A5E9D" w14:textId="77777777" w:rsidR="00D91F94" w:rsidRPr="003D2901" w:rsidRDefault="00D91F94" w:rsidP="000F1C75">
            <w:pPr>
              <w:spacing w:after="0"/>
              <w:ind w:right="1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w:t>
            </w:r>
          </w:p>
        </w:tc>
        <w:tc>
          <w:tcPr>
            <w:tcW w:w="2151" w:type="dxa"/>
          </w:tcPr>
          <w:p w14:paraId="231C8C32" w14:textId="10BE72DF" w:rsidR="00D91F94" w:rsidRPr="00A819E6" w:rsidRDefault="00D91F94" w:rsidP="000F1C75">
            <w:pPr>
              <w:spacing w:after="0"/>
              <w:ind w:right="137"/>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sidRPr="004F1614">
              <w:rPr>
                <w:rFonts w:ascii="Calibri" w:eastAsia="Times New Roman" w:hAnsi="Calibri" w:cs="Calibri"/>
                <w:color w:val="000000"/>
                <w:sz w:val="18"/>
                <w:szCs w:val="18"/>
                <w:lang w:eastAsia="cs-CZ"/>
              </w:rPr>
              <w:t>489 7</w:t>
            </w:r>
            <w:r>
              <w:rPr>
                <w:rFonts w:ascii="Calibri" w:eastAsia="Times New Roman" w:hAnsi="Calibri" w:cs="Calibri"/>
                <w:color w:val="000000"/>
                <w:sz w:val="18"/>
                <w:szCs w:val="18"/>
                <w:lang w:eastAsia="cs-CZ"/>
              </w:rPr>
              <w:t>49</w:t>
            </w:r>
            <w:r w:rsidRPr="004F1614">
              <w:rPr>
                <w:rFonts w:ascii="Calibri" w:eastAsia="Times New Roman" w:hAnsi="Calibri" w:cs="Calibri"/>
                <w:color w:val="000000"/>
                <w:sz w:val="18"/>
                <w:szCs w:val="18"/>
                <w:lang w:eastAsia="cs-CZ"/>
              </w:rPr>
              <w:t>,</w:t>
            </w:r>
            <w:r>
              <w:rPr>
                <w:rFonts w:ascii="Calibri" w:eastAsia="Times New Roman" w:hAnsi="Calibri" w:cs="Calibri"/>
                <w:color w:val="000000"/>
                <w:sz w:val="18"/>
                <w:szCs w:val="18"/>
                <w:lang w:eastAsia="cs-CZ"/>
              </w:rPr>
              <w:t>4</w:t>
            </w:r>
            <w:r w:rsidRPr="004F1614">
              <w:rPr>
                <w:rFonts w:ascii="Calibri" w:eastAsia="Times New Roman" w:hAnsi="Calibri" w:cs="Calibri"/>
                <w:color w:val="000000"/>
                <w:sz w:val="18"/>
                <w:szCs w:val="18"/>
                <w:lang w:eastAsia="cs-CZ"/>
              </w:rPr>
              <w:t>5</w:t>
            </w:r>
          </w:p>
        </w:tc>
      </w:tr>
      <w:tr w:rsidR="00D91F94" w:rsidRPr="003D2901" w14:paraId="7C537F15" w14:textId="3A740717" w:rsidTr="00E96F43">
        <w:trPr>
          <w:trHeight w:val="300"/>
        </w:trPr>
        <w:tc>
          <w:tcPr>
            <w:cnfStyle w:val="001000000000" w:firstRow="0" w:lastRow="0" w:firstColumn="1" w:lastColumn="0" w:oddVBand="0" w:evenVBand="0" w:oddHBand="0" w:evenHBand="0" w:firstRowFirstColumn="0" w:firstRowLastColumn="0" w:lastRowFirstColumn="0" w:lastRowLastColumn="0"/>
            <w:tcW w:w="3549" w:type="dxa"/>
            <w:noWrap/>
          </w:tcPr>
          <w:p w14:paraId="0D7530FD" w14:textId="77777777" w:rsidR="00D91F94" w:rsidRDefault="00D91F94" w:rsidP="000F1C75">
            <w:pPr>
              <w:spacing w:after="0"/>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PROVOZ AUTOPARKU A POJIŠTĚNÍ</w:t>
            </w:r>
          </w:p>
        </w:tc>
        <w:tc>
          <w:tcPr>
            <w:tcW w:w="1587" w:type="dxa"/>
          </w:tcPr>
          <w:p w14:paraId="63E51C5F" w14:textId="77777777" w:rsidR="00D91F94" w:rsidRPr="00A819E6" w:rsidRDefault="00D91F94" w:rsidP="000F1C75">
            <w:pPr>
              <w:spacing w:after="0"/>
              <w:ind w:right="14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4 170 000</w:t>
            </w:r>
          </w:p>
        </w:tc>
        <w:tc>
          <w:tcPr>
            <w:tcW w:w="1507" w:type="dxa"/>
          </w:tcPr>
          <w:p w14:paraId="677E46C5" w14:textId="77777777" w:rsidR="00D91F94" w:rsidRPr="00A819E6" w:rsidRDefault="00D91F94" w:rsidP="000F1C75">
            <w:pPr>
              <w:spacing w:after="0"/>
              <w:ind w:right="14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w:t>
            </w:r>
          </w:p>
        </w:tc>
        <w:tc>
          <w:tcPr>
            <w:tcW w:w="2151" w:type="dxa"/>
          </w:tcPr>
          <w:p w14:paraId="726DE0BC" w14:textId="77777777" w:rsidR="00D91F94" w:rsidRPr="00A819E6" w:rsidRDefault="00D91F94" w:rsidP="000F1C75">
            <w:pPr>
              <w:spacing w:after="0"/>
              <w:ind w:right="13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cs-CZ"/>
              </w:rPr>
            </w:pPr>
            <w:r w:rsidRPr="004F1614">
              <w:rPr>
                <w:rFonts w:ascii="Calibri" w:eastAsia="Times New Roman" w:hAnsi="Calibri" w:cs="Calibri"/>
                <w:color w:val="000000"/>
                <w:sz w:val="18"/>
                <w:szCs w:val="18"/>
                <w:lang w:eastAsia="cs-CZ"/>
              </w:rPr>
              <w:t>409 080,45</w:t>
            </w:r>
          </w:p>
        </w:tc>
      </w:tr>
      <w:tr w:rsidR="00D91F94" w14:paraId="34AE8F75" w14:textId="21C8F3A2" w:rsidTr="00E96F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9" w:type="dxa"/>
            <w:shd w:val="clear" w:color="auto" w:fill="B5DAF5" w:themeFill="accent3"/>
            <w:noWrap/>
            <w:hideMark/>
          </w:tcPr>
          <w:p w14:paraId="2A3F5353" w14:textId="77777777" w:rsidR="00D91F94" w:rsidRDefault="00D91F94" w:rsidP="000F1C75">
            <w:pPr>
              <w:spacing w:after="0"/>
              <w:rPr>
                <w:rFonts w:ascii="Calibri" w:eastAsia="Times New Roman" w:hAnsi="Calibri" w:cs="Calibri"/>
                <w:color w:val="000000"/>
                <w:sz w:val="24"/>
                <w:szCs w:val="24"/>
                <w:lang w:eastAsia="cs-CZ"/>
              </w:rPr>
            </w:pPr>
            <w:r>
              <w:rPr>
                <w:rFonts w:ascii="Calibri" w:eastAsia="Times New Roman" w:hAnsi="Calibri" w:cs="Calibri"/>
                <w:color w:val="000000"/>
                <w:sz w:val="18"/>
                <w:szCs w:val="18"/>
                <w:lang w:eastAsia="cs-CZ"/>
              </w:rPr>
              <w:t>CELKEM</w:t>
            </w:r>
          </w:p>
        </w:tc>
        <w:tc>
          <w:tcPr>
            <w:tcW w:w="1587" w:type="dxa"/>
            <w:shd w:val="clear" w:color="auto" w:fill="B5DAF5" w:themeFill="accent3"/>
          </w:tcPr>
          <w:p w14:paraId="5A6C5305" w14:textId="20D51748" w:rsidR="00D91F94" w:rsidRPr="00D91F94" w:rsidRDefault="00D91F94" w:rsidP="000F1C75">
            <w:pPr>
              <w:spacing w:after="0"/>
              <w:ind w:right="1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sidRPr="00E96F43">
              <w:rPr>
                <w:rFonts w:ascii="Calibri" w:eastAsia="Times New Roman" w:hAnsi="Calibri" w:cs="Calibri"/>
                <w:color w:val="000000"/>
                <w:sz w:val="18"/>
                <w:szCs w:val="18"/>
                <w:lang w:eastAsia="cs-CZ"/>
              </w:rPr>
              <w:t>375 872 049</w:t>
            </w:r>
          </w:p>
        </w:tc>
        <w:tc>
          <w:tcPr>
            <w:tcW w:w="1507" w:type="dxa"/>
            <w:shd w:val="clear" w:color="auto" w:fill="B5DAF5" w:themeFill="accent3"/>
          </w:tcPr>
          <w:p w14:paraId="08B9C5AE" w14:textId="39F8799E" w:rsidR="00D91F94" w:rsidRPr="00A819E6" w:rsidRDefault="00274174" w:rsidP="000F1C75">
            <w:pPr>
              <w:spacing w:after="0"/>
              <w:ind w:right="14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93,2</w:t>
            </w:r>
          </w:p>
        </w:tc>
        <w:tc>
          <w:tcPr>
            <w:tcW w:w="2151" w:type="dxa"/>
            <w:shd w:val="clear" w:color="auto" w:fill="B5DAF5" w:themeFill="accent3"/>
          </w:tcPr>
          <w:p w14:paraId="59E15609" w14:textId="1C3EEAF6" w:rsidR="00D91F94" w:rsidRPr="00D91F94" w:rsidRDefault="00D91F94" w:rsidP="000F1C75">
            <w:pPr>
              <w:spacing w:after="0"/>
              <w:ind w:right="137"/>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sidRPr="00E96F43">
              <w:rPr>
                <w:rFonts w:ascii="Calibri" w:eastAsia="Times New Roman" w:hAnsi="Calibri" w:cs="Calibri"/>
                <w:color w:val="000000"/>
                <w:sz w:val="18"/>
                <w:szCs w:val="18"/>
                <w:lang w:eastAsia="cs-CZ"/>
              </w:rPr>
              <w:t>56 980 423,88</w:t>
            </w:r>
          </w:p>
        </w:tc>
      </w:tr>
    </w:tbl>
    <w:p w14:paraId="27C23C78" w14:textId="77777777" w:rsidR="000F1C75" w:rsidRPr="00335AAE" w:rsidRDefault="000F1C75" w:rsidP="000F1C75">
      <w:pPr>
        <w:pStyle w:val="Cnormln"/>
        <w:spacing w:before="60" w:after="60"/>
        <w:jc w:val="both"/>
        <w:rPr>
          <w:rFonts w:asciiTheme="minorHAnsi" w:hAnsiTheme="minorHAnsi" w:cstheme="minorHAnsi"/>
          <w:i/>
          <w:iCs/>
        </w:rPr>
      </w:pPr>
      <w:r>
        <w:rPr>
          <w:rFonts w:asciiTheme="minorHAnsi" w:hAnsiTheme="minorHAnsi" w:cstheme="minorHAnsi"/>
          <w:i/>
          <w:iCs/>
        </w:rPr>
        <w:t>Zdroj: ŘO, NKÚ</w:t>
      </w:r>
    </w:p>
    <w:p w14:paraId="61968D93" w14:textId="7AEAED7E" w:rsidR="000F1C75" w:rsidRDefault="000F1C75" w:rsidP="000F1C75">
      <w:pPr>
        <w:pStyle w:val="Titulek"/>
        <w:rPr>
          <w:rFonts w:cstheme="minorHAnsi"/>
        </w:rPr>
      </w:pPr>
      <w:bookmarkStart w:id="52" w:name="_Toc45657565"/>
      <w:bookmarkStart w:id="53" w:name="_Toc50456742"/>
      <w:r>
        <w:t xml:space="preserve">Tabulka </w:t>
      </w:r>
      <w:r w:rsidR="00C050DB">
        <w:fldChar w:fldCharType="begin"/>
      </w:r>
      <w:r w:rsidR="00C050DB">
        <w:instrText xml:space="preserve"> SEQ Tabulka \* ARABIC </w:instrText>
      </w:r>
      <w:r w:rsidR="00C050DB">
        <w:fldChar w:fldCharType="separate"/>
      </w:r>
      <w:r w:rsidR="00E96F43">
        <w:rPr>
          <w:noProof/>
        </w:rPr>
        <w:t>9</w:t>
      </w:r>
      <w:r w:rsidR="00C050DB">
        <w:rPr>
          <w:noProof/>
        </w:rPr>
        <w:fldChar w:fldCharType="end"/>
      </w:r>
      <w:r>
        <w:t xml:space="preserve">: Projekty TP celkem, </w:t>
      </w:r>
      <w:bookmarkEnd w:id="52"/>
      <w:r>
        <w:t>2019</w:t>
      </w:r>
      <w:r w:rsidR="00DD776A">
        <w:t xml:space="preserve"> </w:t>
      </w:r>
      <w:r>
        <w:t>–</w:t>
      </w:r>
      <w:r w:rsidR="00DD776A">
        <w:t xml:space="preserve"> </w:t>
      </w:r>
      <w:r>
        <w:t>2021</w:t>
      </w:r>
      <w:bookmarkEnd w:id="53"/>
    </w:p>
    <w:tbl>
      <w:tblPr>
        <w:tblStyle w:val="Styl1"/>
        <w:tblW w:w="8789" w:type="dxa"/>
        <w:tblInd w:w="-5" w:type="dxa"/>
        <w:tblLook w:val="04A0" w:firstRow="1" w:lastRow="0" w:firstColumn="1" w:lastColumn="0" w:noHBand="0" w:noVBand="1"/>
      </w:tblPr>
      <w:tblGrid>
        <w:gridCol w:w="4111"/>
        <w:gridCol w:w="1818"/>
        <w:gridCol w:w="1377"/>
        <w:gridCol w:w="1483"/>
      </w:tblGrid>
      <w:tr w:rsidR="000F1C75" w14:paraId="4AF3AA8F" w14:textId="77777777" w:rsidTr="000F1C75">
        <w:trPr>
          <w:cnfStyle w:val="100000000000" w:firstRow="1" w:lastRow="0" w:firstColumn="0" w:lastColumn="0" w:oddVBand="0" w:evenVBand="0" w:oddHBand="0" w:evenHBand="0" w:firstRowFirstColumn="0" w:firstRowLastColumn="0" w:lastRowFirstColumn="0" w:lastRowLastColumn="0"/>
          <w:trHeight w:val="578"/>
        </w:trPr>
        <w:tc>
          <w:tcPr>
            <w:cnfStyle w:val="001000000100" w:firstRow="0" w:lastRow="0" w:firstColumn="1" w:lastColumn="0" w:oddVBand="0" w:evenVBand="0" w:oddHBand="0" w:evenHBand="0" w:firstRowFirstColumn="1" w:firstRowLastColumn="0" w:lastRowFirstColumn="0" w:lastRowLastColumn="0"/>
            <w:tcW w:w="4111" w:type="dxa"/>
            <w:noWrap/>
            <w:hideMark/>
          </w:tcPr>
          <w:p w14:paraId="67C23344" w14:textId="77777777" w:rsidR="000F1C75" w:rsidRDefault="000F1C75" w:rsidP="000F1C75">
            <w:pPr>
              <w:spacing w:after="0"/>
              <w:jc w:val="center"/>
              <w:rPr>
                <w:rFonts w:ascii="Calibri" w:eastAsia="Times New Roman" w:hAnsi="Calibri" w:cs="Calibri"/>
                <w:color w:val="000000"/>
                <w:sz w:val="24"/>
                <w:szCs w:val="24"/>
                <w:lang w:eastAsia="cs-CZ"/>
              </w:rPr>
            </w:pPr>
          </w:p>
        </w:tc>
        <w:tc>
          <w:tcPr>
            <w:tcW w:w="1818" w:type="dxa"/>
          </w:tcPr>
          <w:p w14:paraId="2035A301" w14:textId="77777777" w:rsidR="000F1C75" w:rsidRDefault="000F1C75" w:rsidP="000F1C75">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8"/>
                <w:szCs w:val="18"/>
                <w:lang w:eastAsia="cs-CZ"/>
              </w:rPr>
            </w:pPr>
            <w:r>
              <w:rPr>
                <w:rFonts w:ascii="Calibri" w:eastAsia="Times New Roman" w:hAnsi="Calibri" w:cs="Calibri"/>
                <w:color w:val="FFFFFF"/>
                <w:sz w:val="18"/>
                <w:szCs w:val="18"/>
                <w:lang w:eastAsia="cs-CZ"/>
              </w:rPr>
              <w:t>Rozpočet</w:t>
            </w:r>
          </w:p>
        </w:tc>
        <w:tc>
          <w:tcPr>
            <w:tcW w:w="1377" w:type="dxa"/>
            <w:hideMark/>
          </w:tcPr>
          <w:p w14:paraId="44BB1509" w14:textId="77777777" w:rsidR="000F1C75" w:rsidRDefault="000F1C75" w:rsidP="000F1C75">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cs-CZ"/>
              </w:rPr>
            </w:pPr>
            <w:r>
              <w:rPr>
                <w:rFonts w:ascii="Calibri" w:eastAsia="Times New Roman" w:hAnsi="Calibri" w:cs="Calibri"/>
                <w:color w:val="FFFFFF"/>
                <w:sz w:val="18"/>
                <w:szCs w:val="18"/>
                <w:lang w:eastAsia="cs-CZ"/>
              </w:rPr>
              <w:t>% na IP 2016–2018</w:t>
            </w:r>
          </w:p>
        </w:tc>
        <w:tc>
          <w:tcPr>
            <w:tcW w:w="1483" w:type="dxa"/>
          </w:tcPr>
          <w:p w14:paraId="5822D289" w14:textId="77777777" w:rsidR="000F1C75" w:rsidRDefault="000F1C75" w:rsidP="000F1C75">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8"/>
                <w:szCs w:val="18"/>
                <w:lang w:eastAsia="cs-CZ"/>
              </w:rPr>
            </w:pPr>
            <w:r>
              <w:rPr>
                <w:rFonts w:ascii="Calibri" w:eastAsia="Times New Roman" w:hAnsi="Calibri" w:cs="Calibri"/>
                <w:color w:val="FFFFFF"/>
                <w:sz w:val="18"/>
                <w:szCs w:val="18"/>
                <w:lang w:eastAsia="cs-CZ"/>
              </w:rPr>
              <w:t>Vyčerpáno k 31. 5. 2019</w:t>
            </w:r>
          </w:p>
        </w:tc>
      </w:tr>
      <w:tr w:rsidR="000F1C75" w14:paraId="7F21F7EB" w14:textId="77777777" w:rsidTr="000F1C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noWrap/>
            <w:hideMark/>
          </w:tcPr>
          <w:p w14:paraId="00E31329" w14:textId="77777777" w:rsidR="000F1C75" w:rsidRDefault="000F1C75" w:rsidP="000F1C75">
            <w:pPr>
              <w:spacing w:after="0"/>
              <w:jc w:val="center"/>
              <w:rPr>
                <w:rFonts w:ascii="Calibri" w:eastAsia="Times New Roman" w:hAnsi="Calibri" w:cs="Calibri"/>
                <w:color w:val="000000"/>
                <w:sz w:val="24"/>
                <w:szCs w:val="24"/>
                <w:lang w:eastAsia="cs-CZ"/>
              </w:rPr>
            </w:pPr>
            <w:r>
              <w:rPr>
                <w:rFonts w:ascii="Calibri" w:eastAsia="Times New Roman" w:hAnsi="Calibri" w:cs="Calibri"/>
                <w:color w:val="000000"/>
                <w:sz w:val="18"/>
                <w:szCs w:val="18"/>
                <w:lang w:eastAsia="cs-CZ"/>
              </w:rPr>
              <w:t>2019</w:t>
            </w:r>
            <w:r w:rsidR="00DD776A">
              <w:rPr>
                <w:rFonts w:ascii="Calibri" w:eastAsia="Times New Roman" w:hAnsi="Calibri" w:cs="Calibri"/>
                <w:color w:val="000000"/>
                <w:sz w:val="18"/>
                <w:szCs w:val="18"/>
                <w:lang w:eastAsia="cs-CZ"/>
              </w:rPr>
              <w:t xml:space="preserve"> </w:t>
            </w:r>
            <w:r>
              <w:rPr>
                <w:rFonts w:ascii="Calibri" w:eastAsia="Times New Roman" w:hAnsi="Calibri" w:cs="Calibri"/>
                <w:color w:val="000000"/>
                <w:sz w:val="18"/>
                <w:szCs w:val="18"/>
                <w:lang w:eastAsia="cs-CZ"/>
              </w:rPr>
              <w:t>–</w:t>
            </w:r>
            <w:r w:rsidR="00DD776A">
              <w:rPr>
                <w:rFonts w:ascii="Calibri" w:eastAsia="Times New Roman" w:hAnsi="Calibri" w:cs="Calibri"/>
                <w:color w:val="000000"/>
                <w:sz w:val="18"/>
                <w:szCs w:val="18"/>
                <w:lang w:eastAsia="cs-CZ"/>
              </w:rPr>
              <w:t xml:space="preserve"> </w:t>
            </w:r>
            <w:r>
              <w:rPr>
                <w:rFonts w:ascii="Calibri" w:eastAsia="Times New Roman" w:hAnsi="Calibri" w:cs="Calibri"/>
                <w:color w:val="000000"/>
                <w:sz w:val="18"/>
                <w:szCs w:val="18"/>
                <w:lang w:eastAsia="cs-CZ"/>
              </w:rPr>
              <w:t>2021 CELKEM</w:t>
            </w:r>
          </w:p>
        </w:tc>
        <w:tc>
          <w:tcPr>
            <w:tcW w:w="1818" w:type="dxa"/>
          </w:tcPr>
          <w:p w14:paraId="2262ABE4" w14:textId="2F6D95C8" w:rsidR="000F1C75" w:rsidRPr="00D91F94" w:rsidRDefault="00D91F94" w:rsidP="000F1C75">
            <w:pPr>
              <w:spacing w:after="0"/>
              <w:ind w:right="14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sidRPr="00E96F43">
              <w:rPr>
                <w:rFonts w:ascii="Calibri" w:eastAsia="Times New Roman" w:hAnsi="Calibri" w:cs="Calibri"/>
                <w:color w:val="000000"/>
                <w:sz w:val="18"/>
                <w:szCs w:val="18"/>
                <w:lang w:eastAsia="cs-CZ"/>
              </w:rPr>
              <w:t>1 318 872 049</w:t>
            </w:r>
          </w:p>
        </w:tc>
        <w:tc>
          <w:tcPr>
            <w:tcW w:w="1377" w:type="dxa"/>
          </w:tcPr>
          <w:p w14:paraId="3E6912CF" w14:textId="24B41780" w:rsidR="000F1C75" w:rsidRPr="002F26E3" w:rsidRDefault="002F26E3" w:rsidP="000F1C75">
            <w:pPr>
              <w:spacing w:after="0"/>
              <w:ind w:right="141"/>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sidRPr="00E96F43">
              <w:rPr>
                <w:rFonts w:ascii="Calibri" w:eastAsia="Times New Roman" w:hAnsi="Calibri" w:cs="Calibri"/>
                <w:color w:val="000000"/>
                <w:sz w:val="18"/>
                <w:szCs w:val="18"/>
                <w:lang w:eastAsia="cs-CZ"/>
              </w:rPr>
              <w:t>98,8</w:t>
            </w:r>
          </w:p>
        </w:tc>
        <w:tc>
          <w:tcPr>
            <w:tcW w:w="1483" w:type="dxa"/>
          </w:tcPr>
          <w:p w14:paraId="60037164" w14:textId="2203C3AF" w:rsidR="000F1C75" w:rsidRPr="00D91F94" w:rsidRDefault="00D91F94" w:rsidP="000F1C75">
            <w:pPr>
              <w:spacing w:after="0"/>
              <w:ind w:right="13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cs-CZ"/>
              </w:rPr>
            </w:pPr>
            <w:r w:rsidRPr="00E96F43">
              <w:rPr>
                <w:rFonts w:ascii="Calibri" w:eastAsia="Times New Roman" w:hAnsi="Calibri" w:cs="Calibri"/>
                <w:color w:val="000000"/>
                <w:sz w:val="18"/>
                <w:szCs w:val="18"/>
                <w:lang w:eastAsia="cs-CZ"/>
              </w:rPr>
              <w:t>140 67</w:t>
            </w:r>
            <w:r w:rsidR="00274174">
              <w:rPr>
                <w:rFonts w:ascii="Calibri" w:eastAsia="Times New Roman" w:hAnsi="Calibri" w:cs="Calibri"/>
                <w:color w:val="000000"/>
                <w:sz w:val="18"/>
                <w:szCs w:val="18"/>
                <w:lang w:eastAsia="cs-CZ"/>
              </w:rPr>
              <w:t>5</w:t>
            </w:r>
            <w:r w:rsidRPr="00E96F43">
              <w:rPr>
                <w:rFonts w:ascii="Calibri" w:eastAsia="Times New Roman" w:hAnsi="Calibri" w:cs="Calibri"/>
                <w:color w:val="000000"/>
                <w:sz w:val="18"/>
                <w:szCs w:val="18"/>
                <w:lang w:eastAsia="cs-CZ"/>
              </w:rPr>
              <w:t> 535,51</w:t>
            </w:r>
          </w:p>
        </w:tc>
      </w:tr>
    </w:tbl>
    <w:p w14:paraId="5530F678" w14:textId="77777777" w:rsidR="000F1C75" w:rsidRDefault="000F1C75" w:rsidP="000F1C75">
      <w:pPr>
        <w:pStyle w:val="Cnormln"/>
        <w:spacing w:before="60" w:after="60"/>
        <w:jc w:val="both"/>
        <w:rPr>
          <w:rFonts w:asciiTheme="minorHAnsi" w:hAnsiTheme="minorHAnsi" w:cstheme="minorHAnsi"/>
          <w:i/>
          <w:iCs/>
        </w:rPr>
      </w:pPr>
      <w:r>
        <w:rPr>
          <w:rFonts w:asciiTheme="minorHAnsi" w:hAnsiTheme="minorHAnsi" w:cstheme="minorHAnsi"/>
          <w:i/>
          <w:iCs/>
        </w:rPr>
        <w:t>Zdroj: ŘO, NKÚ</w:t>
      </w:r>
    </w:p>
    <w:p w14:paraId="526C3C6C" w14:textId="77777777" w:rsidR="000F1C75" w:rsidRDefault="000F1C75" w:rsidP="000F1C75">
      <w:pPr>
        <w:pStyle w:val="Cnormln"/>
        <w:spacing w:before="60" w:after="60"/>
        <w:jc w:val="both"/>
        <w:rPr>
          <w:rFonts w:asciiTheme="minorHAnsi" w:hAnsiTheme="minorHAnsi" w:cstheme="minorHAnsi"/>
        </w:rPr>
      </w:pPr>
    </w:p>
    <w:p w14:paraId="1D56EB7B" w14:textId="3F981CEB" w:rsidR="000F1C75" w:rsidRDefault="000F1C75" w:rsidP="000F1C75">
      <w:pPr>
        <w:pStyle w:val="Cnormln"/>
        <w:spacing w:before="60" w:after="60"/>
        <w:jc w:val="both"/>
        <w:rPr>
          <w:rFonts w:asciiTheme="minorHAnsi" w:hAnsiTheme="minorHAnsi" w:cstheme="minorHAnsi"/>
        </w:rPr>
      </w:pPr>
      <w:r>
        <w:rPr>
          <w:rFonts w:asciiTheme="minorHAnsi" w:hAnsiTheme="minorHAnsi" w:cstheme="minorHAnsi"/>
        </w:rPr>
        <w:t>Závazkované prostředky pro IP na období 2019</w:t>
      </w:r>
      <w:r w:rsidR="00DD776A">
        <w:rPr>
          <w:rFonts w:asciiTheme="minorHAnsi" w:hAnsiTheme="minorHAnsi" w:cstheme="minorHAnsi"/>
        </w:rPr>
        <w:t xml:space="preserve"> </w:t>
      </w:r>
      <w:r>
        <w:rPr>
          <w:rFonts w:asciiTheme="minorHAnsi" w:hAnsiTheme="minorHAnsi" w:cstheme="minorHAnsi"/>
        </w:rPr>
        <w:t>–</w:t>
      </w:r>
      <w:r w:rsidR="00DD776A">
        <w:rPr>
          <w:rFonts w:asciiTheme="minorHAnsi" w:hAnsiTheme="minorHAnsi" w:cstheme="minorHAnsi"/>
        </w:rPr>
        <w:t xml:space="preserve"> </w:t>
      </w:r>
      <w:r>
        <w:rPr>
          <w:rFonts w:asciiTheme="minorHAnsi" w:hAnsiTheme="minorHAnsi" w:cstheme="minorHAnsi"/>
        </w:rPr>
        <w:t xml:space="preserve">2021 </w:t>
      </w:r>
      <w:bookmarkStart w:id="54" w:name="_Hlk46232260"/>
      <w:r>
        <w:rPr>
          <w:rFonts w:asciiTheme="minorHAnsi" w:hAnsiTheme="minorHAnsi" w:cstheme="minorHAnsi"/>
        </w:rPr>
        <w:t xml:space="preserve">jsou kumulativně </w:t>
      </w:r>
      <w:r w:rsidR="002F26E3">
        <w:rPr>
          <w:rFonts w:asciiTheme="minorHAnsi" w:hAnsiTheme="minorHAnsi" w:cstheme="minorHAnsi"/>
        </w:rPr>
        <w:t>srovnatelné jako</w:t>
      </w:r>
      <w:r>
        <w:rPr>
          <w:rFonts w:asciiTheme="minorHAnsi" w:hAnsiTheme="minorHAnsi" w:cstheme="minorHAnsi"/>
        </w:rPr>
        <w:t> případě projektů pro období 2016</w:t>
      </w:r>
      <w:r w:rsidR="00DD776A">
        <w:rPr>
          <w:rFonts w:asciiTheme="minorHAnsi" w:hAnsiTheme="minorHAnsi" w:cstheme="minorHAnsi"/>
        </w:rPr>
        <w:t xml:space="preserve"> </w:t>
      </w:r>
      <w:r>
        <w:rPr>
          <w:rFonts w:asciiTheme="minorHAnsi" w:hAnsiTheme="minorHAnsi" w:cstheme="minorHAnsi"/>
        </w:rPr>
        <w:t>–</w:t>
      </w:r>
      <w:r w:rsidR="00DD776A">
        <w:rPr>
          <w:rFonts w:asciiTheme="minorHAnsi" w:hAnsiTheme="minorHAnsi" w:cstheme="minorHAnsi"/>
        </w:rPr>
        <w:t xml:space="preserve"> </w:t>
      </w:r>
      <w:r>
        <w:rPr>
          <w:rFonts w:asciiTheme="minorHAnsi" w:hAnsiTheme="minorHAnsi" w:cstheme="minorHAnsi"/>
        </w:rPr>
        <w:t xml:space="preserve">2018 a dosahují </w:t>
      </w:r>
      <w:r w:rsidR="002F26E3">
        <w:rPr>
          <w:rFonts w:asciiTheme="minorHAnsi" w:hAnsiTheme="minorHAnsi" w:cstheme="minorHAnsi"/>
        </w:rPr>
        <w:t>rovněž cca třetinu</w:t>
      </w:r>
      <w:r>
        <w:rPr>
          <w:rFonts w:asciiTheme="minorHAnsi" w:hAnsiTheme="minorHAnsi" w:cstheme="minorHAnsi"/>
        </w:rPr>
        <w:t xml:space="preserve"> celkové alokace TP OP PIK</w:t>
      </w:r>
      <w:bookmarkEnd w:id="54"/>
      <w:r>
        <w:rPr>
          <w:rFonts w:asciiTheme="minorHAnsi" w:hAnsiTheme="minorHAnsi" w:cstheme="minorHAnsi"/>
        </w:rPr>
        <w:t xml:space="preserve">. Obecně lze spíše výjimečně a u malých IP pozorovat výraznější snížení celkových závazkovaných prostředků na náklady, jejichž čerpání bylo v předchozím období problematické (například u publicity pro MPO bylo vyčerpáno pouze cca 9 % z celkového schváleného rozpočtu ve výši 81 mil. Kč, přesto ale bylo pro </w:t>
      </w:r>
      <w:r>
        <w:rPr>
          <w:rFonts w:asciiTheme="minorHAnsi" w:hAnsiTheme="minorHAnsi" w:cstheme="minorHAnsi"/>
        </w:rPr>
        <w:lastRenderedPageBreak/>
        <w:t xml:space="preserve">následující tři roky schválen rozpočet ve výši 60 mil. Kč). Lze proto očekávat, </w:t>
      </w:r>
      <w:r w:rsidR="00DD776A">
        <w:rPr>
          <w:rFonts w:asciiTheme="minorHAnsi" w:hAnsiTheme="minorHAnsi" w:cstheme="minorHAnsi"/>
        </w:rPr>
        <w:br/>
      </w:r>
      <w:r>
        <w:rPr>
          <w:rFonts w:asciiTheme="minorHAnsi" w:hAnsiTheme="minorHAnsi" w:cstheme="minorHAnsi"/>
        </w:rPr>
        <w:t>že i v případě IP v období 2019</w:t>
      </w:r>
      <w:r w:rsidR="00DD776A">
        <w:rPr>
          <w:rFonts w:asciiTheme="minorHAnsi" w:hAnsiTheme="minorHAnsi" w:cstheme="minorHAnsi"/>
        </w:rPr>
        <w:t xml:space="preserve"> </w:t>
      </w:r>
      <w:r>
        <w:rPr>
          <w:rFonts w:asciiTheme="minorHAnsi" w:hAnsiTheme="minorHAnsi" w:cstheme="minorHAnsi"/>
        </w:rPr>
        <w:t>–</w:t>
      </w:r>
      <w:r w:rsidR="00DD776A">
        <w:rPr>
          <w:rFonts w:asciiTheme="minorHAnsi" w:hAnsiTheme="minorHAnsi" w:cstheme="minorHAnsi"/>
        </w:rPr>
        <w:t xml:space="preserve"> </w:t>
      </w:r>
      <w:r>
        <w:rPr>
          <w:rFonts w:asciiTheme="minorHAnsi" w:hAnsiTheme="minorHAnsi" w:cstheme="minorHAnsi"/>
        </w:rPr>
        <w:t>2021 dojde k nedočerpání celkových schválených prostředků.</w:t>
      </w:r>
    </w:p>
    <w:p w14:paraId="2A9484E8" w14:textId="77777777" w:rsidR="000F1C75" w:rsidRDefault="000F1C75" w:rsidP="000F1C75">
      <w:pPr>
        <w:pStyle w:val="Cnormln"/>
        <w:spacing w:before="60" w:after="60"/>
        <w:jc w:val="both"/>
        <w:rPr>
          <w:rFonts w:asciiTheme="minorHAnsi" w:hAnsiTheme="minorHAnsi" w:cstheme="minorHAnsi"/>
        </w:rPr>
      </w:pPr>
      <w:r>
        <w:rPr>
          <w:rFonts w:asciiTheme="minorHAnsi" w:hAnsiTheme="minorHAnsi" w:cstheme="minorHAnsi"/>
        </w:rPr>
        <w:t xml:space="preserve">Dle výroční zprávy o implementaci bylo k 31. 12. 2018 v rámci TP OP PIK vyčerpáno (proplaceno) celkem cca 27,44 mil. EUR (příspěvek EU), tedy cca 22 % alokace. </w:t>
      </w:r>
      <w:r w:rsidRPr="006C7A69">
        <w:rPr>
          <w:rFonts w:asciiTheme="minorHAnsi" w:hAnsiTheme="minorHAnsi" w:cstheme="minorHAnsi"/>
        </w:rPr>
        <w:t xml:space="preserve">Největší část čerpaných prostředků byla určena na mzdové prostředky ŘO, </w:t>
      </w:r>
      <w:r>
        <w:rPr>
          <w:rFonts w:asciiTheme="minorHAnsi" w:hAnsiTheme="minorHAnsi" w:cstheme="minorHAnsi"/>
        </w:rPr>
        <w:t>ZS</w:t>
      </w:r>
      <w:r w:rsidRPr="006C7A69">
        <w:rPr>
          <w:rFonts w:asciiTheme="minorHAnsi" w:hAnsiTheme="minorHAnsi" w:cstheme="minorHAnsi"/>
        </w:rPr>
        <w:t xml:space="preserve"> a s</w:t>
      </w:r>
      <w:r>
        <w:rPr>
          <w:rFonts w:asciiTheme="minorHAnsi" w:hAnsiTheme="minorHAnsi" w:cstheme="minorHAnsi"/>
        </w:rPr>
        <w:t> </w:t>
      </w:r>
      <w:r w:rsidRPr="006C7A69">
        <w:rPr>
          <w:rFonts w:asciiTheme="minorHAnsi" w:hAnsiTheme="minorHAnsi" w:cstheme="minorHAnsi"/>
        </w:rPr>
        <w:t>nimi</w:t>
      </w:r>
      <w:r>
        <w:rPr>
          <w:rFonts w:asciiTheme="minorHAnsi" w:hAnsiTheme="minorHAnsi" w:cstheme="minorHAnsi"/>
        </w:rPr>
        <w:t xml:space="preserve"> </w:t>
      </w:r>
      <w:r w:rsidRPr="006C7A69">
        <w:rPr>
          <w:rFonts w:asciiTheme="minorHAnsi" w:hAnsiTheme="minorHAnsi" w:cstheme="minorHAnsi"/>
        </w:rPr>
        <w:t xml:space="preserve">související povinné odvody na sociální zabezpečení, zdravotní pojištění a </w:t>
      </w:r>
      <w:r>
        <w:rPr>
          <w:rFonts w:asciiTheme="minorHAnsi" w:hAnsiTheme="minorHAnsi" w:cstheme="minorHAnsi"/>
        </w:rPr>
        <w:t>FKSP</w:t>
      </w:r>
      <w:r w:rsidRPr="006C7A69">
        <w:rPr>
          <w:rFonts w:asciiTheme="minorHAnsi" w:hAnsiTheme="minorHAnsi" w:cstheme="minorHAnsi"/>
        </w:rPr>
        <w:t>. S činností implementujících pracovníků souvisely také výdaje</w:t>
      </w:r>
      <w:r>
        <w:rPr>
          <w:rFonts w:asciiTheme="minorHAnsi" w:hAnsiTheme="minorHAnsi" w:cstheme="minorHAnsi"/>
        </w:rPr>
        <w:t xml:space="preserve"> </w:t>
      </w:r>
      <w:r w:rsidRPr="006C7A69">
        <w:rPr>
          <w:rFonts w:asciiTheme="minorHAnsi" w:hAnsiTheme="minorHAnsi" w:cstheme="minorHAnsi"/>
        </w:rPr>
        <w:t>vynakládané na provoz budov a pracovní pomůcky a potřeby. Pracovníci se zúčastňovali</w:t>
      </w:r>
      <w:r>
        <w:rPr>
          <w:rFonts w:asciiTheme="minorHAnsi" w:hAnsiTheme="minorHAnsi" w:cstheme="minorHAnsi"/>
        </w:rPr>
        <w:t xml:space="preserve"> </w:t>
      </w:r>
      <w:r w:rsidRPr="006C7A69">
        <w:rPr>
          <w:rFonts w:asciiTheme="minorHAnsi" w:hAnsiTheme="minorHAnsi" w:cstheme="minorHAnsi"/>
        </w:rPr>
        <w:t>tuzemských i zahraničních školení a seminářů. Kontrolní skupiny ŘO prováděly kontroly v</w:t>
      </w:r>
      <w:r>
        <w:rPr>
          <w:rFonts w:asciiTheme="minorHAnsi" w:hAnsiTheme="minorHAnsi" w:cstheme="minorHAnsi"/>
        </w:rPr>
        <w:t xml:space="preserve"> </w:t>
      </w:r>
      <w:r w:rsidRPr="006C7A69">
        <w:rPr>
          <w:rFonts w:asciiTheme="minorHAnsi" w:hAnsiTheme="minorHAnsi" w:cstheme="minorHAnsi"/>
        </w:rPr>
        <w:t xml:space="preserve">místě realizace projektů po celé ČR. </w:t>
      </w:r>
      <w:r w:rsidR="00DD776A">
        <w:rPr>
          <w:rFonts w:asciiTheme="minorHAnsi" w:hAnsiTheme="minorHAnsi" w:cstheme="minorHAnsi"/>
        </w:rPr>
        <w:br/>
      </w:r>
      <w:r w:rsidRPr="006C7A69">
        <w:rPr>
          <w:rFonts w:asciiTheme="minorHAnsi" w:hAnsiTheme="minorHAnsi" w:cstheme="minorHAnsi"/>
        </w:rPr>
        <w:t>K této činnosti byly nakoupeny osobní automobily a z</w:t>
      </w:r>
      <w:r>
        <w:rPr>
          <w:rFonts w:asciiTheme="minorHAnsi" w:hAnsiTheme="minorHAnsi" w:cstheme="minorHAnsi"/>
        </w:rPr>
        <w:t xml:space="preserve"> </w:t>
      </w:r>
      <w:r w:rsidRPr="006C7A69">
        <w:rPr>
          <w:rFonts w:asciiTheme="minorHAnsi" w:hAnsiTheme="minorHAnsi" w:cstheme="minorHAnsi"/>
        </w:rPr>
        <w:t>projektů TP byly hrazeny i pohonné hmoty, opravy, pojištění, dálniční známky pro vozový</w:t>
      </w:r>
      <w:r>
        <w:rPr>
          <w:rFonts w:asciiTheme="minorHAnsi" w:hAnsiTheme="minorHAnsi" w:cstheme="minorHAnsi"/>
        </w:rPr>
        <w:t xml:space="preserve"> </w:t>
      </w:r>
      <w:r w:rsidRPr="006C7A69">
        <w:rPr>
          <w:rFonts w:asciiTheme="minorHAnsi" w:hAnsiTheme="minorHAnsi" w:cstheme="minorHAnsi"/>
        </w:rPr>
        <w:t xml:space="preserve">park. </w:t>
      </w:r>
      <w:r>
        <w:rPr>
          <w:rFonts w:asciiTheme="minorHAnsi" w:hAnsiTheme="minorHAnsi" w:cstheme="minorHAnsi"/>
        </w:rPr>
        <w:t>ZS</w:t>
      </w:r>
      <w:r w:rsidRPr="006C7A69">
        <w:rPr>
          <w:rFonts w:asciiTheme="minorHAnsi" w:hAnsiTheme="minorHAnsi" w:cstheme="minorHAnsi"/>
        </w:rPr>
        <w:t xml:space="preserve"> realizoval monitorovací návštěvy u příjemců dotace, k tomu užíval též vozový</w:t>
      </w:r>
      <w:r>
        <w:rPr>
          <w:rFonts w:asciiTheme="minorHAnsi" w:hAnsiTheme="minorHAnsi" w:cstheme="minorHAnsi"/>
        </w:rPr>
        <w:t xml:space="preserve"> </w:t>
      </w:r>
      <w:r w:rsidRPr="006C7A69">
        <w:rPr>
          <w:rFonts w:asciiTheme="minorHAnsi" w:hAnsiTheme="minorHAnsi" w:cstheme="minorHAnsi"/>
        </w:rPr>
        <w:t>park nakoupený zčásti z projektů TP. Dále byly hrazeny výdaje související s jednáními, jako</w:t>
      </w:r>
      <w:r>
        <w:rPr>
          <w:rFonts w:asciiTheme="minorHAnsi" w:hAnsiTheme="minorHAnsi" w:cstheme="minorHAnsi"/>
        </w:rPr>
        <w:t xml:space="preserve"> </w:t>
      </w:r>
      <w:r w:rsidRPr="006C7A69">
        <w:rPr>
          <w:rFonts w:asciiTheme="minorHAnsi" w:hAnsiTheme="minorHAnsi" w:cstheme="minorHAnsi"/>
        </w:rPr>
        <w:t>např. Monitorovací výbor, rady pro fondy, jednání se zástupci EK. Finanční prostředky</w:t>
      </w:r>
      <w:r>
        <w:rPr>
          <w:rFonts w:asciiTheme="minorHAnsi" w:hAnsiTheme="minorHAnsi" w:cstheme="minorHAnsi"/>
        </w:rPr>
        <w:t xml:space="preserve"> </w:t>
      </w:r>
      <w:r w:rsidRPr="006C7A69">
        <w:rPr>
          <w:rFonts w:asciiTheme="minorHAnsi" w:hAnsiTheme="minorHAnsi" w:cstheme="minorHAnsi"/>
        </w:rPr>
        <w:t>směřovaly rovněž na nákup propagačních předmětů a</w:t>
      </w:r>
      <w:r>
        <w:rPr>
          <w:rFonts w:asciiTheme="minorHAnsi" w:hAnsiTheme="minorHAnsi" w:cstheme="minorHAnsi"/>
        </w:rPr>
        <w:t> </w:t>
      </w:r>
      <w:r w:rsidRPr="006C7A69">
        <w:rPr>
          <w:rFonts w:asciiTheme="minorHAnsi" w:hAnsiTheme="minorHAnsi" w:cstheme="minorHAnsi"/>
        </w:rPr>
        <w:t>předmětů povinné publicity.</w:t>
      </w:r>
      <w:r>
        <w:rPr>
          <w:rFonts w:asciiTheme="minorHAnsi" w:hAnsiTheme="minorHAnsi" w:cstheme="minorHAnsi"/>
        </w:rPr>
        <w:t> </w:t>
      </w:r>
    </w:p>
    <w:p w14:paraId="1EBB8D1A" w14:textId="77777777" w:rsidR="000F1C75" w:rsidRDefault="000F1C75" w:rsidP="000F1C75">
      <w:pPr>
        <w:pStyle w:val="Cnormln"/>
        <w:spacing w:before="60" w:after="60"/>
        <w:jc w:val="both"/>
        <w:rPr>
          <w:rFonts w:asciiTheme="minorHAnsi" w:hAnsiTheme="minorHAnsi" w:cstheme="minorHAnsi"/>
        </w:rPr>
      </w:pPr>
      <w:r>
        <w:rPr>
          <w:rFonts w:asciiTheme="minorHAnsi" w:hAnsiTheme="minorHAnsi" w:cstheme="minorHAnsi"/>
        </w:rPr>
        <w:t>Z výše uvedeného je zřejmé, že je spíše nepravděpodobné, že alokace na TP OP PIK bude v průběhu implementace programu vyčerpána. Bezprostřední extrapolace zkušenosti s čerpáním z</w:t>
      </w:r>
      <w:r w:rsidR="00E7142C">
        <w:rPr>
          <w:rFonts w:asciiTheme="minorHAnsi" w:hAnsiTheme="minorHAnsi" w:cstheme="minorHAnsi"/>
        </w:rPr>
        <w:t> </w:t>
      </w:r>
      <w:r>
        <w:rPr>
          <w:rFonts w:asciiTheme="minorHAnsi" w:hAnsiTheme="minorHAnsi" w:cstheme="minorHAnsi"/>
        </w:rPr>
        <w:t>období</w:t>
      </w:r>
      <w:r w:rsidR="00E7142C">
        <w:rPr>
          <w:rFonts w:asciiTheme="minorHAnsi" w:hAnsiTheme="minorHAnsi" w:cstheme="minorHAnsi"/>
        </w:rPr>
        <w:t xml:space="preserve"> </w:t>
      </w:r>
      <w:r w:rsidR="00DD776A">
        <w:rPr>
          <w:rFonts w:asciiTheme="minorHAnsi" w:hAnsiTheme="minorHAnsi" w:cstheme="minorHAnsi"/>
        </w:rPr>
        <w:br/>
      </w:r>
      <w:r>
        <w:rPr>
          <w:rFonts w:asciiTheme="minorHAnsi" w:hAnsiTheme="minorHAnsi" w:cstheme="minorHAnsi"/>
        </w:rPr>
        <w:t>2016</w:t>
      </w:r>
      <w:r w:rsidR="00DD776A">
        <w:rPr>
          <w:rFonts w:asciiTheme="minorHAnsi" w:hAnsiTheme="minorHAnsi" w:cstheme="minorHAnsi"/>
        </w:rPr>
        <w:t xml:space="preserve"> </w:t>
      </w:r>
      <w:r>
        <w:rPr>
          <w:rFonts w:asciiTheme="minorHAnsi" w:hAnsiTheme="minorHAnsi" w:cstheme="minorHAnsi"/>
        </w:rPr>
        <w:t>–</w:t>
      </w:r>
      <w:r w:rsidR="00DD776A">
        <w:rPr>
          <w:rFonts w:asciiTheme="minorHAnsi" w:hAnsiTheme="minorHAnsi" w:cstheme="minorHAnsi"/>
        </w:rPr>
        <w:t xml:space="preserve"> </w:t>
      </w:r>
      <w:r>
        <w:rPr>
          <w:rFonts w:asciiTheme="minorHAnsi" w:hAnsiTheme="minorHAnsi" w:cstheme="minorHAnsi"/>
        </w:rPr>
        <w:t xml:space="preserve">2018, pro které jsou dostupná empirická data, má sice omezenou vypovídající hodnotu, přesto jej lze použít jako základ pro projekci budoucího čerpání. Dominantní část totiž tvoří osobní výdaje, které sice nejsou konstantní, zároveň ale nelze očekávat vývoj, který by měl zásadní dopad </w:t>
      </w:r>
      <w:r w:rsidR="00DD776A">
        <w:rPr>
          <w:rFonts w:asciiTheme="minorHAnsi" w:hAnsiTheme="minorHAnsi" w:cstheme="minorHAnsi"/>
        </w:rPr>
        <w:br/>
      </w:r>
      <w:r>
        <w:rPr>
          <w:rFonts w:asciiTheme="minorHAnsi" w:hAnsiTheme="minorHAnsi" w:cstheme="minorHAnsi"/>
        </w:rPr>
        <w:t xml:space="preserve">na trend čerpání podpory. Obdobně spíše nízkou míru fluktuace lze očekávat i u dalších typů výdajů (např. provozní výdaje, výdaje na organizaci monitorovacích výborů a dalších platforem, náklady </w:t>
      </w:r>
      <w:r w:rsidR="00DD776A">
        <w:rPr>
          <w:rFonts w:asciiTheme="minorHAnsi" w:hAnsiTheme="minorHAnsi" w:cstheme="minorHAnsi"/>
        </w:rPr>
        <w:br/>
      </w:r>
      <w:r>
        <w:rPr>
          <w:rFonts w:asciiTheme="minorHAnsi" w:hAnsiTheme="minorHAnsi" w:cstheme="minorHAnsi"/>
        </w:rPr>
        <w:t xml:space="preserve">na vzdělávání, kancelářské výdaje atd.). S přibližujícím se koncem PO lze očekávat nárůst výdajů </w:t>
      </w:r>
      <w:r w:rsidR="00DD776A">
        <w:rPr>
          <w:rFonts w:asciiTheme="minorHAnsi" w:hAnsiTheme="minorHAnsi" w:cstheme="minorHAnsi"/>
        </w:rPr>
        <w:br/>
      </w:r>
      <w:r>
        <w:rPr>
          <w:rFonts w:asciiTheme="minorHAnsi" w:hAnsiTheme="minorHAnsi" w:cstheme="minorHAnsi"/>
        </w:rPr>
        <w:t>na studie a analýzy a případně další externí služby, zároveň ale komunikační strategie OP PIK předpokládá snižování nákladů na publicitu programu s blížícím se koncem období (resp. plánuje nejvyšší výdaje na publicitu v úvodní fázi implementace programu). Dle vyjádření pracovníků ŘO je ale naopak plánováno navýšení výdajů na komunikační aktivity tak, aby bylo podpořeno dočerpání programu</w:t>
      </w:r>
      <w:r w:rsidR="00DD776A">
        <w:rPr>
          <w:rFonts w:asciiTheme="minorHAnsi" w:hAnsiTheme="minorHAnsi" w:cstheme="minorHAnsi"/>
        </w:rPr>
        <w:t xml:space="preserve"> </w:t>
      </w:r>
      <w:r>
        <w:rPr>
          <w:rFonts w:asciiTheme="minorHAnsi" w:hAnsiTheme="minorHAnsi" w:cstheme="minorHAnsi"/>
        </w:rPr>
        <w:t>–</w:t>
      </w:r>
      <w:r w:rsidR="00DD776A">
        <w:rPr>
          <w:rFonts w:asciiTheme="minorHAnsi" w:hAnsiTheme="minorHAnsi" w:cstheme="minorHAnsi"/>
        </w:rPr>
        <w:t xml:space="preserve"> </w:t>
      </w:r>
      <w:r>
        <w:rPr>
          <w:rFonts w:asciiTheme="minorHAnsi" w:hAnsiTheme="minorHAnsi" w:cstheme="minorHAnsi"/>
        </w:rPr>
        <w:t xml:space="preserve">resp. ŘO má nadále v úmyslu spustit marketingovou kampaň plánovanou původně </w:t>
      </w:r>
      <w:r w:rsidR="00DD776A">
        <w:rPr>
          <w:rFonts w:asciiTheme="minorHAnsi" w:hAnsiTheme="minorHAnsi" w:cstheme="minorHAnsi"/>
        </w:rPr>
        <w:br/>
      </w:r>
      <w:r>
        <w:rPr>
          <w:rFonts w:asciiTheme="minorHAnsi" w:hAnsiTheme="minorHAnsi" w:cstheme="minorHAnsi"/>
        </w:rPr>
        <w:t>na začátek implementace programu a podniká konkrétní kroky k jejímu spuštění</w:t>
      </w:r>
      <w:r>
        <w:rPr>
          <w:rStyle w:val="Znakapoznpodarou"/>
          <w:rFonts w:asciiTheme="minorHAnsi" w:hAnsiTheme="minorHAnsi" w:cstheme="minorHAnsi"/>
        </w:rPr>
        <w:footnoteReference w:id="2"/>
      </w:r>
      <w:r>
        <w:rPr>
          <w:rFonts w:asciiTheme="minorHAnsi" w:hAnsiTheme="minorHAnsi" w:cstheme="minorHAnsi"/>
        </w:rPr>
        <w:t>. Extrapolace tak poskytne alespoň omezený pohled na očekávaný trend čerpání alokace TP OP PIK.</w:t>
      </w:r>
    </w:p>
    <w:p w14:paraId="1C20E99A" w14:textId="499A484D" w:rsidR="000F1C75" w:rsidRPr="004F4E19" w:rsidRDefault="000F1C75" w:rsidP="32C23EE7">
      <w:pPr>
        <w:pStyle w:val="Cnormln"/>
        <w:spacing w:before="60" w:after="60"/>
        <w:jc w:val="both"/>
        <w:rPr>
          <w:rFonts w:asciiTheme="minorHAnsi" w:hAnsiTheme="minorHAnsi" w:cstheme="minorBidi"/>
        </w:rPr>
      </w:pPr>
      <w:r w:rsidRPr="32C23EE7">
        <w:rPr>
          <w:rFonts w:asciiTheme="minorHAnsi" w:hAnsiTheme="minorHAnsi" w:cstheme="minorBidi"/>
        </w:rPr>
        <w:t xml:space="preserve">Jak bylo uvedeno, </w:t>
      </w:r>
      <w:bookmarkStart w:id="55" w:name="_Hlk47621964"/>
      <w:r w:rsidRPr="32C23EE7">
        <w:rPr>
          <w:rFonts w:asciiTheme="minorHAnsi" w:hAnsiTheme="minorHAnsi" w:cstheme="minorBidi"/>
        </w:rPr>
        <w:t>pro období 2016</w:t>
      </w:r>
      <w:r w:rsidR="00DD776A">
        <w:rPr>
          <w:rFonts w:asciiTheme="minorHAnsi" w:hAnsiTheme="minorHAnsi" w:cstheme="minorBidi"/>
        </w:rPr>
        <w:t xml:space="preserve"> </w:t>
      </w:r>
      <w:r w:rsidRPr="32C23EE7">
        <w:rPr>
          <w:rFonts w:asciiTheme="minorHAnsi" w:hAnsiTheme="minorHAnsi" w:cstheme="minorBidi"/>
        </w:rPr>
        <w:t>–</w:t>
      </w:r>
      <w:r w:rsidR="00DD776A">
        <w:rPr>
          <w:rFonts w:asciiTheme="minorHAnsi" w:hAnsiTheme="minorHAnsi" w:cstheme="minorBidi"/>
        </w:rPr>
        <w:t xml:space="preserve"> </w:t>
      </w:r>
      <w:r w:rsidRPr="32C23EE7">
        <w:rPr>
          <w:rFonts w:asciiTheme="minorHAnsi" w:hAnsiTheme="minorHAnsi" w:cstheme="minorBidi"/>
        </w:rPr>
        <w:t>2018 bylo prostřednictvím IP závazkována cca třetina alokace TP OP PIK. Reálně vyčerpáno bylo ale pouze necelých 7</w:t>
      </w:r>
      <w:r w:rsidR="0070086D">
        <w:rPr>
          <w:rFonts w:asciiTheme="minorHAnsi" w:hAnsiTheme="minorHAnsi" w:cstheme="minorBidi"/>
        </w:rPr>
        <w:t>1</w:t>
      </w:r>
      <w:r w:rsidRPr="32C23EE7">
        <w:rPr>
          <w:rFonts w:asciiTheme="minorHAnsi" w:hAnsiTheme="minorHAnsi" w:cstheme="minorBidi"/>
        </w:rPr>
        <w:t xml:space="preserve"> % závazkovaných prostředků</w:t>
      </w:r>
      <w:r w:rsidR="00E7142C" w:rsidRPr="32C23EE7">
        <w:rPr>
          <w:rFonts w:asciiTheme="minorHAnsi" w:hAnsiTheme="minorHAnsi" w:cstheme="minorBidi"/>
        </w:rPr>
        <w:t xml:space="preserve"> </w:t>
      </w:r>
      <w:r w:rsidRPr="32C23EE7">
        <w:rPr>
          <w:rFonts w:asciiTheme="minorHAnsi" w:hAnsiTheme="minorHAnsi" w:cstheme="minorBidi"/>
        </w:rPr>
        <w:t>cca 945 mil. Kč, tedy v průměru cca 315 mil. Kč na jeden rok implementace. Vzhledem k tomu, že pro následující tříleté období 2019</w:t>
      </w:r>
      <w:r w:rsidR="00DD776A">
        <w:rPr>
          <w:rFonts w:asciiTheme="minorHAnsi" w:hAnsiTheme="minorHAnsi" w:cstheme="minorBidi"/>
        </w:rPr>
        <w:t xml:space="preserve"> </w:t>
      </w:r>
      <w:r w:rsidRPr="32C23EE7">
        <w:rPr>
          <w:rFonts w:asciiTheme="minorHAnsi" w:hAnsiTheme="minorHAnsi" w:cstheme="minorBidi"/>
        </w:rPr>
        <w:t>–</w:t>
      </w:r>
      <w:r w:rsidR="00DD776A">
        <w:rPr>
          <w:rFonts w:asciiTheme="minorHAnsi" w:hAnsiTheme="minorHAnsi" w:cstheme="minorBidi"/>
        </w:rPr>
        <w:t xml:space="preserve"> </w:t>
      </w:r>
      <w:r w:rsidRPr="32C23EE7">
        <w:rPr>
          <w:rFonts w:asciiTheme="minorHAnsi" w:hAnsiTheme="minorHAnsi" w:cstheme="minorBidi"/>
        </w:rPr>
        <w:t>2021 byla závazkováno mírně nižší částka z celkové alokace TP OP PIK, která odpovídá cca 30 % této alokace, lze očekávat průměrné roční výdaje v přibližně stejné výši. S ohledem na platnost pravidla N+3 bude možné prostředky TP čerpat až do roku 2023. Při uvažování průměrných ročních výdajů na TP v intervalu cca 300</w:t>
      </w:r>
      <w:r w:rsidR="00DD776A">
        <w:rPr>
          <w:rFonts w:asciiTheme="minorHAnsi" w:hAnsiTheme="minorHAnsi" w:cstheme="minorBidi"/>
        </w:rPr>
        <w:t xml:space="preserve"> </w:t>
      </w:r>
      <w:r w:rsidRPr="32C23EE7">
        <w:rPr>
          <w:rFonts w:asciiTheme="minorHAnsi" w:hAnsiTheme="minorHAnsi" w:cstheme="minorBidi"/>
        </w:rPr>
        <w:t>–</w:t>
      </w:r>
      <w:r w:rsidR="00DD776A">
        <w:rPr>
          <w:rFonts w:asciiTheme="minorHAnsi" w:hAnsiTheme="minorHAnsi" w:cstheme="minorBidi"/>
        </w:rPr>
        <w:t xml:space="preserve"> </w:t>
      </w:r>
      <w:r w:rsidRPr="32C23EE7">
        <w:rPr>
          <w:rFonts w:asciiTheme="minorHAnsi" w:hAnsiTheme="minorHAnsi" w:cstheme="minorBidi"/>
        </w:rPr>
        <w:t>390</w:t>
      </w:r>
      <w:r w:rsidRPr="32C23EE7">
        <w:rPr>
          <w:rStyle w:val="Znakapoznpodarou"/>
          <w:rFonts w:asciiTheme="minorHAnsi" w:hAnsiTheme="minorHAnsi" w:cstheme="minorBidi"/>
        </w:rPr>
        <w:footnoteReference w:id="3"/>
      </w:r>
      <w:r w:rsidRPr="32C23EE7">
        <w:rPr>
          <w:rFonts w:asciiTheme="minorHAnsi" w:hAnsiTheme="minorHAnsi" w:cstheme="minorBidi"/>
        </w:rPr>
        <w:t xml:space="preserve"> mil. Kč lze očekávat, že celkové čerpání prostředků TP dosáhne cca 2,45</w:t>
      </w:r>
      <w:r w:rsidR="00DD776A">
        <w:rPr>
          <w:rFonts w:asciiTheme="minorHAnsi" w:hAnsiTheme="minorHAnsi" w:cstheme="minorBidi"/>
        </w:rPr>
        <w:t xml:space="preserve"> </w:t>
      </w:r>
      <w:r w:rsidRPr="32C23EE7">
        <w:rPr>
          <w:rFonts w:asciiTheme="minorHAnsi" w:hAnsiTheme="minorHAnsi" w:cstheme="minorBidi"/>
        </w:rPr>
        <w:t>–</w:t>
      </w:r>
      <w:r w:rsidR="00DD776A">
        <w:rPr>
          <w:rFonts w:asciiTheme="minorHAnsi" w:hAnsiTheme="minorHAnsi" w:cstheme="minorBidi"/>
        </w:rPr>
        <w:t xml:space="preserve"> </w:t>
      </w:r>
      <w:r w:rsidRPr="32C23EE7">
        <w:rPr>
          <w:rFonts w:asciiTheme="minorHAnsi" w:hAnsiTheme="minorHAnsi" w:cstheme="minorBidi"/>
        </w:rPr>
        <w:t>2,9 mld. Kč, tedy nanejvýš 63</w:t>
      </w:r>
      <w:r w:rsidR="00DD776A">
        <w:rPr>
          <w:rFonts w:asciiTheme="minorHAnsi" w:hAnsiTheme="minorHAnsi" w:cstheme="minorBidi"/>
        </w:rPr>
        <w:t xml:space="preserve"> </w:t>
      </w:r>
      <w:r w:rsidRPr="32C23EE7">
        <w:rPr>
          <w:rFonts w:asciiTheme="minorHAnsi" w:hAnsiTheme="minorHAnsi" w:cstheme="minorBidi"/>
        </w:rPr>
        <w:t>–</w:t>
      </w:r>
      <w:r w:rsidR="00DD776A">
        <w:rPr>
          <w:rFonts w:asciiTheme="minorHAnsi" w:hAnsiTheme="minorHAnsi" w:cstheme="minorBidi"/>
        </w:rPr>
        <w:t xml:space="preserve"> </w:t>
      </w:r>
      <w:r w:rsidRPr="32C23EE7">
        <w:rPr>
          <w:rFonts w:asciiTheme="minorHAnsi" w:hAnsiTheme="minorHAnsi" w:cstheme="minorBidi"/>
        </w:rPr>
        <w:t>74 % alokace TP OP PIK.</w:t>
      </w:r>
    </w:p>
    <w:bookmarkEnd w:id="55"/>
    <w:p w14:paraId="35AE738A" w14:textId="77777777" w:rsidR="000F1C75" w:rsidRDefault="000F1C75" w:rsidP="000F1C75">
      <w:pPr>
        <w:rPr>
          <w:b/>
          <w:bCs/>
        </w:rPr>
      </w:pPr>
    </w:p>
    <w:p w14:paraId="009350A0" w14:textId="77777777" w:rsidR="000F1C75" w:rsidRDefault="000F1C75" w:rsidP="000F1C75">
      <w:pPr>
        <w:pStyle w:val="Nadpis6"/>
      </w:pPr>
      <w:r>
        <w:t>Analýza faktorů, které měly vliv na alokaci TP</w:t>
      </w:r>
    </w:p>
    <w:p w14:paraId="2E88B549" w14:textId="77777777" w:rsidR="000F1C75" w:rsidRDefault="000F1C75" w:rsidP="000F1C75">
      <w:r>
        <w:t xml:space="preserve">Alokace TP byla nastavena na základě zkušeností s implementací TP v předchozím programu, OP PI </w:t>
      </w:r>
      <w:bookmarkStart w:id="56" w:name="_Hlk46232932"/>
      <w:r w:rsidR="00B04C38">
        <w:br/>
      </w:r>
      <w:r>
        <w:t>a na základě doporučení zpracovatele dokumentu „Analýza absorpční kapacity a návrh cílových hodnot indikátorů OP PIK 2014</w:t>
      </w:r>
      <w:r w:rsidR="00B04C38">
        <w:t xml:space="preserve"> </w:t>
      </w:r>
      <w:r>
        <w:t>–</w:t>
      </w:r>
      <w:r w:rsidR="00B04C38">
        <w:t xml:space="preserve"> </w:t>
      </w:r>
      <w:r>
        <w:t>2020“ z roku 2014</w:t>
      </w:r>
      <w:r>
        <w:rPr>
          <w:rStyle w:val="Znakapoznpodarou"/>
        </w:rPr>
        <w:footnoteReference w:id="4"/>
      </w:r>
      <w:r>
        <w:t>.</w:t>
      </w:r>
      <w:bookmarkEnd w:id="56"/>
      <w:r>
        <w:t xml:space="preserve"> </w:t>
      </w:r>
    </w:p>
    <w:p w14:paraId="4D9F7CF9" w14:textId="77777777" w:rsidR="000F1C75" w:rsidRDefault="000F1C75" w:rsidP="000F1C75">
      <w:r>
        <w:t>Celková alokace předchozího programu OP PI pro období 2007</w:t>
      </w:r>
      <w:r w:rsidR="00B04C38">
        <w:t xml:space="preserve"> </w:t>
      </w:r>
      <w:r w:rsidRPr="008446DC">
        <w:rPr>
          <w:rFonts w:ascii="Arial" w:hAnsi="Arial" w:cs="Arial"/>
          <w:color w:val="202122"/>
          <w:sz w:val="21"/>
          <w:szCs w:val="21"/>
          <w:shd w:val="clear" w:color="auto" w:fill="FFFFFF"/>
        </w:rPr>
        <w:t>–</w:t>
      </w:r>
      <w:r w:rsidR="00B04C38">
        <w:rPr>
          <w:rFonts w:ascii="Arial" w:hAnsi="Arial" w:cs="Arial"/>
          <w:color w:val="202122"/>
          <w:sz w:val="21"/>
          <w:szCs w:val="21"/>
          <w:shd w:val="clear" w:color="auto" w:fill="FFFFFF"/>
        </w:rPr>
        <w:t xml:space="preserve"> </w:t>
      </w:r>
      <w:r w:rsidRPr="008446DC">
        <w:rPr>
          <w:rFonts w:ascii="Arial" w:hAnsi="Arial" w:cs="Arial"/>
          <w:color w:val="202122"/>
          <w:sz w:val="21"/>
          <w:szCs w:val="21"/>
          <w:shd w:val="clear" w:color="auto" w:fill="FFFFFF"/>
        </w:rPr>
        <w:t>2013</w:t>
      </w:r>
      <w:r>
        <w:t xml:space="preserve"> činila 3,12 mld EUR (příspěvek EU), tedy cca 72 % alokace OP PIK. Původní alokace na TP v tomto programu činila 91,4 mil. EUR (příspěvek EU), tedy 2,93 % alokace programu. To zcela odpovídá podílu původní alokace na TP v novém programu OP PIK.</w:t>
      </w:r>
    </w:p>
    <w:p w14:paraId="7A8A3E6C" w14:textId="48726593" w:rsidR="000F1C75" w:rsidRDefault="000F1C75" w:rsidP="000F1C75">
      <w:r>
        <w:t xml:space="preserve">V průběhu následujících revizí OP PI došlo ale ke snížení alokace na TP. V poslední verzi programu </w:t>
      </w:r>
      <w:r w:rsidR="00B04C38">
        <w:br/>
      </w:r>
      <w:r>
        <w:t xml:space="preserve">ze září 2015 již alokace prostředků EU na TP činí pouze 57,8 mil. EUR, tedy 1,85 % alokace. </w:t>
      </w:r>
      <w:r w:rsidR="00B04C38">
        <w:br/>
      </w:r>
      <w:r>
        <w:t xml:space="preserve">Se započítáním spolufinancování </w:t>
      </w:r>
      <w:r w:rsidR="00B04C38">
        <w:t>z</w:t>
      </w:r>
      <w:r>
        <w:t xml:space="preserve"> národních zdrojů činí celková alokace na TP ve finální verzi OP PI cca 68 mil. EUR. Došlo tedy ke snížení alokace o cca 37 %. Toto snížení odpovídá dolní hranici predikce čerpání TP OP PIK, uvedené výše (predikce uvádí, že lze očekávat čerpání ve výši </w:t>
      </w:r>
      <w:r w:rsidR="00B04C38">
        <w:br/>
      </w:r>
      <w:r>
        <w:t>cca 63</w:t>
      </w:r>
      <w:r w:rsidR="00B04C38">
        <w:t xml:space="preserve"> </w:t>
      </w:r>
      <w:r>
        <w:t>–</w:t>
      </w:r>
      <w:r w:rsidR="00B04C38">
        <w:t xml:space="preserve"> </w:t>
      </w:r>
      <w:r>
        <w:t>74 % alokace).</w:t>
      </w:r>
    </w:p>
    <w:p w14:paraId="2489B537" w14:textId="77777777" w:rsidR="000F1C75" w:rsidRDefault="000F1C75" w:rsidP="000F1C75">
      <w:r>
        <w:t xml:space="preserve">Ve výsledku činí celková alokace TP programu OP PI cca 46 % alokace na TP v programu OP PIK, zatímco podíl celkové alokace programu OP PI na jeho pokračujícím programu OP PIK činí 72 %. </w:t>
      </w:r>
    </w:p>
    <w:p w14:paraId="51F9BBBF" w14:textId="77777777" w:rsidR="000F1C75" w:rsidRDefault="000F1C75" w:rsidP="000F1C75"/>
    <w:p w14:paraId="74A47423" w14:textId="5EC41D73" w:rsidR="000F1C75" w:rsidRDefault="000F1C75" w:rsidP="000F1C75">
      <w:r>
        <w:t>Při analýze skutečného čerpání TP v předchozím programu OP</w:t>
      </w:r>
      <w:r w:rsidR="00E52B39">
        <w:t xml:space="preserve"> </w:t>
      </w:r>
      <w:r>
        <w:t>PI lze vyjít ze dvou zdrojů:</w:t>
      </w:r>
    </w:p>
    <w:p w14:paraId="6408562D" w14:textId="77777777" w:rsidR="000F1C75" w:rsidRDefault="000F1C75" w:rsidP="000F1C75">
      <w:pPr>
        <w:pStyle w:val="Odstavecseseznamem"/>
        <w:numPr>
          <w:ilvl w:val="0"/>
          <w:numId w:val="8"/>
        </w:numPr>
        <w:spacing w:after="160" w:line="259" w:lineRule="auto"/>
        <w:jc w:val="left"/>
      </w:pPr>
      <w:r>
        <w:t>Poslední čtvrtletní monitorovací zpráva zveřejněná NOK ve vztahu k programovému období 2007</w:t>
      </w:r>
      <w:r w:rsidR="00B04C38">
        <w:t xml:space="preserve"> </w:t>
      </w:r>
      <w:r>
        <w:t>–</w:t>
      </w:r>
      <w:r w:rsidR="00B04C38">
        <w:t xml:space="preserve"> </w:t>
      </w:r>
      <w:r>
        <w:t>2013, a sice zpráva za druhý kvartál roku 2016, uvádí následující data:</w:t>
      </w:r>
    </w:p>
    <w:p w14:paraId="2EDEF91B" w14:textId="24AA9F38" w:rsidR="000F1C75" w:rsidRDefault="000F1C75" w:rsidP="000F1C75">
      <w:pPr>
        <w:pStyle w:val="Odstavecseseznamem"/>
        <w:numPr>
          <w:ilvl w:val="1"/>
          <w:numId w:val="8"/>
        </w:numPr>
        <w:spacing w:after="160" w:line="259" w:lineRule="auto"/>
        <w:jc w:val="left"/>
      </w:pPr>
      <w:r>
        <w:t>Celkové proplacené (vyúčtované) prostředky za projekty podpořené v rámci TP OP</w:t>
      </w:r>
      <w:r w:rsidR="00E52B39">
        <w:t xml:space="preserve"> </w:t>
      </w:r>
      <w:r>
        <w:t>PI činily 1,93 mld. Kč (při kurzu 27,1 CZK/1 EUR).</w:t>
      </w:r>
    </w:p>
    <w:p w14:paraId="3B0744D8" w14:textId="77777777" w:rsidR="000F1C75" w:rsidRDefault="000F1C75" w:rsidP="000F1C75">
      <w:pPr>
        <w:pStyle w:val="Odstavecseseznamem"/>
        <w:numPr>
          <w:ilvl w:val="1"/>
          <w:numId w:val="8"/>
        </w:numPr>
        <w:spacing w:after="160" w:line="259" w:lineRule="auto"/>
        <w:jc w:val="left"/>
      </w:pPr>
      <w:r>
        <w:t xml:space="preserve">Prostředky zahrnuté do souhrnných žádostí zaúčtovaných PCO (tedy bylo požádáno </w:t>
      </w:r>
      <w:r w:rsidR="00B04C38">
        <w:br/>
      </w:r>
      <w:r>
        <w:t>o jejich certifikaci EK) činily 1,8 mld. Kč</w:t>
      </w:r>
      <w:r w:rsidR="00B04C38">
        <w:t>.</w:t>
      </w:r>
    </w:p>
    <w:p w14:paraId="20E8E99D" w14:textId="77777777" w:rsidR="000F1C75" w:rsidRDefault="000F1C75" w:rsidP="000F1C75">
      <w:pPr>
        <w:pStyle w:val="Odstavecseseznamem"/>
        <w:numPr>
          <w:ilvl w:val="0"/>
          <w:numId w:val="8"/>
        </w:numPr>
        <w:spacing w:after="160" w:line="259" w:lineRule="auto"/>
        <w:jc w:val="left"/>
      </w:pPr>
      <w:r>
        <w:t>Přehled projektů podpořených ze Strukturálních fondů EU v ČR v období 2007</w:t>
      </w:r>
      <w:r w:rsidR="00B04C38">
        <w:t xml:space="preserve"> </w:t>
      </w:r>
      <w:r>
        <w:t>–</w:t>
      </w:r>
      <w:r w:rsidR="00B04C38">
        <w:t xml:space="preserve"> </w:t>
      </w:r>
      <w:r>
        <w:t>2013, zveřejněný NOK, poskytuje (nejaktuálnější verze k 5/2017) následující data:</w:t>
      </w:r>
    </w:p>
    <w:p w14:paraId="2256E907" w14:textId="40AAE409" w:rsidR="000F1C75" w:rsidRDefault="000F1C75" w:rsidP="000F1C75">
      <w:pPr>
        <w:pStyle w:val="Odstavecseseznamem"/>
        <w:numPr>
          <w:ilvl w:val="1"/>
          <w:numId w:val="8"/>
        </w:numPr>
        <w:spacing w:after="160" w:line="259" w:lineRule="auto"/>
        <w:jc w:val="left"/>
      </w:pPr>
      <w:r>
        <w:t>Kumulativní výše prostředků proplacených příjemcům v rámci TP OP</w:t>
      </w:r>
      <w:r w:rsidR="00E52B39">
        <w:t xml:space="preserve"> </w:t>
      </w:r>
      <w:r>
        <w:t xml:space="preserve">PI činí </w:t>
      </w:r>
      <w:r w:rsidR="00B04C38">
        <w:br/>
      </w:r>
      <w:r>
        <w:t>2,27 mld Kč (veřejné zdroje celkem</w:t>
      </w:r>
      <w:r w:rsidR="00B04C38">
        <w:t xml:space="preserve"> </w:t>
      </w:r>
      <w:r>
        <w:t>–</w:t>
      </w:r>
      <w:r w:rsidR="00B04C38">
        <w:t xml:space="preserve"> </w:t>
      </w:r>
      <w:r>
        <w:t>včetně spolufinancování)</w:t>
      </w:r>
      <w:r w:rsidR="00B04C38">
        <w:t>.</w:t>
      </w:r>
    </w:p>
    <w:p w14:paraId="7B3685D6" w14:textId="76FB0C0D" w:rsidR="000F1C75" w:rsidRDefault="000F1C75" w:rsidP="000F1C75">
      <w:pPr>
        <w:pStyle w:val="Odstavecseseznamem"/>
        <w:numPr>
          <w:ilvl w:val="1"/>
          <w:numId w:val="8"/>
        </w:numPr>
        <w:spacing w:after="160" w:line="259" w:lineRule="auto"/>
        <w:jc w:val="left"/>
      </w:pPr>
      <w:r>
        <w:t>Certifikované prostředky proplacené v rámci TP OP</w:t>
      </w:r>
      <w:r w:rsidR="00E52B39">
        <w:t xml:space="preserve"> </w:t>
      </w:r>
      <w:r>
        <w:t xml:space="preserve">PI činí 1,59 mld. Kč, z toho </w:t>
      </w:r>
      <w:r w:rsidR="00B04C38">
        <w:br/>
      </w:r>
      <w:r>
        <w:t>1,35 mld. Kč zdrojů EU.</w:t>
      </w:r>
    </w:p>
    <w:p w14:paraId="75B949D7" w14:textId="180A4650" w:rsidR="000F1C75" w:rsidRDefault="000F1C75" w:rsidP="000F1C75">
      <w:r>
        <w:t xml:space="preserve">Při zohlednění rozdílu ve velikosti obou programů (viz výše) by uvedená data celkového čerpání </w:t>
      </w:r>
      <w:r w:rsidR="00B04C38">
        <w:br/>
      </w:r>
      <w:r>
        <w:t>TP OP</w:t>
      </w:r>
      <w:r w:rsidR="00E52B39">
        <w:t xml:space="preserve"> </w:t>
      </w:r>
      <w:r>
        <w:t>PI odpovídala cca 2,2 (certifikováno)</w:t>
      </w:r>
      <w:r w:rsidR="00B04C38">
        <w:t xml:space="preserve"> </w:t>
      </w:r>
      <w:r>
        <w:t>–</w:t>
      </w:r>
      <w:r w:rsidR="00B04C38">
        <w:t xml:space="preserve"> </w:t>
      </w:r>
      <w:r>
        <w:t>3,15 (proplaceno) mld. Kč v kontextu OP PIK. Tyto hodnoty se opět přibližují formulované predikci čerpání.</w:t>
      </w:r>
    </w:p>
    <w:p w14:paraId="6052BAE9" w14:textId="77777777" w:rsidR="000F1C75" w:rsidRDefault="000F1C75" w:rsidP="000F1C75"/>
    <w:p w14:paraId="60D95595" w14:textId="77777777" w:rsidR="000F1C75" w:rsidRPr="00E72C68" w:rsidRDefault="000F1C75" w:rsidP="000F1C75">
      <w:r>
        <w:lastRenderedPageBreak/>
        <w:t>Celkově tedy lze uvést, že alokace TP v OP PIK byla primárně založena na zkušenosti z předchozího PO, nedostatečně ale zohlednila zkušenost s </w:t>
      </w:r>
      <w:r>
        <w:rPr>
          <w:u w:val="single"/>
        </w:rPr>
        <w:t>implementací</w:t>
      </w:r>
      <w:r>
        <w:t xml:space="preserve"> TP v předchozím operačním programu, kdy výsledné čerpání TP bylo výrazně nižší než původně stanovaná alokace.</w:t>
      </w:r>
    </w:p>
    <w:p w14:paraId="0CB52646" w14:textId="77777777" w:rsidR="000F1C75" w:rsidRPr="000F1C75" w:rsidRDefault="000F1C75" w:rsidP="000F1C75">
      <w:pPr>
        <w:rPr>
          <w:lang w:val="fr-FR" w:eastAsia="cs-CZ"/>
        </w:rPr>
      </w:pPr>
    </w:p>
    <w:p w14:paraId="1C8A098C" w14:textId="77777777" w:rsidR="005C425E" w:rsidRDefault="005C425E" w:rsidP="00C173BC">
      <w:pPr>
        <w:pStyle w:val="Nadpis1"/>
        <w:rPr>
          <w:snapToGrid w:val="0"/>
          <w:lang w:val="fr-FR"/>
        </w:rPr>
      </w:pPr>
      <w:bookmarkStart w:id="57" w:name="_Toc50456786"/>
      <w:r>
        <w:rPr>
          <w:snapToGrid w:val="0"/>
          <w:lang w:val="fr-FR"/>
        </w:rPr>
        <w:lastRenderedPageBreak/>
        <w:t>Doplňující informace k EO 6</w:t>
      </w:r>
      <w:bookmarkEnd w:id="57"/>
    </w:p>
    <w:p w14:paraId="769D0996" w14:textId="77777777" w:rsidR="000F1C75" w:rsidRDefault="000F1C75" w:rsidP="000F1C75">
      <w:bookmarkStart w:id="58" w:name="_Hlk46233214"/>
      <w:r>
        <w:t>Procesy finančního řízení a monitoringu čerpání TP byly popsány v rámci procesní analýzy (EO 2</w:t>
      </w:r>
      <w:r w:rsidR="00B04C38">
        <w:t xml:space="preserve"> </w:t>
      </w:r>
      <w:r>
        <w:t>–</w:t>
      </w:r>
      <w:r w:rsidR="00B04C38">
        <w:t xml:space="preserve"> </w:t>
      </w:r>
      <w:r>
        <w:t>4).</w:t>
      </w:r>
      <w:bookmarkEnd w:id="58"/>
      <w:r>
        <w:t xml:space="preserve"> V členění dle OM jsou tyto aktivity součástí skupiny procesů S06. Finanční čerpání TP je monitorováno primárně pro potřeby zpracování výročních zpráv o implementaci OP, monitoring je dále také součástí zpracovávání a vyhodnocování SRP. Pracovníci ŘO mají data o čerpání TP operativně k dispozici na základě postupu v implementaci IP. Na základě procesní analýzy ani informací poskytnutých pracovníky ŘO tak nebyl identifikován žádný deficit ve vztahu k dostupnosti informací o čerpání TP.</w:t>
      </w:r>
    </w:p>
    <w:p w14:paraId="0185B582" w14:textId="77777777" w:rsidR="000F1C75" w:rsidRPr="000F1C75" w:rsidRDefault="000F1C75" w:rsidP="000F1C75">
      <w:pPr>
        <w:rPr>
          <w:lang w:val="fr-FR" w:eastAsia="cs-CZ"/>
        </w:rPr>
      </w:pPr>
      <w:r>
        <w:t xml:space="preserve">Jak je zřejmé z odpovědi na EO 5, skutečné čerpání TP neodpovídá původním odhadům. </w:t>
      </w:r>
      <w:r w:rsidR="00B04C38">
        <w:br/>
      </w:r>
      <w:r>
        <w:t>Ve tříletém období 2016</w:t>
      </w:r>
      <w:r w:rsidR="00B04C38">
        <w:t xml:space="preserve"> </w:t>
      </w:r>
      <w:r>
        <w:t>–</w:t>
      </w:r>
      <w:r w:rsidR="00B04C38">
        <w:t xml:space="preserve"> </w:t>
      </w:r>
      <w:r>
        <w:t>2018 bylo kumulativně vyčerpáno pouze cca 73 % celkové výše schválených rozpočtů IP. Zatímco výdaje, které lze snadněji predikovat (osobní výdaje, provozní výdaje atd.) spíše odpovídají původním odhadům, velmi nedostatečné je čerpání především u výdajů na publicitu a externí služby. Dle informací poskytnutých pracovníky ŘO je tato skutečnost způsobena především velmi operativním charakterem TP, který se vyznačuje určitou „živelností“. Implementace TP bezprostředně reaguje na operativní potřeby ŘO a ZS, je proto obtížnější ji přesně naplánovat</w:t>
      </w:r>
      <w:r w:rsidR="00B04C38">
        <w:t xml:space="preserve"> </w:t>
      </w:r>
      <w:r>
        <w:t>–</w:t>
      </w:r>
      <w:r w:rsidR="00B04C38">
        <w:t xml:space="preserve"> </w:t>
      </w:r>
      <w:r w:rsidR="00B04C38">
        <w:br/>
      </w:r>
      <w:r>
        <w:t xml:space="preserve">a to především v nákladech, které nemají fixní charakter. Výrazné nedočerpávání některých plánovaných výdajů TP je částečně způsobeno změnami ve způsobu implementace klíčových procesů ve vztahu k řízení OP (například původní předpoklad zapojení externích subjektů do hodnocení </w:t>
      </w:r>
      <w:r w:rsidR="00507C75">
        <w:br/>
      </w:r>
      <w:r>
        <w:t xml:space="preserve">a kontrolní činnosti byl důvodem vysoké alokace na externí služby, která </w:t>
      </w:r>
      <w:r w:rsidR="00244D06">
        <w:t xml:space="preserve">prozatím </w:t>
      </w:r>
      <w:r>
        <w:t xml:space="preserve">nebyla využita) </w:t>
      </w:r>
      <w:r w:rsidR="00507C75">
        <w:br/>
      </w:r>
      <w:r>
        <w:t>a částečně je také způsobena zdržením v administraci VŘ (například VŘ na právní služby, které mělo být rovněž součástí externích služeb). Kombinace obou faktorů je také důvodem výrazného nedočerpání předpokládaného rozpočtu na publicitu (doposud nebyl realizován původní plán rozsáhlejší propagační kampaně). Jak ovšem bylo uvedeno dříve, zkušenost s čerpáním prostředků v období 2016</w:t>
      </w:r>
      <w:r w:rsidR="00507C75">
        <w:t xml:space="preserve"> </w:t>
      </w:r>
      <w:r>
        <w:t>–</w:t>
      </w:r>
      <w:r w:rsidR="00507C75">
        <w:t xml:space="preserve"> </w:t>
      </w:r>
      <w:r>
        <w:t>2018 se jen omezeně projevila při plánování výdajů TP na další tříleté období 2019</w:t>
      </w:r>
      <w:r w:rsidR="00507C75">
        <w:t xml:space="preserve"> </w:t>
      </w:r>
      <w:r>
        <w:t>–2021. Zástupci ŘO toto vysvětlují tím, že významná část finančně nákladných aktivit, jejichž náklady měly být financovány z IP v období 2016</w:t>
      </w:r>
      <w:r w:rsidR="00507C75">
        <w:t xml:space="preserve"> </w:t>
      </w:r>
      <w:r>
        <w:t>–</w:t>
      </w:r>
      <w:r w:rsidR="00507C75">
        <w:t xml:space="preserve"> </w:t>
      </w:r>
      <w:r>
        <w:t>2018 nebyly zrušeny, pouze se posunulo zahájení jejich realizace (například je nadále plánováno zahájení marketingové kampaně programu s cílem zrychlit čerpání programu). Odpovědní pracovníci ŘO tedy předpokládají, že čerpání IP v období 2019</w:t>
      </w:r>
      <w:r w:rsidR="00507C75">
        <w:t xml:space="preserve"> </w:t>
      </w:r>
      <w:r>
        <w:t>–</w:t>
      </w:r>
      <w:r w:rsidR="00507C75">
        <w:t xml:space="preserve"> </w:t>
      </w:r>
      <w:r>
        <w:t>2021 bude lépe odpovídat plánovaným výdajům a dojde k čerpání položek, které jsou doposud nedostatečně využívány. Hodnotitel ovšem v okamžiku zpracování evaluace nemá dostatek informací k nezávislé verifikaci takového trendu.</w:t>
      </w:r>
    </w:p>
    <w:p w14:paraId="0190F301" w14:textId="77777777" w:rsidR="005C425E" w:rsidRDefault="005C425E" w:rsidP="00C173BC">
      <w:pPr>
        <w:pStyle w:val="Nadpis1"/>
        <w:rPr>
          <w:snapToGrid w:val="0"/>
          <w:lang w:val="fr-FR"/>
        </w:rPr>
      </w:pPr>
      <w:bookmarkStart w:id="59" w:name="_Toc50456787"/>
      <w:r>
        <w:rPr>
          <w:snapToGrid w:val="0"/>
          <w:lang w:val="fr-FR"/>
        </w:rPr>
        <w:lastRenderedPageBreak/>
        <w:t>Doplňující informace k EO 7</w:t>
      </w:r>
      <w:bookmarkEnd w:id="59"/>
    </w:p>
    <w:p w14:paraId="30C71860" w14:textId="77777777" w:rsidR="000F1C75" w:rsidRDefault="000F1C75" w:rsidP="000F1C75">
      <w:pPr>
        <w:pStyle w:val="Nadpis6"/>
      </w:pPr>
      <w:r>
        <w:t>Představení cílů a jejich kvantifikací</w:t>
      </w:r>
    </w:p>
    <w:p w14:paraId="60FEE3E3" w14:textId="77777777" w:rsidR="000F1C75" w:rsidRDefault="000F1C75" w:rsidP="000F1C75">
      <w:pPr>
        <w:pStyle w:val="Cnormln"/>
        <w:spacing w:before="60" w:after="60"/>
        <w:jc w:val="both"/>
        <w:rPr>
          <w:rFonts w:asciiTheme="minorHAnsi" w:hAnsiTheme="minorHAnsi" w:cstheme="minorHAnsi"/>
          <w:bCs/>
        </w:rPr>
      </w:pPr>
      <w:bookmarkStart w:id="60" w:name="_Hlk46234231"/>
      <w:r w:rsidRPr="009A7FB6">
        <w:rPr>
          <w:rFonts w:asciiTheme="minorHAnsi" w:hAnsiTheme="minorHAnsi" w:cstheme="minorHAnsi"/>
        </w:rPr>
        <w:t>C</w:t>
      </w:r>
      <w:r>
        <w:rPr>
          <w:rFonts w:asciiTheme="minorHAnsi" w:hAnsiTheme="minorHAnsi" w:cstheme="minorHAnsi"/>
        </w:rPr>
        <w:t>í</w:t>
      </w:r>
      <w:r w:rsidRPr="009A7FB6">
        <w:rPr>
          <w:rFonts w:asciiTheme="minorHAnsi" w:hAnsiTheme="minorHAnsi" w:cstheme="minorHAnsi"/>
        </w:rPr>
        <w:t xml:space="preserve">le </w:t>
      </w:r>
      <w:r>
        <w:rPr>
          <w:rFonts w:asciiTheme="minorHAnsi" w:hAnsiTheme="minorHAnsi" w:cstheme="minorHAnsi"/>
        </w:rPr>
        <w:t>TP jsou v programovém dokumentu formulovány následovně:</w:t>
      </w:r>
    </w:p>
    <w:p w14:paraId="2D79782F" w14:textId="77777777" w:rsidR="000F1C75" w:rsidRPr="009A7FB6" w:rsidRDefault="000F1C75" w:rsidP="000F1C75">
      <w:pPr>
        <w:pStyle w:val="Cnormln"/>
        <w:numPr>
          <w:ilvl w:val="0"/>
          <w:numId w:val="6"/>
        </w:numPr>
        <w:spacing w:before="60" w:after="60"/>
        <w:jc w:val="both"/>
        <w:rPr>
          <w:rFonts w:asciiTheme="minorHAnsi" w:hAnsiTheme="minorHAnsi" w:cstheme="minorHAnsi"/>
          <w:b/>
        </w:rPr>
      </w:pPr>
      <w:r>
        <w:rPr>
          <w:rFonts w:asciiTheme="minorHAnsi" w:hAnsiTheme="minorHAnsi" w:cstheme="minorHAnsi"/>
        </w:rPr>
        <w:t xml:space="preserve">SC 5.1: </w:t>
      </w:r>
      <w:r w:rsidRPr="009A7FB6">
        <w:rPr>
          <w:rFonts w:asciiTheme="minorHAnsi" w:hAnsiTheme="minorHAnsi" w:cstheme="minorHAnsi"/>
        </w:rPr>
        <w:t>Zajištění efektivního řízení a administrace operačního programu</w:t>
      </w:r>
    </w:p>
    <w:p w14:paraId="280476D9" w14:textId="77777777" w:rsidR="000F1C75" w:rsidRPr="009A7FB6" w:rsidRDefault="000F1C75" w:rsidP="000F1C75">
      <w:pPr>
        <w:pStyle w:val="Cnormln"/>
        <w:numPr>
          <w:ilvl w:val="0"/>
          <w:numId w:val="6"/>
        </w:numPr>
        <w:spacing w:before="60" w:after="60"/>
        <w:jc w:val="both"/>
        <w:rPr>
          <w:rFonts w:asciiTheme="minorHAnsi" w:hAnsiTheme="minorHAnsi" w:cstheme="minorHAnsi"/>
        </w:rPr>
      </w:pPr>
      <w:r w:rsidRPr="009A7FB6">
        <w:rPr>
          <w:rFonts w:asciiTheme="minorHAnsi" w:hAnsiTheme="minorHAnsi" w:cstheme="minorHAnsi"/>
        </w:rPr>
        <w:t>SC 5.2: Zajištění informovanosti, publicity a absorpční kapacity</w:t>
      </w:r>
      <w:r>
        <w:rPr>
          <w:rFonts w:asciiTheme="minorHAnsi" w:hAnsiTheme="minorHAnsi" w:cstheme="minorHAnsi"/>
        </w:rPr>
        <w:t xml:space="preserve"> </w:t>
      </w:r>
      <w:r w:rsidRPr="009A7FB6">
        <w:rPr>
          <w:rFonts w:asciiTheme="minorHAnsi" w:hAnsiTheme="minorHAnsi" w:cstheme="minorHAnsi"/>
        </w:rPr>
        <w:t>operačního programu</w:t>
      </w:r>
      <w:bookmarkEnd w:id="60"/>
    </w:p>
    <w:p w14:paraId="4E501928" w14:textId="77777777" w:rsidR="000F1C75" w:rsidRDefault="000F1C75" w:rsidP="000F1C75">
      <w:pPr>
        <w:rPr>
          <w:b/>
          <w:bCs/>
        </w:rPr>
      </w:pPr>
    </w:p>
    <w:p w14:paraId="71E1E174" w14:textId="77777777" w:rsidR="000F1C75" w:rsidRDefault="000F1C75" w:rsidP="000F1C75">
      <w:r>
        <w:t>Tyto specifické cíle program rozpracovává do následujících očekávaných výsledků:</w:t>
      </w:r>
    </w:p>
    <w:p w14:paraId="01931BC0" w14:textId="77777777" w:rsidR="000F1C75" w:rsidRDefault="000F1C75" w:rsidP="000F1C75">
      <w:pPr>
        <w:rPr>
          <w:rFonts w:cstheme="minorHAnsi"/>
        </w:rPr>
      </w:pPr>
      <w:r>
        <w:rPr>
          <w:rFonts w:cstheme="minorHAnsi"/>
        </w:rPr>
        <w:t xml:space="preserve">SC 5.1: </w:t>
      </w:r>
      <w:r w:rsidRPr="009A7FB6">
        <w:rPr>
          <w:rFonts w:cstheme="minorHAnsi"/>
        </w:rPr>
        <w:t>Zajištění efektivního řízení a administrace operačního programu</w:t>
      </w:r>
      <w:r>
        <w:rPr>
          <w:rFonts w:cstheme="minorHAnsi"/>
        </w:rPr>
        <w:t>:</w:t>
      </w:r>
    </w:p>
    <w:p w14:paraId="039C4AED" w14:textId="77777777" w:rsidR="000F1C75" w:rsidRDefault="000F1C75" w:rsidP="000F1C75">
      <w:pPr>
        <w:pStyle w:val="Odstavecseseznamem"/>
        <w:numPr>
          <w:ilvl w:val="0"/>
          <w:numId w:val="11"/>
        </w:numPr>
        <w:spacing w:after="160" w:line="259" w:lineRule="auto"/>
        <w:jc w:val="left"/>
      </w:pPr>
      <w:r>
        <w:t>Optimální nastavení administrativní kapacity zajistí efektivní řízení programu (zaměstnanci implementační struktury, systém hodnocení projektů).</w:t>
      </w:r>
    </w:p>
    <w:p w14:paraId="1DF32617" w14:textId="77777777" w:rsidR="000F1C75" w:rsidRDefault="000F1C75" w:rsidP="000F1C75">
      <w:pPr>
        <w:pStyle w:val="Odstavecseseznamem"/>
        <w:numPr>
          <w:ilvl w:val="0"/>
          <w:numId w:val="11"/>
        </w:numPr>
        <w:spacing w:after="160" w:line="259" w:lineRule="auto"/>
        <w:jc w:val="left"/>
      </w:pPr>
      <w:r>
        <w:t>Optimální zajištění pracovních podmínek povede ke snížení fluktuace zaměstnanců implementační struktury.</w:t>
      </w:r>
    </w:p>
    <w:p w14:paraId="140903FA" w14:textId="77777777" w:rsidR="000F1C75" w:rsidRDefault="000F1C75" w:rsidP="000F1C75">
      <w:pPr>
        <w:pStyle w:val="Odstavecseseznamem"/>
        <w:numPr>
          <w:ilvl w:val="0"/>
          <w:numId w:val="11"/>
        </w:numPr>
        <w:spacing w:after="160" w:line="259" w:lineRule="auto"/>
        <w:jc w:val="left"/>
      </w:pPr>
      <w:r>
        <w:t>Vyšší úroveň vzdělávání a školení zajistí odpovídající kvalitu lidských zdrojů.</w:t>
      </w:r>
    </w:p>
    <w:p w14:paraId="38EA4A2D" w14:textId="77777777" w:rsidR="000F1C75" w:rsidRDefault="000F1C75" w:rsidP="000F1C75">
      <w:pPr>
        <w:pStyle w:val="Odstavecseseznamem"/>
        <w:numPr>
          <w:ilvl w:val="0"/>
          <w:numId w:val="11"/>
        </w:numPr>
        <w:spacing w:after="160" w:line="259" w:lineRule="auto"/>
        <w:jc w:val="left"/>
      </w:pPr>
      <w:r>
        <w:t xml:space="preserve">Zpracování jasných a přehledných metodik zajistí eliminaci častých změn, různých výkladů </w:t>
      </w:r>
      <w:r w:rsidR="00507C75">
        <w:br/>
      </w:r>
      <w:r>
        <w:t>a z nich plynoucích pochybení.</w:t>
      </w:r>
    </w:p>
    <w:p w14:paraId="0F2C72F6" w14:textId="6D42B4F1" w:rsidR="000F1C75" w:rsidRDefault="000F1C75" w:rsidP="000F1C75">
      <w:pPr>
        <w:pStyle w:val="Odstavecseseznamem"/>
        <w:numPr>
          <w:ilvl w:val="0"/>
          <w:numId w:val="11"/>
        </w:numPr>
        <w:spacing w:after="160" w:line="259" w:lineRule="auto"/>
        <w:jc w:val="left"/>
      </w:pPr>
      <w:r>
        <w:t>Efektivní využití a přenos informací pro řádnou administraci programu (ověřené postupy</w:t>
      </w:r>
      <w:r w:rsidR="00507C75">
        <w:br/>
      </w:r>
      <w:r>
        <w:t xml:space="preserve"> a příklady dobré praxe získané v průběhu implementace OP Podnikání a inovace </w:t>
      </w:r>
      <w:r w:rsidR="00507C75">
        <w:br/>
      </w:r>
      <w:r>
        <w:t>2007</w:t>
      </w:r>
      <w:r w:rsidR="00507C75">
        <w:t xml:space="preserve"> – </w:t>
      </w:r>
      <w:r>
        <w:t>2013).</w:t>
      </w:r>
    </w:p>
    <w:p w14:paraId="3742F1A1" w14:textId="77777777" w:rsidR="000F1C75" w:rsidRDefault="000F1C75" w:rsidP="000F1C75">
      <w:pPr>
        <w:pStyle w:val="Odstavecseseznamem"/>
        <w:numPr>
          <w:ilvl w:val="0"/>
          <w:numId w:val="11"/>
        </w:numPr>
        <w:spacing w:after="160" w:line="259" w:lineRule="auto"/>
        <w:jc w:val="left"/>
      </w:pPr>
      <w:r>
        <w:t>Činnost a jednání Monitorovacího výboru OP PIK, pracovních skupin.</w:t>
      </w:r>
    </w:p>
    <w:p w14:paraId="1E3C720D" w14:textId="77777777" w:rsidR="000F1C75" w:rsidRDefault="000F1C75" w:rsidP="000F1C75">
      <w:pPr>
        <w:pStyle w:val="Odstavecseseznamem"/>
        <w:numPr>
          <w:ilvl w:val="0"/>
          <w:numId w:val="11"/>
        </w:numPr>
        <w:spacing w:after="160" w:line="259" w:lineRule="auto"/>
        <w:jc w:val="left"/>
      </w:pPr>
      <w:r>
        <w:t>Efektivní nastavení kontrolního a monitorovacího systému.</w:t>
      </w:r>
    </w:p>
    <w:p w14:paraId="0FF017EB" w14:textId="77777777" w:rsidR="000F1C75" w:rsidRDefault="000F1C75" w:rsidP="000F1C75">
      <w:pPr>
        <w:rPr>
          <w:rFonts w:cstheme="minorHAnsi"/>
        </w:rPr>
      </w:pPr>
      <w:r>
        <w:t xml:space="preserve">SC 5.2: </w:t>
      </w:r>
      <w:r w:rsidRPr="009A7FB6">
        <w:rPr>
          <w:rFonts w:cstheme="minorHAnsi"/>
        </w:rPr>
        <w:t>Zajištění informovanosti, publicity a absorpční kapacity</w:t>
      </w:r>
      <w:r>
        <w:rPr>
          <w:rFonts w:cstheme="minorHAnsi"/>
        </w:rPr>
        <w:t xml:space="preserve"> </w:t>
      </w:r>
      <w:r w:rsidRPr="009A7FB6">
        <w:rPr>
          <w:rFonts w:cstheme="minorHAnsi"/>
        </w:rPr>
        <w:t>operačního programu</w:t>
      </w:r>
      <w:r w:rsidR="00507C75">
        <w:rPr>
          <w:rFonts w:cstheme="minorHAnsi"/>
        </w:rPr>
        <w:t>:</w:t>
      </w:r>
    </w:p>
    <w:p w14:paraId="08D258E2" w14:textId="77777777" w:rsidR="000F1C75" w:rsidRDefault="000F1C75" w:rsidP="000F1C75">
      <w:pPr>
        <w:pStyle w:val="Odstavecseseznamem"/>
        <w:numPr>
          <w:ilvl w:val="0"/>
          <w:numId w:val="12"/>
        </w:numPr>
        <w:spacing w:after="160" w:line="259" w:lineRule="auto"/>
        <w:jc w:val="left"/>
      </w:pPr>
      <w:r>
        <w:t>Posílení a zajištění absorpční kapacity programu.</w:t>
      </w:r>
    </w:p>
    <w:p w14:paraId="08A886A9" w14:textId="77777777" w:rsidR="000F1C75" w:rsidRDefault="000F1C75" w:rsidP="000F1C75">
      <w:pPr>
        <w:pStyle w:val="Odstavecseseznamem"/>
        <w:numPr>
          <w:ilvl w:val="0"/>
          <w:numId w:val="12"/>
        </w:numPr>
        <w:spacing w:after="160" w:line="259" w:lineRule="auto"/>
        <w:jc w:val="left"/>
      </w:pPr>
      <w:r>
        <w:t>Vyšší míra povědomí široké veřejnosti o programu.</w:t>
      </w:r>
    </w:p>
    <w:p w14:paraId="4442A97B" w14:textId="77777777" w:rsidR="000F1C75" w:rsidRDefault="000F1C75" w:rsidP="000F1C75">
      <w:pPr>
        <w:pStyle w:val="Odstavecseseznamem"/>
        <w:numPr>
          <w:ilvl w:val="0"/>
          <w:numId w:val="12"/>
        </w:numPr>
        <w:spacing w:after="160" w:line="259" w:lineRule="auto"/>
        <w:jc w:val="left"/>
      </w:pPr>
      <w:r>
        <w:t>Vyšší míra úspěšnosti projektových žádostí.</w:t>
      </w:r>
    </w:p>
    <w:p w14:paraId="4C6CB457" w14:textId="77777777" w:rsidR="000F1C75" w:rsidRDefault="000F1C75" w:rsidP="000F1C75">
      <w:pPr>
        <w:pStyle w:val="Odstavecseseznamem"/>
        <w:numPr>
          <w:ilvl w:val="0"/>
          <w:numId w:val="12"/>
        </w:numPr>
        <w:spacing w:after="160" w:line="259" w:lineRule="auto"/>
        <w:jc w:val="left"/>
      </w:pPr>
      <w:r>
        <w:t>Zajištění optimálního čerpání finančních prostředků programu prostřednictvím kvalitních projektů a efektivního využití výsledků evaluačních studií (včetně opatření na snížení administrativní zátěže).</w:t>
      </w:r>
    </w:p>
    <w:p w14:paraId="014F5396" w14:textId="77777777" w:rsidR="000F1C75" w:rsidRDefault="000F1C75" w:rsidP="000F1C75">
      <w:pPr>
        <w:pStyle w:val="Odstavecseseznamem"/>
        <w:numPr>
          <w:ilvl w:val="0"/>
          <w:numId w:val="12"/>
        </w:numPr>
        <w:spacing w:after="160" w:line="259" w:lineRule="auto"/>
        <w:jc w:val="left"/>
      </w:pPr>
      <w:r>
        <w:t xml:space="preserve">Zpracování jasných a přehledných manuálů, příruček a dalších informačních materiálů </w:t>
      </w:r>
      <w:r w:rsidR="00507C75">
        <w:br/>
      </w:r>
      <w:r>
        <w:t>pro žadatele zajistí eliminaci častých změn, různých výkladů a z nich plynoucích pochybení.</w:t>
      </w:r>
    </w:p>
    <w:p w14:paraId="5B465D22" w14:textId="77777777" w:rsidR="000F1C75" w:rsidRDefault="000F1C75" w:rsidP="000F1C75"/>
    <w:p w14:paraId="356FD1AC" w14:textId="77777777" w:rsidR="000F1C75" w:rsidRDefault="000F1C75" w:rsidP="000F1C75">
      <w:pPr>
        <w:pStyle w:val="Cnormln"/>
        <w:spacing w:before="60" w:after="60"/>
        <w:jc w:val="both"/>
        <w:rPr>
          <w:rFonts w:asciiTheme="minorHAnsi" w:hAnsiTheme="minorHAnsi" w:cstheme="minorHAnsi"/>
          <w:bCs/>
        </w:rPr>
      </w:pPr>
      <w:r>
        <w:rPr>
          <w:rFonts w:asciiTheme="minorHAnsi" w:hAnsiTheme="minorHAnsi" w:cstheme="minorHAnsi"/>
        </w:rPr>
        <w:t>Specifické cíle jsou kvantifikovány následujícími ukazateli výsledku:</w:t>
      </w:r>
    </w:p>
    <w:p w14:paraId="1DCB7D24" w14:textId="41DD2D8E" w:rsidR="000F1C75" w:rsidRDefault="000F1C75" w:rsidP="000F1C75">
      <w:pPr>
        <w:pStyle w:val="Titulek"/>
        <w:rPr>
          <w:rFonts w:cstheme="minorHAnsi"/>
          <w:bCs w:val="0"/>
        </w:rPr>
      </w:pPr>
      <w:bookmarkStart w:id="61" w:name="_Toc45657566"/>
      <w:bookmarkStart w:id="62" w:name="_Toc50456743"/>
      <w:r>
        <w:t xml:space="preserve">Tabulka </w:t>
      </w:r>
      <w:r w:rsidR="00C050DB">
        <w:fldChar w:fldCharType="begin"/>
      </w:r>
      <w:r w:rsidR="00C050DB">
        <w:instrText xml:space="preserve"> SEQ Tabulka \* ARABIC </w:instrText>
      </w:r>
      <w:r w:rsidR="00C050DB">
        <w:fldChar w:fldCharType="separate"/>
      </w:r>
      <w:r w:rsidR="00E96F43">
        <w:rPr>
          <w:noProof/>
        </w:rPr>
        <w:t>10</w:t>
      </w:r>
      <w:r w:rsidR="00C050DB">
        <w:rPr>
          <w:noProof/>
        </w:rPr>
        <w:fldChar w:fldCharType="end"/>
      </w:r>
      <w:r>
        <w:t>: Hlavní ukazatele výsledku TP OP PIK</w:t>
      </w:r>
      <w:bookmarkEnd w:id="61"/>
      <w:bookmarkEnd w:id="62"/>
    </w:p>
    <w:tbl>
      <w:tblPr>
        <w:tblStyle w:val="Styl1"/>
        <w:tblW w:w="0" w:type="auto"/>
        <w:tblLook w:val="04A0" w:firstRow="1" w:lastRow="0" w:firstColumn="1" w:lastColumn="0" w:noHBand="0" w:noVBand="1"/>
      </w:tblPr>
      <w:tblGrid>
        <w:gridCol w:w="505"/>
        <w:gridCol w:w="723"/>
        <w:gridCol w:w="3690"/>
        <w:gridCol w:w="954"/>
        <w:gridCol w:w="1598"/>
        <w:gridCol w:w="1559"/>
      </w:tblGrid>
      <w:tr w:rsidR="000F1C75" w:rsidRPr="009A7FB6" w14:paraId="3B857AE6" w14:textId="77777777" w:rsidTr="000F1C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5" w:type="dxa"/>
          </w:tcPr>
          <w:p w14:paraId="228C96C3" w14:textId="77777777" w:rsidR="000F1C75" w:rsidRPr="009A7FB6" w:rsidRDefault="000F1C75" w:rsidP="000F1C75">
            <w:pPr>
              <w:pStyle w:val="Cnormln"/>
              <w:spacing w:before="60" w:after="60"/>
              <w:jc w:val="both"/>
              <w:rPr>
                <w:rFonts w:asciiTheme="minorHAnsi" w:hAnsiTheme="minorHAnsi" w:cstheme="minorHAnsi"/>
                <w:b w:val="0"/>
                <w:sz w:val="20"/>
                <w:szCs w:val="20"/>
              </w:rPr>
            </w:pPr>
            <w:r w:rsidRPr="009A7FB6">
              <w:rPr>
                <w:rFonts w:asciiTheme="minorHAnsi" w:hAnsiTheme="minorHAnsi" w:cstheme="minorHAnsi"/>
                <w:sz w:val="20"/>
                <w:szCs w:val="20"/>
              </w:rPr>
              <w:t>SC</w:t>
            </w:r>
          </w:p>
        </w:tc>
        <w:tc>
          <w:tcPr>
            <w:tcW w:w="723" w:type="dxa"/>
          </w:tcPr>
          <w:p w14:paraId="068071AA" w14:textId="77777777" w:rsidR="000F1C75" w:rsidRPr="009A7FB6" w:rsidRDefault="000F1C75" w:rsidP="000F1C75">
            <w:pPr>
              <w:pStyle w:val="Cnormln"/>
              <w:spacing w:before="60" w:after="6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9A7FB6">
              <w:rPr>
                <w:rFonts w:asciiTheme="minorHAnsi" w:hAnsiTheme="minorHAnsi" w:cstheme="minorHAnsi"/>
                <w:sz w:val="20"/>
                <w:szCs w:val="20"/>
              </w:rPr>
              <w:t>ID</w:t>
            </w:r>
          </w:p>
        </w:tc>
        <w:tc>
          <w:tcPr>
            <w:tcW w:w="3690" w:type="dxa"/>
          </w:tcPr>
          <w:p w14:paraId="08952A6D" w14:textId="77777777" w:rsidR="000F1C75" w:rsidRPr="009A7FB6" w:rsidRDefault="000F1C75" w:rsidP="000F1C75">
            <w:pPr>
              <w:pStyle w:val="Cnormln"/>
              <w:spacing w:before="60" w:after="6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Pr>
                <w:rFonts w:asciiTheme="minorHAnsi" w:hAnsiTheme="minorHAnsi" w:cstheme="minorHAnsi"/>
                <w:sz w:val="20"/>
                <w:szCs w:val="20"/>
              </w:rPr>
              <w:t>Ukazatel</w:t>
            </w:r>
          </w:p>
        </w:tc>
        <w:tc>
          <w:tcPr>
            <w:tcW w:w="954" w:type="dxa"/>
          </w:tcPr>
          <w:p w14:paraId="5D895CC1" w14:textId="77777777" w:rsidR="000F1C75" w:rsidRPr="009A7FB6" w:rsidRDefault="000F1C75" w:rsidP="000F1C75">
            <w:pPr>
              <w:pStyle w:val="Cnormln"/>
              <w:spacing w:before="60" w:after="6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Pr>
                <w:rFonts w:asciiTheme="minorHAnsi" w:hAnsiTheme="minorHAnsi" w:cstheme="minorHAnsi"/>
                <w:sz w:val="20"/>
                <w:szCs w:val="20"/>
              </w:rPr>
              <w:t>Měrná jednotka</w:t>
            </w:r>
          </w:p>
        </w:tc>
        <w:tc>
          <w:tcPr>
            <w:tcW w:w="1598" w:type="dxa"/>
          </w:tcPr>
          <w:p w14:paraId="79B84B0D" w14:textId="77777777" w:rsidR="000F1C75" w:rsidRPr="009A7FB6" w:rsidRDefault="000F1C75" w:rsidP="000F1C75">
            <w:pPr>
              <w:pStyle w:val="Cnormln"/>
              <w:spacing w:before="60" w:after="6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Pr>
                <w:rFonts w:asciiTheme="minorHAnsi" w:hAnsiTheme="minorHAnsi" w:cstheme="minorHAnsi"/>
                <w:sz w:val="20"/>
                <w:szCs w:val="20"/>
              </w:rPr>
              <w:t>Vých. hodnota (2014)</w:t>
            </w:r>
          </w:p>
        </w:tc>
        <w:tc>
          <w:tcPr>
            <w:tcW w:w="1559" w:type="dxa"/>
          </w:tcPr>
          <w:p w14:paraId="2E2423FD" w14:textId="77777777" w:rsidR="000F1C75" w:rsidRPr="009A7FB6" w:rsidRDefault="000F1C75" w:rsidP="000F1C75">
            <w:pPr>
              <w:pStyle w:val="Cnormln"/>
              <w:spacing w:before="60" w:after="6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Pr>
                <w:rFonts w:asciiTheme="minorHAnsi" w:hAnsiTheme="minorHAnsi" w:cstheme="minorHAnsi"/>
                <w:sz w:val="20"/>
                <w:szCs w:val="20"/>
              </w:rPr>
              <w:t>Cílová hodnota (2023)</w:t>
            </w:r>
          </w:p>
        </w:tc>
      </w:tr>
      <w:tr w:rsidR="000F1C75" w:rsidRPr="009A7FB6" w14:paraId="112A42E5" w14:textId="77777777" w:rsidTr="000F1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 w:type="dxa"/>
          </w:tcPr>
          <w:p w14:paraId="0AC8A92B" w14:textId="77777777" w:rsidR="000F1C75" w:rsidRPr="009A7FB6" w:rsidRDefault="000F1C75" w:rsidP="000F1C75">
            <w:pPr>
              <w:pStyle w:val="Cnormln"/>
              <w:spacing w:before="60" w:after="60"/>
              <w:jc w:val="both"/>
              <w:rPr>
                <w:rFonts w:asciiTheme="minorHAnsi" w:hAnsiTheme="minorHAnsi" w:cstheme="minorHAnsi"/>
                <w:bCs w:val="0"/>
                <w:sz w:val="20"/>
                <w:szCs w:val="20"/>
              </w:rPr>
            </w:pPr>
            <w:r>
              <w:rPr>
                <w:rFonts w:asciiTheme="minorHAnsi" w:hAnsiTheme="minorHAnsi" w:cstheme="minorHAnsi"/>
                <w:sz w:val="20"/>
                <w:szCs w:val="20"/>
              </w:rPr>
              <w:t>5.1</w:t>
            </w:r>
          </w:p>
        </w:tc>
        <w:tc>
          <w:tcPr>
            <w:tcW w:w="723" w:type="dxa"/>
          </w:tcPr>
          <w:p w14:paraId="4F0E8168" w14:textId="77777777" w:rsidR="000F1C75" w:rsidRPr="009A7FB6" w:rsidRDefault="000F1C75" w:rsidP="000F1C75">
            <w:pPr>
              <w:pStyle w:val="Cnormln"/>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82510</w:t>
            </w:r>
          </w:p>
        </w:tc>
        <w:tc>
          <w:tcPr>
            <w:tcW w:w="3690" w:type="dxa"/>
          </w:tcPr>
          <w:p w14:paraId="7A8741C1" w14:textId="77777777" w:rsidR="000F1C75" w:rsidRPr="009A7FB6" w:rsidRDefault="000F1C75" w:rsidP="000F1C75">
            <w:pPr>
              <w:pStyle w:val="Cnormln"/>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Míra stabilizace zaměstnanců imple-mentační struktury</w:t>
            </w:r>
          </w:p>
        </w:tc>
        <w:tc>
          <w:tcPr>
            <w:tcW w:w="954" w:type="dxa"/>
          </w:tcPr>
          <w:p w14:paraId="31F27430" w14:textId="77777777" w:rsidR="000F1C75" w:rsidRPr="009A7FB6" w:rsidRDefault="000F1C75" w:rsidP="000F1C75">
            <w:pPr>
              <w:pStyle w:val="Cnormln"/>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w:t>
            </w:r>
          </w:p>
        </w:tc>
        <w:tc>
          <w:tcPr>
            <w:tcW w:w="1598" w:type="dxa"/>
          </w:tcPr>
          <w:p w14:paraId="3D601EA5" w14:textId="77777777" w:rsidR="000F1C75" w:rsidRPr="009A7FB6" w:rsidRDefault="000F1C75" w:rsidP="000F1C75">
            <w:pPr>
              <w:pStyle w:val="Cnormln"/>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53</w:t>
            </w:r>
          </w:p>
        </w:tc>
        <w:tc>
          <w:tcPr>
            <w:tcW w:w="1559" w:type="dxa"/>
          </w:tcPr>
          <w:p w14:paraId="2B84652D" w14:textId="77777777" w:rsidR="000F1C75" w:rsidRPr="009A7FB6" w:rsidRDefault="000F1C75" w:rsidP="000F1C75">
            <w:pPr>
              <w:pStyle w:val="Cnormln"/>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65</w:t>
            </w:r>
          </w:p>
        </w:tc>
      </w:tr>
      <w:tr w:rsidR="000F1C75" w:rsidRPr="009A7FB6" w14:paraId="75D940E0" w14:textId="77777777" w:rsidTr="000F1C75">
        <w:tc>
          <w:tcPr>
            <w:cnfStyle w:val="001000000000" w:firstRow="0" w:lastRow="0" w:firstColumn="1" w:lastColumn="0" w:oddVBand="0" w:evenVBand="0" w:oddHBand="0" w:evenHBand="0" w:firstRowFirstColumn="0" w:firstRowLastColumn="0" w:lastRowFirstColumn="0" w:lastRowLastColumn="0"/>
            <w:tcW w:w="505" w:type="dxa"/>
          </w:tcPr>
          <w:p w14:paraId="1D5512FA" w14:textId="77777777" w:rsidR="000F1C75" w:rsidRPr="009A7FB6" w:rsidRDefault="000F1C75" w:rsidP="000F1C75">
            <w:pPr>
              <w:pStyle w:val="Cnormln"/>
              <w:spacing w:before="60" w:after="60"/>
              <w:jc w:val="both"/>
              <w:rPr>
                <w:rFonts w:asciiTheme="minorHAnsi" w:hAnsiTheme="minorHAnsi" w:cstheme="minorHAnsi"/>
                <w:bCs w:val="0"/>
                <w:sz w:val="20"/>
                <w:szCs w:val="20"/>
              </w:rPr>
            </w:pPr>
            <w:r>
              <w:rPr>
                <w:rFonts w:asciiTheme="minorHAnsi" w:hAnsiTheme="minorHAnsi" w:cstheme="minorHAnsi"/>
                <w:sz w:val="20"/>
                <w:szCs w:val="20"/>
              </w:rPr>
              <w:t>5.2</w:t>
            </w:r>
          </w:p>
        </w:tc>
        <w:tc>
          <w:tcPr>
            <w:tcW w:w="723" w:type="dxa"/>
          </w:tcPr>
          <w:p w14:paraId="63C5B4BE" w14:textId="77777777" w:rsidR="000F1C75" w:rsidRPr="009A7FB6" w:rsidRDefault="000F1C75" w:rsidP="000F1C75">
            <w:pPr>
              <w:pStyle w:val="Cnormln"/>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80210</w:t>
            </w:r>
          </w:p>
        </w:tc>
        <w:tc>
          <w:tcPr>
            <w:tcW w:w="3690" w:type="dxa"/>
          </w:tcPr>
          <w:p w14:paraId="32B3D882" w14:textId="77777777" w:rsidR="000F1C75" w:rsidRPr="009A7FB6" w:rsidRDefault="000F1C75" w:rsidP="000F1C75">
            <w:pPr>
              <w:pStyle w:val="Cnormln"/>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Míra úspěšnosti projektových žádostí</w:t>
            </w:r>
          </w:p>
        </w:tc>
        <w:tc>
          <w:tcPr>
            <w:tcW w:w="954" w:type="dxa"/>
          </w:tcPr>
          <w:p w14:paraId="3885B3E4" w14:textId="77777777" w:rsidR="000F1C75" w:rsidRPr="009A7FB6" w:rsidRDefault="000F1C75" w:rsidP="000F1C75">
            <w:pPr>
              <w:pStyle w:val="Cnormln"/>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w:t>
            </w:r>
          </w:p>
        </w:tc>
        <w:tc>
          <w:tcPr>
            <w:tcW w:w="1598" w:type="dxa"/>
          </w:tcPr>
          <w:p w14:paraId="7C53024C" w14:textId="77777777" w:rsidR="000F1C75" w:rsidRPr="009A7FB6" w:rsidRDefault="000F1C75" w:rsidP="000F1C75">
            <w:pPr>
              <w:pStyle w:val="Cnormln"/>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94,37</w:t>
            </w:r>
          </w:p>
        </w:tc>
        <w:tc>
          <w:tcPr>
            <w:tcW w:w="1559" w:type="dxa"/>
          </w:tcPr>
          <w:p w14:paraId="178C20F6" w14:textId="77777777" w:rsidR="000F1C75" w:rsidRPr="009A7FB6" w:rsidRDefault="000F1C75" w:rsidP="000F1C75">
            <w:pPr>
              <w:pStyle w:val="Cnormln"/>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95</w:t>
            </w:r>
          </w:p>
        </w:tc>
      </w:tr>
    </w:tbl>
    <w:p w14:paraId="2A9AC477" w14:textId="77777777" w:rsidR="000F1C75" w:rsidRDefault="000F1C75" w:rsidP="000F1C75">
      <w:pPr>
        <w:pStyle w:val="Cnormln"/>
        <w:spacing w:before="60" w:after="60"/>
        <w:jc w:val="both"/>
        <w:rPr>
          <w:rFonts w:asciiTheme="minorHAnsi" w:hAnsiTheme="minorHAnsi" w:cstheme="minorHAnsi"/>
          <w:bCs/>
          <w:i/>
          <w:iCs/>
        </w:rPr>
      </w:pPr>
      <w:r w:rsidRPr="00FB6F19">
        <w:rPr>
          <w:rFonts w:asciiTheme="minorHAnsi" w:hAnsiTheme="minorHAnsi" w:cstheme="minorHAnsi"/>
          <w:bCs/>
          <w:i/>
          <w:iCs/>
        </w:rPr>
        <w:t>Zdroj:</w:t>
      </w:r>
      <w:r>
        <w:rPr>
          <w:rFonts w:asciiTheme="minorHAnsi" w:hAnsiTheme="minorHAnsi" w:cstheme="minorHAnsi"/>
          <w:bCs/>
          <w:i/>
          <w:iCs/>
        </w:rPr>
        <w:t xml:space="preserve"> Programový dokument OP PIK¨</w:t>
      </w:r>
    </w:p>
    <w:p w14:paraId="0E6FE313" w14:textId="77777777" w:rsidR="000F1C75" w:rsidRPr="00FB6F19" w:rsidRDefault="000F1C75" w:rsidP="000F1C75">
      <w:pPr>
        <w:pStyle w:val="Cnormln"/>
        <w:spacing w:before="60" w:after="60"/>
        <w:jc w:val="both"/>
        <w:rPr>
          <w:rFonts w:asciiTheme="minorHAnsi" w:hAnsiTheme="minorHAnsi" w:cstheme="minorHAnsi"/>
          <w:bCs/>
          <w:i/>
          <w:iCs/>
        </w:rPr>
      </w:pPr>
    </w:p>
    <w:p w14:paraId="7566FB35" w14:textId="77777777" w:rsidR="000F1C75" w:rsidRDefault="000F1C75" w:rsidP="000F1C75">
      <w:pPr>
        <w:pStyle w:val="Cnormln"/>
        <w:spacing w:before="60" w:after="60"/>
        <w:jc w:val="both"/>
        <w:rPr>
          <w:rFonts w:asciiTheme="minorHAnsi" w:hAnsiTheme="minorHAnsi" w:cstheme="minorHAnsi"/>
          <w:bCs/>
        </w:rPr>
      </w:pPr>
      <w:r>
        <w:rPr>
          <w:rFonts w:asciiTheme="minorHAnsi" w:hAnsiTheme="minorHAnsi" w:cstheme="minorHAnsi"/>
        </w:rPr>
        <w:t>Dosažené hodnoty daných monitorovacích indikátorů jsou zpracovány v následujících tabulkách (započítány kumulativní hodnoty, kterých bylo dosaženo a vykázáno, tedy skutečné plnění):</w:t>
      </w:r>
    </w:p>
    <w:p w14:paraId="0AC02003" w14:textId="057C165A" w:rsidR="000F1C75" w:rsidRDefault="000F1C75" w:rsidP="000F1C75">
      <w:pPr>
        <w:pStyle w:val="Titulek"/>
        <w:rPr>
          <w:rFonts w:cstheme="minorHAnsi"/>
          <w:bCs w:val="0"/>
        </w:rPr>
      </w:pPr>
      <w:bookmarkStart w:id="63" w:name="_Toc45657567"/>
      <w:bookmarkStart w:id="64" w:name="_Toc50456744"/>
      <w:r>
        <w:t xml:space="preserve">Tabulka </w:t>
      </w:r>
      <w:r w:rsidR="00C050DB">
        <w:fldChar w:fldCharType="begin"/>
      </w:r>
      <w:r w:rsidR="00C050DB">
        <w:instrText xml:space="preserve"> SEQ Tabulka \* ARABIC </w:instrText>
      </w:r>
      <w:r w:rsidR="00C050DB">
        <w:fldChar w:fldCharType="separate"/>
      </w:r>
      <w:r w:rsidR="00E96F43">
        <w:rPr>
          <w:noProof/>
        </w:rPr>
        <w:t>11</w:t>
      </w:r>
      <w:r w:rsidR="00C050DB">
        <w:rPr>
          <w:noProof/>
        </w:rPr>
        <w:fldChar w:fldCharType="end"/>
      </w:r>
      <w:r>
        <w:t>: Hodnoty hlavních ukazatelů</w:t>
      </w:r>
      <w:r>
        <w:rPr>
          <w:rFonts w:cstheme="minorHAnsi"/>
        </w:rPr>
        <w:t xml:space="preserve"> výsledku</w:t>
      </w:r>
      <w:r>
        <w:rPr>
          <w:rStyle w:val="Znakapoznpodarou"/>
          <w:rFonts w:cstheme="minorHAnsi"/>
        </w:rPr>
        <w:footnoteReference w:id="5"/>
      </w:r>
      <w:r>
        <w:rPr>
          <w:rFonts w:cstheme="minorHAnsi"/>
        </w:rPr>
        <w:t>:</w:t>
      </w:r>
      <w:bookmarkEnd w:id="63"/>
      <w:bookmarkEnd w:id="64"/>
    </w:p>
    <w:tbl>
      <w:tblPr>
        <w:tblStyle w:val="Styl1"/>
        <w:tblW w:w="9089" w:type="dxa"/>
        <w:tblLook w:val="04A0" w:firstRow="1" w:lastRow="0" w:firstColumn="1" w:lastColumn="0" w:noHBand="0" w:noVBand="1"/>
      </w:tblPr>
      <w:tblGrid>
        <w:gridCol w:w="723"/>
        <w:gridCol w:w="4901"/>
        <w:gridCol w:w="866"/>
        <w:gridCol w:w="866"/>
        <w:gridCol w:w="866"/>
        <w:gridCol w:w="867"/>
      </w:tblGrid>
      <w:tr w:rsidR="000F1C75" w:rsidRPr="009A7FB6" w14:paraId="35EDA49F" w14:textId="77777777" w:rsidTr="000F1C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23" w:type="dxa"/>
          </w:tcPr>
          <w:p w14:paraId="0798BB08" w14:textId="77777777" w:rsidR="000F1C75" w:rsidRPr="009A7FB6" w:rsidRDefault="000F1C75" w:rsidP="000F1C75">
            <w:pPr>
              <w:pStyle w:val="Cnormln"/>
              <w:spacing w:before="60" w:after="60"/>
              <w:jc w:val="both"/>
              <w:rPr>
                <w:rFonts w:asciiTheme="minorHAnsi" w:hAnsiTheme="minorHAnsi" w:cstheme="minorHAnsi"/>
                <w:b w:val="0"/>
                <w:sz w:val="20"/>
                <w:szCs w:val="20"/>
              </w:rPr>
            </w:pPr>
            <w:r w:rsidRPr="009A7FB6">
              <w:rPr>
                <w:rFonts w:asciiTheme="minorHAnsi" w:hAnsiTheme="minorHAnsi" w:cstheme="minorHAnsi"/>
                <w:sz w:val="20"/>
                <w:szCs w:val="20"/>
              </w:rPr>
              <w:t>ID</w:t>
            </w:r>
          </w:p>
        </w:tc>
        <w:tc>
          <w:tcPr>
            <w:tcW w:w="4901" w:type="dxa"/>
          </w:tcPr>
          <w:p w14:paraId="094BCE44" w14:textId="77777777" w:rsidR="000F1C75" w:rsidRPr="009A7FB6" w:rsidRDefault="000F1C75" w:rsidP="000F1C75">
            <w:pPr>
              <w:pStyle w:val="Cnormln"/>
              <w:spacing w:before="60" w:after="6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Pr>
                <w:rFonts w:asciiTheme="minorHAnsi" w:hAnsiTheme="minorHAnsi" w:cstheme="minorHAnsi"/>
                <w:sz w:val="20"/>
                <w:szCs w:val="20"/>
              </w:rPr>
              <w:t>Ukazatel</w:t>
            </w:r>
          </w:p>
        </w:tc>
        <w:tc>
          <w:tcPr>
            <w:tcW w:w="866" w:type="dxa"/>
          </w:tcPr>
          <w:p w14:paraId="3C34CE8F" w14:textId="77777777" w:rsidR="000F1C75" w:rsidRPr="009A7FB6" w:rsidRDefault="000F1C75" w:rsidP="000F1C75">
            <w:pPr>
              <w:pStyle w:val="Cnormln"/>
              <w:spacing w:before="60" w:after="6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Pr>
                <w:rFonts w:asciiTheme="minorHAnsi" w:hAnsiTheme="minorHAnsi" w:cstheme="minorHAnsi"/>
                <w:sz w:val="20"/>
                <w:szCs w:val="20"/>
              </w:rPr>
              <w:t>2016</w:t>
            </w:r>
          </w:p>
        </w:tc>
        <w:tc>
          <w:tcPr>
            <w:tcW w:w="866" w:type="dxa"/>
          </w:tcPr>
          <w:p w14:paraId="50E52535" w14:textId="77777777" w:rsidR="000F1C75" w:rsidRDefault="000F1C75" w:rsidP="000F1C75">
            <w:pPr>
              <w:pStyle w:val="Cnormln"/>
              <w:spacing w:before="60" w:after="6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Pr>
                <w:rFonts w:asciiTheme="minorHAnsi" w:hAnsiTheme="minorHAnsi" w:cstheme="minorHAnsi"/>
                <w:sz w:val="20"/>
                <w:szCs w:val="20"/>
              </w:rPr>
              <w:t>2017</w:t>
            </w:r>
          </w:p>
        </w:tc>
        <w:tc>
          <w:tcPr>
            <w:tcW w:w="866" w:type="dxa"/>
          </w:tcPr>
          <w:p w14:paraId="01D13341" w14:textId="77777777" w:rsidR="000F1C75" w:rsidRDefault="000F1C75" w:rsidP="000F1C75">
            <w:pPr>
              <w:pStyle w:val="Cnormln"/>
              <w:spacing w:before="60" w:after="6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Pr>
                <w:rFonts w:asciiTheme="minorHAnsi" w:hAnsiTheme="minorHAnsi" w:cstheme="minorHAnsi"/>
                <w:sz w:val="20"/>
                <w:szCs w:val="20"/>
              </w:rPr>
              <w:t>2018</w:t>
            </w:r>
          </w:p>
        </w:tc>
        <w:tc>
          <w:tcPr>
            <w:tcW w:w="867" w:type="dxa"/>
          </w:tcPr>
          <w:p w14:paraId="51A805A6" w14:textId="77777777" w:rsidR="000F1C75" w:rsidRPr="00D73EDD" w:rsidRDefault="000F1C75" w:rsidP="000F1C75">
            <w:pPr>
              <w:pStyle w:val="Cnormln"/>
              <w:spacing w:before="60" w:after="6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D73EDD">
              <w:rPr>
                <w:rFonts w:asciiTheme="minorHAnsi" w:hAnsiTheme="minorHAnsi" w:cstheme="minorHAnsi"/>
                <w:sz w:val="20"/>
                <w:szCs w:val="20"/>
              </w:rPr>
              <w:t>2019</w:t>
            </w:r>
          </w:p>
        </w:tc>
      </w:tr>
      <w:tr w:rsidR="000F1C75" w:rsidRPr="009A7FB6" w14:paraId="5E93FB95" w14:textId="77777777" w:rsidTr="000F1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dxa"/>
          </w:tcPr>
          <w:p w14:paraId="78D14724" w14:textId="77777777" w:rsidR="000F1C75" w:rsidRPr="009A7FB6" w:rsidRDefault="000F1C75" w:rsidP="000F1C75">
            <w:pPr>
              <w:pStyle w:val="Cnormln"/>
              <w:spacing w:before="60" w:after="60"/>
              <w:jc w:val="both"/>
              <w:rPr>
                <w:rFonts w:asciiTheme="minorHAnsi" w:hAnsiTheme="minorHAnsi" w:cstheme="minorHAnsi"/>
                <w:bCs w:val="0"/>
                <w:sz w:val="20"/>
                <w:szCs w:val="20"/>
              </w:rPr>
            </w:pPr>
            <w:r>
              <w:rPr>
                <w:rFonts w:asciiTheme="minorHAnsi" w:hAnsiTheme="minorHAnsi" w:cstheme="minorHAnsi"/>
                <w:sz w:val="20"/>
                <w:szCs w:val="20"/>
              </w:rPr>
              <w:t>82510</w:t>
            </w:r>
          </w:p>
        </w:tc>
        <w:tc>
          <w:tcPr>
            <w:tcW w:w="4901" w:type="dxa"/>
          </w:tcPr>
          <w:p w14:paraId="0FA3390D" w14:textId="77777777" w:rsidR="000F1C75" w:rsidRPr="009A7FB6" w:rsidRDefault="000F1C75" w:rsidP="000F1C75">
            <w:pPr>
              <w:pStyle w:val="Cnormln"/>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Míra stabilizace zaměstnanců implementační struktury</w:t>
            </w:r>
          </w:p>
        </w:tc>
        <w:tc>
          <w:tcPr>
            <w:tcW w:w="866" w:type="dxa"/>
          </w:tcPr>
          <w:p w14:paraId="03D05CB3" w14:textId="77777777" w:rsidR="000F1C75" w:rsidRPr="009A7FB6" w:rsidRDefault="000F1C75" w:rsidP="000F1C75">
            <w:pPr>
              <w:pStyle w:val="Cnormln"/>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51,78</w:t>
            </w:r>
          </w:p>
        </w:tc>
        <w:tc>
          <w:tcPr>
            <w:tcW w:w="866" w:type="dxa"/>
          </w:tcPr>
          <w:p w14:paraId="6B81029C" w14:textId="77777777" w:rsidR="000F1C75" w:rsidRDefault="000F1C75" w:rsidP="000F1C75">
            <w:pPr>
              <w:pStyle w:val="Cnormln"/>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48,67</w:t>
            </w:r>
          </w:p>
        </w:tc>
        <w:tc>
          <w:tcPr>
            <w:tcW w:w="866" w:type="dxa"/>
          </w:tcPr>
          <w:p w14:paraId="4F4E14BB" w14:textId="77777777" w:rsidR="000F1C75" w:rsidRDefault="000F1C75" w:rsidP="000F1C75">
            <w:pPr>
              <w:pStyle w:val="Cnormln"/>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56,53</w:t>
            </w:r>
          </w:p>
        </w:tc>
        <w:tc>
          <w:tcPr>
            <w:tcW w:w="867" w:type="dxa"/>
          </w:tcPr>
          <w:p w14:paraId="017E1FBB" w14:textId="77777777" w:rsidR="000F1C75" w:rsidRPr="00D73EDD" w:rsidRDefault="000F1C75" w:rsidP="000F1C75">
            <w:pPr>
              <w:pStyle w:val="Cnormln"/>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D73EDD">
              <w:rPr>
                <w:rFonts w:asciiTheme="minorHAnsi" w:hAnsiTheme="minorHAnsi" w:cstheme="minorHAnsi"/>
                <w:bCs/>
                <w:sz w:val="20"/>
                <w:szCs w:val="20"/>
              </w:rPr>
              <w:t>50,55</w:t>
            </w:r>
          </w:p>
        </w:tc>
      </w:tr>
      <w:tr w:rsidR="000F1C75" w:rsidRPr="009A7FB6" w14:paraId="61D6FF1F" w14:textId="77777777" w:rsidTr="000F1C75">
        <w:tc>
          <w:tcPr>
            <w:cnfStyle w:val="001000000000" w:firstRow="0" w:lastRow="0" w:firstColumn="1" w:lastColumn="0" w:oddVBand="0" w:evenVBand="0" w:oddHBand="0" w:evenHBand="0" w:firstRowFirstColumn="0" w:firstRowLastColumn="0" w:lastRowFirstColumn="0" w:lastRowLastColumn="0"/>
            <w:tcW w:w="723" w:type="dxa"/>
          </w:tcPr>
          <w:p w14:paraId="6E277B3D" w14:textId="77777777" w:rsidR="000F1C75" w:rsidRPr="009A7FB6" w:rsidRDefault="000F1C75" w:rsidP="000F1C75">
            <w:pPr>
              <w:pStyle w:val="Cnormln"/>
              <w:spacing w:before="60" w:after="60"/>
              <w:jc w:val="both"/>
              <w:rPr>
                <w:rFonts w:asciiTheme="minorHAnsi" w:hAnsiTheme="minorHAnsi" w:cstheme="minorHAnsi"/>
                <w:bCs w:val="0"/>
                <w:sz w:val="20"/>
                <w:szCs w:val="20"/>
              </w:rPr>
            </w:pPr>
            <w:r>
              <w:rPr>
                <w:rFonts w:asciiTheme="minorHAnsi" w:hAnsiTheme="minorHAnsi" w:cstheme="minorHAnsi"/>
                <w:sz w:val="20"/>
                <w:szCs w:val="20"/>
              </w:rPr>
              <w:t>80210</w:t>
            </w:r>
          </w:p>
        </w:tc>
        <w:tc>
          <w:tcPr>
            <w:tcW w:w="4901" w:type="dxa"/>
          </w:tcPr>
          <w:p w14:paraId="7BAFBEFB" w14:textId="77777777" w:rsidR="000F1C75" w:rsidRPr="009A7FB6" w:rsidRDefault="000F1C75" w:rsidP="000F1C75">
            <w:pPr>
              <w:pStyle w:val="Cnormln"/>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Míra úspěšnosti projektových žádostí</w:t>
            </w:r>
          </w:p>
        </w:tc>
        <w:tc>
          <w:tcPr>
            <w:tcW w:w="866" w:type="dxa"/>
          </w:tcPr>
          <w:p w14:paraId="203E8BB6" w14:textId="77777777" w:rsidR="000F1C75" w:rsidRPr="009A7FB6" w:rsidRDefault="000F1C75" w:rsidP="000F1C75">
            <w:pPr>
              <w:pStyle w:val="Cnormln"/>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94,2</w:t>
            </w:r>
          </w:p>
        </w:tc>
        <w:tc>
          <w:tcPr>
            <w:tcW w:w="866" w:type="dxa"/>
          </w:tcPr>
          <w:p w14:paraId="1A828795" w14:textId="77777777" w:rsidR="000F1C75" w:rsidRDefault="000F1C75" w:rsidP="000F1C75">
            <w:pPr>
              <w:pStyle w:val="Cnormln"/>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94,8</w:t>
            </w:r>
          </w:p>
        </w:tc>
        <w:tc>
          <w:tcPr>
            <w:tcW w:w="866" w:type="dxa"/>
          </w:tcPr>
          <w:p w14:paraId="1C981707" w14:textId="77777777" w:rsidR="000F1C75" w:rsidRDefault="000F1C75" w:rsidP="000F1C75">
            <w:pPr>
              <w:pStyle w:val="Cnormln"/>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94,65</w:t>
            </w:r>
          </w:p>
        </w:tc>
        <w:tc>
          <w:tcPr>
            <w:tcW w:w="867" w:type="dxa"/>
          </w:tcPr>
          <w:p w14:paraId="11B82E5A" w14:textId="77777777" w:rsidR="000F1C75" w:rsidRPr="00D73EDD" w:rsidRDefault="000F1C75" w:rsidP="000F1C75">
            <w:pPr>
              <w:pStyle w:val="Cnormln"/>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D73EDD">
              <w:rPr>
                <w:rFonts w:asciiTheme="minorHAnsi" w:hAnsiTheme="minorHAnsi" w:cstheme="minorHAnsi"/>
                <w:bCs/>
                <w:sz w:val="20"/>
                <w:szCs w:val="20"/>
              </w:rPr>
              <w:t>94,01</w:t>
            </w:r>
          </w:p>
        </w:tc>
      </w:tr>
    </w:tbl>
    <w:p w14:paraId="10062C98" w14:textId="77777777" w:rsidR="000F1C75" w:rsidRDefault="000F1C75" w:rsidP="000F1C75">
      <w:pPr>
        <w:pStyle w:val="Cnormln"/>
        <w:spacing w:before="60" w:after="60"/>
        <w:jc w:val="both"/>
        <w:rPr>
          <w:rFonts w:asciiTheme="minorHAnsi" w:hAnsiTheme="minorHAnsi" w:cstheme="minorHAnsi"/>
          <w:bCs/>
          <w:i/>
          <w:iCs/>
        </w:rPr>
      </w:pPr>
      <w:r>
        <w:rPr>
          <w:rFonts w:asciiTheme="minorHAnsi" w:hAnsiTheme="minorHAnsi" w:cstheme="minorHAnsi"/>
          <w:bCs/>
          <w:i/>
          <w:iCs/>
        </w:rPr>
        <w:t>Zdroj: Výroční zprávy OP PIK</w:t>
      </w:r>
    </w:p>
    <w:p w14:paraId="57E97F03" w14:textId="77777777" w:rsidR="000F1C75" w:rsidRPr="00FB6F19" w:rsidRDefault="000F1C75" w:rsidP="000F1C75">
      <w:pPr>
        <w:pStyle w:val="Cnormln"/>
        <w:spacing w:before="60" w:after="60"/>
        <w:jc w:val="both"/>
        <w:rPr>
          <w:rFonts w:asciiTheme="minorHAnsi" w:hAnsiTheme="minorHAnsi" w:cstheme="minorHAnsi"/>
          <w:bCs/>
          <w:i/>
          <w:iCs/>
        </w:rPr>
      </w:pPr>
    </w:p>
    <w:p w14:paraId="33BA6DFB" w14:textId="77777777" w:rsidR="000F1C75" w:rsidRDefault="000F1C75" w:rsidP="000F1C75">
      <w:pPr>
        <w:pStyle w:val="Cnormln"/>
        <w:spacing w:before="60" w:after="60"/>
        <w:jc w:val="both"/>
        <w:rPr>
          <w:rFonts w:asciiTheme="minorHAnsi" w:hAnsiTheme="minorHAnsi" w:cstheme="minorHAnsi"/>
        </w:rPr>
      </w:pPr>
      <w:r w:rsidRPr="00F157B5">
        <w:rPr>
          <w:rFonts w:asciiTheme="minorHAnsi" w:hAnsiTheme="minorHAnsi" w:cstheme="minorHAnsi"/>
        </w:rPr>
        <w:t xml:space="preserve">Nad rámec uvedeného jsou </w:t>
      </w:r>
      <w:r>
        <w:rPr>
          <w:rFonts w:asciiTheme="minorHAnsi" w:hAnsiTheme="minorHAnsi" w:cstheme="minorHAnsi"/>
        </w:rPr>
        <w:t>sledovány následující interní ukazatele výsledku:</w:t>
      </w:r>
    </w:p>
    <w:p w14:paraId="121A1280" w14:textId="3CDDDABD" w:rsidR="000F1C75" w:rsidRDefault="000F1C75" w:rsidP="000F1C75">
      <w:pPr>
        <w:pStyle w:val="Titulek"/>
        <w:rPr>
          <w:rFonts w:cstheme="minorHAnsi"/>
          <w:bCs w:val="0"/>
        </w:rPr>
      </w:pPr>
      <w:bookmarkStart w:id="65" w:name="_Toc45657568"/>
      <w:bookmarkStart w:id="66" w:name="_Toc50456745"/>
      <w:r>
        <w:t xml:space="preserve">Tabulka </w:t>
      </w:r>
      <w:r w:rsidR="00C050DB">
        <w:fldChar w:fldCharType="begin"/>
      </w:r>
      <w:r w:rsidR="00C050DB">
        <w:instrText xml:space="preserve"> SEQ Tabulka \* ARABIC </w:instrText>
      </w:r>
      <w:r w:rsidR="00C050DB">
        <w:fldChar w:fldCharType="separate"/>
      </w:r>
      <w:r w:rsidR="00E96F43">
        <w:rPr>
          <w:noProof/>
        </w:rPr>
        <w:t>12</w:t>
      </w:r>
      <w:r w:rsidR="00C050DB">
        <w:rPr>
          <w:noProof/>
        </w:rPr>
        <w:fldChar w:fldCharType="end"/>
      </w:r>
      <w:r>
        <w:t>: Interní ukazatele výsledku TP OP PIK</w:t>
      </w:r>
      <w:bookmarkEnd w:id="65"/>
      <w:bookmarkEnd w:id="66"/>
    </w:p>
    <w:tbl>
      <w:tblPr>
        <w:tblStyle w:val="Styl1"/>
        <w:tblW w:w="0" w:type="auto"/>
        <w:tblLook w:val="04A0" w:firstRow="1" w:lastRow="0" w:firstColumn="1" w:lastColumn="0" w:noHBand="0" w:noVBand="1"/>
      </w:tblPr>
      <w:tblGrid>
        <w:gridCol w:w="723"/>
        <w:gridCol w:w="723"/>
        <w:gridCol w:w="5488"/>
        <w:gridCol w:w="1183"/>
        <w:gridCol w:w="922"/>
      </w:tblGrid>
      <w:tr w:rsidR="000F1C75" w:rsidRPr="00FB6F19" w14:paraId="162E3DEE" w14:textId="77777777" w:rsidTr="000F1C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23" w:type="dxa"/>
          </w:tcPr>
          <w:p w14:paraId="0D446396" w14:textId="77777777" w:rsidR="000F1C75" w:rsidRPr="00FB6F19" w:rsidRDefault="000F1C75" w:rsidP="000F1C75">
            <w:pPr>
              <w:pStyle w:val="Cnormln"/>
              <w:spacing w:before="60" w:after="60"/>
              <w:jc w:val="both"/>
              <w:rPr>
                <w:rFonts w:asciiTheme="minorHAnsi" w:hAnsiTheme="minorHAnsi" w:cstheme="minorHAnsi"/>
                <w:bCs w:val="0"/>
                <w:sz w:val="20"/>
                <w:szCs w:val="20"/>
              </w:rPr>
            </w:pPr>
            <w:r w:rsidRPr="00FB6F19">
              <w:rPr>
                <w:rFonts w:asciiTheme="minorHAnsi" w:hAnsiTheme="minorHAnsi" w:cstheme="minorHAnsi"/>
                <w:bCs w:val="0"/>
                <w:sz w:val="20"/>
                <w:szCs w:val="20"/>
              </w:rPr>
              <w:t>SC</w:t>
            </w:r>
          </w:p>
        </w:tc>
        <w:tc>
          <w:tcPr>
            <w:tcW w:w="723" w:type="dxa"/>
          </w:tcPr>
          <w:p w14:paraId="13AD35FB" w14:textId="77777777" w:rsidR="000F1C75" w:rsidRPr="00FB6F19" w:rsidRDefault="000F1C75" w:rsidP="000F1C75">
            <w:pPr>
              <w:pStyle w:val="Cnormln"/>
              <w:spacing w:before="60" w:after="6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0"/>
                <w:szCs w:val="20"/>
              </w:rPr>
            </w:pPr>
            <w:r w:rsidRPr="00FB6F19">
              <w:rPr>
                <w:rFonts w:asciiTheme="minorHAnsi" w:hAnsiTheme="minorHAnsi" w:cstheme="minorHAnsi"/>
                <w:bCs w:val="0"/>
                <w:sz w:val="20"/>
                <w:szCs w:val="20"/>
              </w:rPr>
              <w:t>ID</w:t>
            </w:r>
          </w:p>
        </w:tc>
        <w:tc>
          <w:tcPr>
            <w:tcW w:w="5488" w:type="dxa"/>
          </w:tcPr>
          <w:p w14:paraId="76FC9268" w14:textId="77777777" w:rsidR="000F1C75" w:rsidRPr="00FB6F19" w:rsidRDefault="000F1C75" w:rsidP="000F1C75">
            <w:pPr>
              <w:pStyle w:val="Cnormln"/>
              <w:spacing w:before="60" w:after="6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0"/>
                <w:szCs w:val="20"/>
              </w:rPr>
            </w:pPr>
            <w:r w:rsidRPr="00FB6F19">
              <w:rPr>
                <w:rFonts w:asciiTheme="minorHAnsi" w:hAnsiTheme="minorHAnsi" w:cstheme="minorHAnsi"/>
                <w:bCs w:val="0"/>
                <w:sz w:val="20"/>
                <w:szCs w:val="20"/>
              </w:rPr>
              <w:t>Ukazatel</w:t>
            </w:r>
          </w:p>
        </w:tc>
        <w:tc>
          <w:tcPr>
            <w:tcW w:w="1183" w:type="dxa"/>
          </w:tcPr>
          <w:p w14:paraId="528990C6" w14:textId="77777777" w:rsidR="000F1C75" w:rsidRPr="00FB6F19" w:rsidRDefault="000F1C75" w:rsidP="000F1C75">
            <w:pPr>
              <w:pStyle w:val="Cnormln"/>
              <w:spacing w:before="60" w:after="6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0"/>
                <w:szCs w:val="20"/>
              </w:rPr>
            </w:pPr>
            <w:r w:rsidRPr="00FB6F19">
              <w:rPr>
                <w:rFonts w:asciiTheme="minorHAnsi" w:hAnsiTheme="minorHAnsi" w:cstheme="minorHAnsi"/>
                <w:bCs w:val="0"/>
                <w:sz w:val="20"/>
                <w:szCs w:val="20"/>
              </w:rPr>
              <w:t>Měrná jednotka</w:t>
            </w:r>
          </w:p>
        </w:tc>
        <w:tc>
          <w:tcPr>
            <w:tcW w:w="922" w:type="dxa"/>
          </w:tcPr>
          <w:p w14:paraId="0283D27A" w14:textId="77777777" w:rsidR="000F1C75" w:rsidRPr="00FB6F19" w:rsidRDefault="000F1C75" w:rsidP="000F1C75">
            <w:pPr>
              <w:pStyle w:val="Cnormln"/>
              <w:spacing w:before="60" w:after="6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0"/>
                <w:szCs w:val="20"/>
              </w:rPr>
            </w:pPr>
            <w:r w:rsidRPr="00FB6F19">
              <w:rPr>
                <w:rFonts w:asciiTheme="minorHAnsi" w:hAnsiTheme="minorHAnsi" w:cstheme="minorHAnsi"/>
                <w:bCs w:val="0"/>
                <w:sz w:val="20"/>
                <w:szCs w:val="20"/>
              </w:rPr>
              <w:t>Cílová hodnota (2023)</w:t>
            </w:r>
          </w:p>
        </w:tc>
      </w:tr>
      <w:tr w:rsidR="000F1C75" w:rsidRPr="009A7FB6" w14:paraId="39690F3B" w14:textId="77777777" w:rsidTr="000F1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dxa"/>
          </w:tcPr>
          <w:p w14:paraId="070AA25E" w14:textId="77777777" w:rsidR="000F1C75" w:rsidRPr="00F157B5" w:rsidRDefault="000F1C75" w:rsidP="000F1C75">
            <w:pPr>
              <w:pStyle w:val="Cnormln"/>
              <w:spacing w:before="60" w:after="60"/>
              <w:jc w:val="both"/>
              <w:rPr>
                <w:rFonts w:asciiTheme="minorHAnsi" w:hAnsiTheme="minorHAnsi" w:cstheme="minorHAnsi"/>
                <w:sz w:val="20"/>
                <w:szCs w:val="20"/>
              </w:rPr>
            </w:pPr>
            <w:r>
              <w:rPr>
                <w:rFonts w:asciiTheme="minorHAnsi" w:hAnsiTheme="minorHAnsi" w:cstheme="minorHAnsi"/>
                <w:sz w:val="20"/>
                <w:szCs w:val="20"/>
              </w:rPr>
              <w:t>5.1</w:t>
            </w:r>
          </w:p>
        </w:tc>
        <w:tc>
          <w:tcPr>
            <w:tcW w:w="723" w:type="dxa"/>
          </w:tcPr>
          <w:p w14:paraId="3E039E88" w14:textId="77777777" w:rsidR="000F1C75" w:rsidRPr="00F157B5" w:rsidRDefault="000F1C75" w:rsidP="000F1C75">
            <w:pPr>
              <w:pStyle w:val="Cnormln"/>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F157B5">
              <w:rPr>
                <w:rFonts w:asciiTheme="minorHAnsi" w:hAnsiTheme="minorHAnsi" w:cstheme="minorHAnsi"/>
                <w:sz w:val="20"/>
                <w:szCs w:val="20"/>
              </w:rPr>
              <w:t>82520</w:t>
            </w:r>
          </w:p>
        </w:tc>
        <w:tc>
          <w:tcPr>
            <w:tcW w:w="5488" w:type="dxa"/>
          </w:tcPr>
          <w:p w14:paraId="2BE58B98" w14:textId="77777777" w:rsidR="000F1C75" w:rsidRPr="00F157B5" w:rsidRDefault="000F1C75" w:rsidP="000F1C75">
            <w:pPr>
              <w:pStyle w:val="Cnormln"/>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F157B5">
              <w:rPr>
                <w:rFonts w:asciiTheme="minorHAnsi" w:hAnsiTheme="minorHAnsi" w:cstheme="minorHAnsi"/>
                <w:sz w:val="20"/>
                <w:szCs w:val="20"/>
              </w:rPr>
              <w:t>Počet trvale zaměstnaných pracovníků implementační struktury</w:t>
            </w:r>
          </w:p>
        </w:tc>
        <w:tc>
          <w:tcPr>
            <w:tcW w:w="1183" w:type="dxa"/>
          </w:tcPr>
          <w:p w14:paraId="202904F0" w14:textId="77777777" w:rsidR="000F1C75" w:rsidRPr="00F157B5" w:rsidRDefault="000F1C75" w:rsidP="000F1C75">
            <w:pPr>
              <w:pStyle w:val="Cnormln"/>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F157B5">
              <w:rPr>
                <w:rFonts w:asciiTheme="minorHAnsi" w:hAnsiTheme="minorHAnsi" w:cstheme="minorHAnsi"/>
                <w:sz w:val="20"/>
                <w:szCs w:val="20"/>
              </w:rPr>
              <w:t>FTE</w:t>
            </w:r>
          </w:p>
        </w:tc>
        <w:tc>
          <w:tcPr>
            <w:tcW w:w="922" w:type="dxa"/>
          </w:tcPr>
          <w:p w14:paraId="60AF1FEF" w14:textId="77777777" w:rsidR="000F1C75" w:rsidRPr="00F157B5" w:rsidRDefault="000F1C75" w:rsidP="000F1C75">
            <w:pPr>
              <w:pStyle w:val="Cnormln"/>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F157B5">
              <w:rPr>
                <w:rFonts w:asciiTheme="minorHAnsi" w:hAnsiTheme="minorHAnsi" w:cstheme="minorHAnsi"/>
                <w:sz w:val="20"/>
                <w:szCs w:val="20"/>
              </w:rPr>
              <w:t>217</w:t>
            </w:r>
          </w:p>
        </w:tc>
      </w:tr>
      <w:tr w:rsidR="000F1C75" w:rsidRPr="009A7FB6" w14:paraId="5DCEA30B" w14:textId="77777777" w:rsidTr="000F1C75">
        <w:tc>
          <w:tcPr>
            <w:cnfStyle w:val="001000000000" w:firstRow="0" w:lastRow="0" w:firstColumn="1" w:lastColumn="0" w:oddVBand="0" w:evenVBand="0" w:oddHBand="0" w:evenHBand="0" w:firstRowFirstColumn="0" w:firstRowLastColumn="0" w:lastRowFirstColumn="0" w:lastRowLastColumn="0"/>
            <w:tcW w:w="723" w:type="dxa"/>
          </w:tcPr>
          <w:p w14:paraId="0E7A2A7F" w14:textId="77777777" w:rsidR="000F1C75" w:rsidRPr="00F157B5" w:rsidRDefault="000F1C75" w:rsidP="000F1C75">
            <w:pPr>
              <w:pStyle w:val="Cnormln"/>
              <w:spacing w:before="60" w:after="60"/>
              <w:jc w:val="both"/>
              <w:rPr>
                <w:rFonts w:asciiTheme="minorHAnsi" w:hAnsiTheme="minorHAnsi" w:cstheme="minorHAnsi"/>
                <w:sz w:val="20"/>
                <w:szCs w:val="20"/>
              </w:rPr>
            </w:pPr>
            <w:r>
              <w:rPr>
                <w:rFonts w:asciiTheme="minorHAnsi" w:hAnsiTheme="minorHAnsi" w:cstheme="minorHAnsi"/>
                <w:sz w:val="20"/>
                <w:szCs w:val="20"/>
              </w:rPr>
              <w:t>5.2</w:t>
            </w:r>
          </w:p>
        </w:tc>
        <w:tc>
          <w:tcPr>
            <w:tcW w:w="723" w:type="dxa"/>
          </w:tcPr>
          <w:p w14:paraId="7FBCF85D" w14:textId="77777777" w:rsidR="000F1C75" w:rsidRPr="00F157B5" w:rsidRDefault="000F1C75" w:rsidP="000F1C75">
            <w:pPr>
              <w:pStyle w:val="Cnormln"/>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F157B5">
              <w:rPr>
                <w:rFonts w:asciiTheme="minorHAnsi" w:hAnsiTheme="minorHAnsi" w:cstheme="minorHAnsi"/>
                <w:sz w:val="20"/>
                <w:szCs w:val="20"/>
              </w:rPr>
              <w:t>80810</w:t>
            </w:r>
          </w:p>
        </w:tc>
        <w:tc>
          <w:tcPr>
            <w:tcW w:w="5488" w:type="dxa"/>
          </w:tcPr>
          <w:p w14:paraId="0F910AC3" w14:textId="77777777" w:rsidR="000F1C75" w:rsidRPr="00F157B5" w:rsidRDefault="000F1C75" w:rsidP="000F1C75">
            <w:pPr>
              <w:pStyle w:val="Cnormln"/>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F157B5">
              <w:rPr>
                <w:rFonts w:asciiTheme="minorHAnsi" w:hAnsiTheme="minorHAnsi" w:cstheme="minorHAnsi"/>
                <w:sz w:val="20"/>
                <w:szCs w:val="20"/>
              </w:rPr>
              <w:t>Míra čerpání prostředků programu</w:t>
            </w:r>
          </w:p>
        </w:tc>
        <w:tc>
          <w:tcPr>
            <w:tcW w:w="1183" w:type="dxa"/>
          </w:tcPr>
          <w:p w14:paraId="4A56A1CC" w14:textId="77777777" w:rsidR="000F1C75" w:rsidRPr="00F157B5" w:rsidRDefault="000F1C75" w:rsidP="000F1C75">
            <w:pPr>
              <w:pStyle w:val="Cnormln"/>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F157B5">
              <w:rPr>
                <w:rFonts w:asciiTheme="minorHAnsi" w:hAnsiTheme="minorHAnsi" w:cstheme="minorHAnsi"/>
                <w:sz w:val="20"/>
                <w:szCs w:val="20"/>
              </w:rPr>
              <w:t>%</w:t>
            </w:r>
          </w:p>
        </w:tc>
        <w:tc>
          <w:tcPr>
            <w:tcW w:w="922" w:type="dxa"/>
          </w:tcPr>
          <w:p w14:paraId="7889E978" w14:textId="77777777" w:rsidR="000F1C75" w:rsidRPr="00F157B5" w:rsidRDefault="000F1C75" w:rsidP="000F1C75">
            <w:pPr>
              <w:pStyle w:val="Cnormln"/>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F157B5">
              <w:rPr>
                <w:rFonts w:asciiTheme="minorHAnsi" w:hAnsiTheme="minorHAnsi" w:cstheme="minorHAnsi"/>
                <w:sz w:val="20"/>
                <w:szCs w:val="20"/>
              </w:rPr>
              <w:t>100</w:t>
            </w:r>
          </w:p>
        </w:tc>
      </w:tr>
    </w:tbl>
    <w:p w14:paraId="5B51BFFA" w14:textId="77777777" w:rsidR="000F1C75" w:rsidRDefault="000F1C75" w:rsidP="000F1C75">
      <w:pPr>
        <w:pStyle w:val="Cnormln"/>
        <w:spacing w:before="60" w:after="60"/>
        <w:jc w:val="both"/>
        <w:rPr>
          <w:rFonts w:asciiTheme="minorHAnsi" w:hAnsiTheme="minorHAnsi" w:cstheme="minorHAnsi"/>
          <w:bCs/>
          <w:i/>
          <w:iCs/>
        </w:rPr>
      </w:pPr>
      <w:r w:rsidRPr="00FB6F19">
        <w:rPr>
          <w:rFonts w:asciiTheme="minorHAnsi" w:hAnsiTheme="minorHAnsi" w:cstheme="minorHAnsi"/>
          <w:bCs/>
          <w:i/>
          <w:iCs/>
        </w:rPr>
        <w:t>Zdroj</w:t>
      </w:r>
      <w:r>
        <w:rPr>
          <w:rFonts w:asciiTheme="minorHAnsi" w:hAnsiTheme="minorHAnsi" w:cstheme="minorHAnsi"/>
          <w:bCs/>
          <w:i/>
          <w:iCs/>
        </w:rPr>
        <w:t>: Agregační mapa OP PIK</w:t>
      </w:r>
    </w:p>
    <w:p w14:paraId="6A3EB1A2" w14:textId="77777777" w:rsidR="000F1C75" w:rsidRPr="00FB6F19" w:rsidRDefault="000F1C75" w:rsidP="000F1C75">
      <w:pPr>
        <w:pStyle w:val="Cnormln"/>
        <w:spacing w:before="60" w:after="60"/>
        <w:jc w:val="both"/>
        <w:rPr>
          <w:rFonts w:asciiTheme="minorHAnsi" w:hAnsiTheme="minorHAnsi" w:cstheme="minorHAnsi"/>
          <w:bCs/>
          <w:i/>
          <w:iCs/>
        </w:rPr>
      </w:pPr>
    </w:p>
    <w:p w14:paraId="02318F90" w14:textId="47638303" w:rsidR="000F1C75" w:rsidRDefault="000F1C75" w:rsidP="000F1C75">
      <w:pPr>
        <w:pStyle w:val="Titulek"/>
      </w:pPr>
      <w:bookmarkStart w:id="67" w:name="_Toc45657569"/>
      <w:bookmarkStart w:id="68" w:name="_Toc50456746"/>
      <w:r>
        <w:t xml:space="preserve">Tabulka </w:t>
      </w:r>
      <w:r w:rsidR="00C050DB">
        <w:fldChar w:fldCharType="begin"/>
      </w:r>
      <w:r w:rsidR="00C050DB">
        <w:instrText xml:space="preserve"> SEQ Tabulka \* ARABIC </w:instrText>
      </w:r>
      <w:r w:rsidR="00C050DB">
        <w:fldChar w:fldCharType="separate"/>
      </w:r>
      <w:r w:rsidR="00E96F43">
        <w:rPr>
          <w:noProof/>
        </w:rPr>
        <w:t>13</w:t>
      </w:r>
      <w:r w:rsidR="00C050DB">
        <w:rPr>
          <w:noProof/>
        </w:rPr>
        <w:fldChar w:fldCharType="end"/>
      </w:r>
      <w:r>
        <w:t>: Trend vývoje a dosažené hodnoty interních ukazatelů výsledku</w:t>
      </w:r>
      <w:bookmarkEnd w:id="67"/>
      <w:bookmarkEnd w:id="68"/>
    </w:p>
    <w:tbl>
      <w:tblPr>
        <w:tblStyle w:val="Styl1"/>
        <w:tblW w:w="9089" w:type="dxa"/>
        <w:tblLook w:val="04A0" w:firstRow="1" w:lastRow="0" w:firstColumn="1" w:lastColumn="0" w:noHBand="0" w:noVBand="1"/>
      </w:tblPr>
      <w:tblGrid>
        <w:gridCol w:w="723"/>
        <w:gridCol w:w="5509"/>
        <w:gridCol w:w="714"/>
        <w:gridCol w:w="714"/>
        <w:gridCol w:w="714"/>
        <w:gridCol w:w="715"/>
      </w:tblGrid>
      <w:tr w:rsidR="000F1C75" w:rsidRPr="009A7FB6" w14:paraId="74E76372" w14:textId="77777777" w:rsidTr="000F1C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23" w:type="dxa"/>
          </w:tcPr>
          <w:p w14:paraId="425D3684" w14:textId="77777777" w:rsidR="000F1C75" w:rsidRPr="009A7FB6" w:rsidRDefault="000F1C75" w:rsidP="000F1C75">
            <w:pPr>
              <w:pStyle w:val="Cnormln"/>
              <w:spacing w:before="60" w:after="60"/>
              <w:jc w:val="both"/>
              <w:rPr>
                <w:rFonts w:asciiTheme="minorHAnsi" w:hAnsiTheme="minorHAnsi" w:cstheme="minorHAnsi"/>
                <w:b w:val="0"/>
                <w:sz w:val="20"/>
                <w:szCs w:val="20"/>
              </w:rPr>
            </w:pPr>
            <w:r w:rsidRPr="009A7FB6">
              <w:rPr>
                <w:rFonts w:asciiTheme="minorHAnsi" w:hAnsiTheme="minorHAnsi" w:cstheme="minorHAnsi"/>
                <w:sz w:val="20"/>
                <w:szCs w:val="20"/>
              </w:rPr>
              <w:t>ID</w:t>
            </w:r>
          </w:p>
        </w:tc>
        <w:tc>
          <w:tcPr>
            <w:tcW w:w="5509" w:type="dxa"/>
          </w:tcPr>
          <w:p w14:paraId="0D01506F" w14:textId="77777777" w:rsidR="000F1C75" w:rsidRPr="009A7FB6" w:rsidRDefault="000F1C75" w:rsidP="000F1C75">
            <w:pPr>
              <w:pStyle w:val="Cnormln"/>
              <w:spacing w:before="60" w:after="6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Pr>
                <w:rFonts w:asciiTheme="minorHAnsi" w:hAnsiTheme="minorHAnsi" w:cstheme="minorHAnsi"/>
                <w:sz w:val="20"/>
                <w:szCs w:val="20"/>
              </w:rPr>
              <w:t>Ukazatel</w:t>
            </w:r>
            <w:r>
              <w:rPr>
                <w:rStyle w:val="Znakapoznpodarou"/>
                <w:rFonts w:asciiTheme="minorHAnsi" w:hAnsiTheme="minorHAnsi" w:cstheme="minorHAnsi"/>
              </w:rPr>
              <w:footnoteReference w:id="6"/>
            </w:r>
          </w:p>
        </w:tc>
        <w:tc>
          <w:tcPr>
            <w:tcW w:w="714" w:type="dxa"/>
          </w:tcPr>
          <w:p w14:paraId="06775AB7" w14:textId="77777777" w:rsidR="000F1C75" w:rsidRPr="009A7FB6" w:rsidRDefault="000F1C75" w:rsidP="000F1C75">
            <w:pPr>
              <w:pStyle w:val="Cnormln"/>
              <w:spacing w:before="60" w:after="6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Pr>
                <w:rFonts w:asciiTheme="minorHAnsi" w:hAnsiTheme="minorHAnsi" w:cstheme="minorHAnsi"/>
                <w:sz w:val="20"/>
                <w:szCs w:val="20"/>
              </w:rPr>
              <w:t>2016</w:t>
            </w:r>
          </w:p>
        </w:tc>
        <w:tc>
          <w:tcPr>
            <w:tcW w:w="714" w:type="dxa"/>
          </w:tcPr>
          <w:p w14:paraId="2BDFCE49" w14:textId="77777777" w:rsidR="000F1C75" w:rsidRDefault="000F1C75" w:rsidP="000F1C75">
            <w:pPr>
              <w:pStyle w:val="Cnormln"/>
              <w:spacing w:before="60" w:after="6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Pr>
                <w:rFonts w:asciiTheme="minorHAnsi" w:hAnsiTheme="minorHAnsi" w:cstheme="minorHAnsi"/>
                <w:sz w:val="20"/>
                <w:szCs w:val="20"/>
              </w:rPr>
              <w:t>2017</w:t>
            </w:r>
          </w:p>
        </w:tc>
        <w:tc>
          <w:tcPr>
            <w:tcW w:w="714" w:type="dxa"/>
          </w:tcPr>
          <w:p w14:paraId="43F99C03" w14:textId="77777777" w:rsidR="000F1C75" w:rsidRDefault="000F1C75" w:rsidP="000F1C75">
            <w:pPr>
              <w:pStyle w:val="Cnormln"/>
              <w:spacing w:before="60" w:after="6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Pr>
                <w:rFonts w:asciiTheme="minorHAnsi" w:hAnsiTheme="minorHAnsi" w:cstheme="minorHAnsi"/>
                <w:sz w:val="20"/>
                <w:szCs w:val="20"/>
              </w:rPr>
              <w:t>2018</w:t>
            </w:r>
          </w:p>
        </w:tc>
        <w:tc>
          <w:tcPr>
            <w:tcW w:w="715" w:type="dxa"/>
          </w:tcPr>
          <w:p w14:paraId="59E30298" w14:textId="77777777" w:rsidR="000F1C75" w:rsidRPr="00D73EDD" w:rsidRDefault="000F1C75" w:rsidP="000F1C75">
            <w:pPr>
              <w:pStyle w:val="Cnormln"/>
              <w:spacing w:before="60" w:after="6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D73EDD">
              <w:rPr>
                <w:rFonts w:asciiTheme="minorHAnsi" w:hAnsiTheme="minorHAnsi" w:cstheme="minorHAnsi"/>
                <w:sz w:val="20"/>
                <w:szCs w:val="20"/>
              </w:rPr>
              <w:t>2019</w:t>
            </w:r>
          </w:p>
        </w:tc>
      </w:tr>
      <w:tr w:rsidR="000F1C75" w:rsidRPr="009A7FB6" w14:paraId="32CD4B35" w14:textId="77777777" w:rsidTr="000F1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dxa"/>
          </w:tcPr>
          <w:p w14:paraId="6BDF11A2" w14:textId="77777777" w:rsidR="000F1C75" w:rsidRPr="00F157B5" w:rsidRDefault="000F1C75" w:rsidP="000F1C75">
            <w:pPr>
              <w:pStyle w:val="Cnormln"/>
              <w:spacing w:before="60" w:after="60"/>
              <w:jc w:val="both"/>
              <w:rPr>
                <w:rFonts w:asciiTheme="minorHAnsi" w:hAnsiTheme="minorHAnsi" w:cstheme="minorHAnsi"/>
                <w:bCs w:val="0"/>
                <w:sz w:val="20"/>
                <w:szCs w:val="20"/>
              </w:rPr>
            </w:pPr>
            <w:r w:rsidRPr="00F157B5">
              <w:rPr>
                <w:rFonts w:asciiTheme="minorHAnsi" w:hAnsiTheme="minorHAnsi" w:cstheme="minorHAnsi"/>
                <w:sz w:val="20"/>
                <w:szCs w:val="20"/>
              </w:rPr>
              <w:t>82520</w:t>
            </w:r>
          </w:p>
        </w:tc>
        <w:tc>
          <w:tcPr>
            <w:tcW w:w="5509" w:type="dxa"/>
          </w:tcPr>
          <w:p w14:paraId="67B4728E" w14:textId="77777777" w:rsidR="000F1C75" w:rsidRPr="00F157B5" w:rsidRDefault="000F1C75" w:rsidP="000F1C75">
            <w:pPr>
              <w:pStyle w:val="Cnormln"/>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F157B5">
              <w:rPr>
                <w:rFonts w:asciiTheme="minorHAnsi" w:hAnsiTheme="minorHAnsi" w:cstheme="minorHAnsi"/>
                <w:sz w:val="20"/>
                <w:szCs w:val="20"/>
              </w:rPr>
              <w:t>Počet trvale zaměstnaných pracovníků implementační struktury</w:t>
            </w:r>
          </w:p>
        </w:tc>
        <w:tc>
          <w:tcPr>
            <w:tcW w:w="714" w:type="dxa"/>
          </w:tcPr>
          <w:p w14:paraId="109B916C" w14:textId="77777777" w:rsidR="000F1C75" w:rsidRPr="009A7FB6" w:rsidRDefault="000F1C75" w:rsidP="000F1C75">
            <w:pPr>
              <w:pStyle w:val="Cnormln"/>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157</w:t>
            </w:r>
          </w:p>
        </w:tc>
        <w:tc>
          <w:tcPr>
            <w:tcW w:w="714" w:type="dxa"/>
          </w:tcPr>
          <w:p w14:paraId="3B269BED" w14:textId="77777777" w:rsidR="000F1C75" w:rsidRDefault="000F1C75" w:rsidP="000F1C75">
            <w:pPr>
              <w:pStyle w:val="Cnormln"/>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162</w:t>
            </w:r>
          </w:p>
        </w:tc>
        <w:tc>
          <w:tcPr>
            <w:tcW w:w="714" w:type="dxa"/>
          </w:tcPr>
          <w:p w14:paraId="533895B5" w14:textId="77777777" w:rsidR="000F1C75" w:rsidRDefault="000F1C75" w:rsidP="000F1C75">
            <w:pPr>
              <w:pStyle w:val="Cnormln"/>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209</w:t>
            </w:r>
          </w:p>
        </w:tc>
        <w:tc>
          <w:tcPr>
            <w:tcW w:w="715" w:type="dxa"/>
          </w:tcPr>
          <w:p w14:paraId="3CD42CF3" w14:textId="77777777" w:rsidR="000F1C75" w:rsidRPr="00D73EDD" w:rsidRDefault="000F1C75" w:rsidP="000F1C75">
            <w:pPr>
              <w:pStyle w:val="Cnormln"/>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195</w:t>
            </w:r>
            <w:r>
              <w:rPr>
                <w:rStyle w:val="Znakapoznpodarou"/>
                <w:rFonts w:asciiTheme="minorHAnsi" w:hAnsiTheme="minorHAnsi" w:cstheme="minorHAnsi"/>
                <w:bCs/>
              </w:rPr>
              <w:footnoteReference w:id="7"/>
            </w:r>
          </w:p>
        </w:tc>
      </w:tr>
      <w:tr w:rsidR="000F1C75" w:rsidRPr="009A7FB6" w14:paraId="1D9FAA7D" w14:textId="77777777" w:rsidTr="000F1C75">
        <w:tc>
          <w:tcPr>
            <w:cnfStyle w:val="001000000000" w:firstRow="0" w:lastRow="0" w:firstColumn="1" w:lastColumn="0" w:oddVBand="0" w:evenVBand="0" w:oddHBand="0" w:evenHBand="0" w:firstRowFirstColumn="0" w:firstRowLastColumn="0" w:lastRowFirstColumn="0" w:lastRowLastColumn="0"/>
            <w:tcW w:w="723" w:type="dxa"/>
          </w:tcPr>
          <w:p w14:paraId="08CAFD6F" w14:textId="77777777" w:rsidR="000F1C75" w:rsidRPr="00F157B5" w:rsidRDefault="000F1C75" w:rsidP="000F1C75">
            <w:pPr>
              <w:pStyle w:val="Cnormln"/>
              <w:spacing w:before="60" w:after="60"/>
              <w:jc w:val="both"/>
              <w:rPr>
                <w:rFonts w:asciiTheme="minorHAnsi" w:hAnsiTheme="minorHAnsi" w:cstheme="minorHAnsi"/>
                <w:bCs w:val="0"/>
                <w:sz w:val="20"/>
                <w:szCs w:val="20"/>
              </w:rPr>
            </w:pPr>
            <w:r w:rsidRPr="00F157B5">
              <w:rPr>
                <w:rFonts w:asciiTheme="minorHAnsi" w:hAnsiTheme="minorHAnsi" w:cstheme="minorHAnsi"/>
                <w:sz w:val="20"/>
                <w:szCs w:val="20"/>
              </w:rPr>
              <w:t>80810</w:t>
            </w:r>
          </w:p>
        </w:tc>
        <w:tc>
          <w:tcPr>
            <w:tcW w:w="5509" w:type="dxa"/>
          </w:tcPr>
          <w:p w14:paraId="6E69423F" w14:textId="77777777" w:rsidR="000F1C75" w:rsidRPr="00F157B5" w:rsidRDefault="000F1C75" w:rsidP="000F1C75">
            <w:pPr>
              <w:pStyle w:val="Cnormln"/>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F157B5">
              <w:rPr>
                <w:rFonts w:asciiTheme="minorHAnsi" w:hAnsiTheme="minorHAnsi" w:cstheme="minorHAnsi"/>
                <w:sz w:val="20"/>
                <w:szCs w:val="20"/>
              </w:rPr>
              <w:t>Míra čerpání prostředků programu</w:t>
            </w:r>
          </w:p>
        </w:tc>
        <w:tc>
          <w:tcPr>
            <w:tcW w:w="714" w:type="dxa"/>
          </w:tcPr>
          <w:p w14:paraId="571F4A32" w14:textId="77777777" w:rsidR="000F1C75" w:rsidRPr="009A7FB6" w:rsidRDefault="000F1C75" w:rsidP="000F1C75">
            <w:pPr>
              <w:pStyle w:val="Cnormln"/>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0</w:t>
            </w:r>
          </w:p>
        </w:tc>
        <w:tc>
          <w:tcPr>
            <w:tcW w:w="714" w:type="dxa"/>
          </w:tcPr>
          <w:p w14:paraId="666E3BCD" w14:textId="77777777" w:rsidR="000F1C75" w:rsidRDefault="000F1C75" w:rsidP="000F1C75">
            <w:pPr>
              <w:pStyle w:val="Cnormln"/>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10,3</w:t>
            </w:r>
          </w:p>
        </w:tc>
        <w:tc>
          <w:tcPr>
            <w:tcW w:w="714" w:type="dxa"/>
          </w:tcPr>
          <w:p w14:paraId="2DF906EF" w14:textId="77777777" w:rsidR="000F1C75" w:rsidRDefault="000F1C75" w:rsidP="000F1C75">
            <w:pPr>
              <w:pStyle w:val="Cnormln"/>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33,3</w:t>
            </w:r>
          </w:p>
        </w:tc>
        <w:tc>
          <w:tcPr>
            <w:tcW w:w="715" w:type="dxa"/>
          </w:tcPr>
          <w:p w14:paraId="458BC209" w14:textId="77777777" w:rsidR="000F1C75" w:rsidRPr="00D73EDD" w:rsidRDefault="000F1C75" w:rsidP="000F1C75">
            <w:pPr>
              <w:pStyle w:val="Cnormln"/>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w:t>
            </w:r>
          </w:p>
        </w:tc>
      </w:tr>
    </w:tbl>
    <w:p w14:paraId="115C4160" w14:textId="77777777" w:rsidR="000F1C75" w:rsidRPr="00FB6F19" w:rsidRDefault="000F1C75" w:rsidP="000F1C75">
      <w:pPr>
        <w:rPr>
          <w:i/>
          <w:iCs/>
        </w:rPr>
      </w:pPr>
      <w:r w:rsidRPr="00FB6F19">
        <w:rPr>
          <w:i/>
          <w:iCs/>
        </w:rPr>
        <w:t>Zdroj</w:t>
      </w:r>
      <w:r>
        <w:rPr>
          <w:i/>
          <w:iCs/>
        </w:rPr>
        <w:t>: Výroční zprávy OP PIK, vlastní kalkulace</w:t>
      </w:r>
    </w:p>
    <w:p w14:paraId="1B44A9B0" w14:textId="77777777" w:rsidR="000F1C75" w:rsidRDefault="000F1C75" w:rsidP="000F1C75">
      <w:r w:rsidRPr="006B1509">
        <w:t xml:space="preserve">Na úrovni </w:t>
      </w:r>
      <w:r>
        <w:t>očekávaných výsledků je kvantifikace, alespoň zčásti, realizována prostřednictvím indikátorů výstupu. Program formuluje následující indikátory výstupu:</w:t>
      </w:r>
    </w:p>
    <w:p w14:paraId="342E860D" w14:textId="2BDA9997" w:rsidR="000F1C75" w:rsidRDefault="000F1C75" w:rsidP="000F1C75">
      <w:pPr>
        <w:pStyle w:val="Titulek"/>
      </w:pPr>
      <w:bookmarkStart w:id="69" w:name="_Toc45657570"/>
      <w:bookmarkStart w:id="70" w:name="_Toc50456747"/>
      <w:r>
        <w:t xml:space="preserve">Tabulka </w:t>
      </w:r>
      <w:r w:rsidR="00C050DB">
        <w:fldChar w:fldCharType="begin"/>
      </w:r>
      <w:r w:rsidR="00C050DB">
        <w:instrText xml:space="preserve"> SEQ Tabulka \* ARABIC </w:instrText>
      </w:r>
      <w:r w:rsidR="00C050DB">
        <w:fldChar w:fldCharType="separate"/>
      </w:r>
      <w:r w:rsidR="00E96F43">
        <w:rPr>
          <w:noProof/>
        </w:rPr>
        <w:t>14</w:t>
      </w:r>
      <w:r w:rsidR="00C050DB">
        <w:rPr>
          <w:noProof/>
        </w:rPr>
        <w:fldChar w:fldCharType="end"/>
      </w:r>
      <w:r>
        <w:t>: Hlavní ukazatele výstupu TP OP PIK</w:t>
      </w:r>
      <w:bookmarkEnd w:id="69"/>
      <w:bookmarkEnd w:id="70"/>
    </w:p>
    <w:tbl>
      <w:tblPr>
        <w:tblStyle w:val="Styl1"/>
        <w:tblW w:w="0" w:type="auto"/>
        <w:tblLook w:val="04A0" w:firstRow="1" w:lastRow="0" w:firstColumn="1" w:lastColumn="0" w:noHBand="0" w:noVBand="1"/>
      </w:tblPr>
      <w:tblGrid>
        <w:gridCol w:w="723"/>
        <w:gridCol w:w="5509"/>
        <w:gridCol w:w="1145"/>
        <w:gridCol w:w="1598"/>
      </w:tblGrid>
      <w:tr w:rsidR="000F1C75" w:rsidRPr="009A7FB6" w14:paraId="75D821DE" w14:textId="77777777" w:rsidTr="000F1C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23" w:type="dxa"/>
          </w:tcPr>
          <w:p w14:paraId="77D974A4" w14:textId="77777777" w:rsidR="000F1C75" w:rsidRPr="009A7FB6" w:rsidRDefault="000F1C75" w:rsidP="000F1C75">
            <w:pPr>
              <w:pStyle w:val="Cnormln"/>
              <w:spacing w:before="60" w:after="60"/>
              <w:jc w:val="both"/>
              <w:rPr>
                <w:rFonts w:asciiTheme="minorHAnsi" w:hAnsiTheme="minorHAnsi" w:cstheme="minorHAnsi"/>
                <w:b w:val="0"/>
                <w:sz w:val="20"/>
                <w:szCs w:val="20"/>
              </w:rPr>
            </w:pPr>
            <w:r w:rsidRPr="009A7FB6">
              <w:rPr>
                <w:rFonts w:asciiTheme="minorHAnsi" w:hAnsiTheme="minorHAnsi" w:cstheme="minorHAnsi"/>
                <w:sz w:val="20"/>
                <w:szCs w:val="20"/>
              </w:rPr>
              <w:t>ID</w:t>
            </w:r>
          </w:p>
        </w:tc>
        <w:tc>
          <w:tcPr>
            <w:tcW w:w="5509" w:type="dxa"/>
          </w:tcPr>
          <w:p w14:paraId="6C5CA233" w14:textId="77777777" w:rsidR="000F1C75" w:rsidRPr="009A7FB6" w:rsidRDefault="000F1C75" w:rsidP="000F1C75">
            <w:pPr>
              <w:pStyle w:val="Cnormln"/>
              <w:spacing w:before="60" w:after="6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Pr>
                <w:rFonts w:asciiTheme="minorHAnsi" w:hAnsiTheme="minorHAnsi" w:cstheme="minorHAnsi"/>
                <w:sz w:val="20"/>
                <w:szCs w:val="20"/>
              </w:rPr>
              <w:t>Ukazatel</w:t>
            </w:r>
          </w:p>
        </w:tc>
        <w:tc>
          <w:tcPr>
            <w:tcW w:w="1145" w:type="dxa"/>
          </w:tcPr>
          <w:p w14:paraId="38C76AA6" w14:textId="77777777" w:rsidR="000F1C75" w:rsidRPr="009A7FB6" w:rsidRDefault="000F1C75" w:rsidP="000F1C75">
            <w:pPr>
              <w:pStyle w:val="Cnormln"/>
              <w:spacing w:before="60" w:after="6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Pr>
                <w:rFonts w:asciiTheme="minorHAnsi" w:hAnsiTheme="minorHAnsi" w:cstheme="minorHAnsi"/>
                <w:sz w:val="20"/>
                <w:szCs w:val="20"/>
              </w:rPr>
              <w:t>Měrná jednotka</w:t>
            </w:r>
          </w:p>
        </w:tc>
        <w:tc>
          <w:tcPr>
            <w:tcW w:w="1598" w:type="dxa"/>
          </w:tcPr>
          <w:p w14:paraId="55534057" w14:textId="77777777" w:rsidR="000F1C75" w:rsidRPr="009A7FB6" w:rsidRDefault="000F1C75" w:rsidP="000F1C75">
            <w:pPr>
              <w:pStyle w:val="Cnormln"/>
              <w:spacing w:before="60" w:after="6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Pr>
                <w:rFonts w:asciiTheme="minorHAnsi" w:hAnsiTheme="minorHAnsi" w:cstheme="minorHAnsi"/>
                <w:sz w:val="20"/>
                <w:szCs w:val="20"/>
              </w:rPr>
              <w:t>Cílová hodnota (2023)</w:t>
            </w:r>
            <w:r>
              <w:rPr>
                <w:rStyle w:val="Znakapoznpodarou"/>
                <w:rFonts w:asciiTheme="minorHAnsi" w:hAnsiTheme="minorHAnsi" w:cstheme="minorHAnsi"/>
              </w:rPr>
              <w:footnoteReference w:id="8"/>
            </w:r>
          </w:p>
        </w:tc>
      </w:tr>
      <w:tr w:rsidR="000F1C75" w:rsidRPr="009A7FB6" w14:paraId="3B27BA9A" w14:textId="77777777" w:rsidTr="000F1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dxa"/>
          </w:tcPr>
          <w:p w14:paraId="7F9840CC" w14:textId="77777777" w:rsidR="000F1C75" w:rsidRPr="009A7FB6" w:rsidRDefault="000F1C75" w:rsidP="000F1C75">
            <w:pPr>
              <w:pStyle w:val="Cnormln"/>
              <w:spacing w:before="60" w:after="60"/>
              <w:jc w:val="both"/>
              <w:rPr>
                <w:rFonts w:asciiTheme="minorHAnsi" w:hAnsiTheme="minorHAnsi" w:cstheme="minorHAnsi"/>
                <w:bCs w:val="0"/>
                <w:sz w:val="20"/>
                <w:szCs w:val="20"/>
              </w:rPr>
            </w:pPr>
            <w:r>
              <w:rPr>
                <w:rFonts w:asciiTheme="minorHAnsi" w:hAnsiTheme="minorHAnsi" w:cstheme="minorHAnsi"/>
                <w:sz w:val="20"/>
                <w:szCs w:val="20"/>
              </w:rPr>
              <w:t>80500</w:t>
            </w:r>
          </w:p>
        </w:tc>
        <w:tc>
          <w:tcPr>
            <w:tcW w:w="5509" w:type="dxa"/>
          </w:tcPr>
          <w:p w14:paraId="0EFADBC2" w14:textId="77777777" w:rsidR="000F1C75" w:rsidRPr="009A7FB6" w:rsidRDefault="000F1C75" w:rsidP="000F1C75">
            <w:pPr>
              <w:pStyle w:val="Cnormln"/>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F01E78">
              <w:rPr>
                <w:rFonts w:asciiTheme="minorHAnsi" w:hAnsiTheme="minorHAnsi" w:cstheme="minorHAnsi"/>
                <w:bCs/>
                <w:sz w:val="20"/>
                <w:szCs w:val="20"/>
              </w:rPr>
              <w:t xml:space="preserve">Počet napsaných a </w:t>
            </w:r>
            <w:r>
              <w:rPr>
                <w:rFonts w:asciiTheme="minorHAnsi" w:hAnsiTheme="minorHAnsi" w:cstheme="minorHAnsi"/>
                <w:bCs/>
                <w:sz w:val="20"/>
                <w:szCs w:val="20"/>
              </w:rPr>
              <w:t>z</w:t>
            </w:r>
            <w:r w:rsidRPr="00F01E78">
              <w:rPr>
                <w:rFonts w:asciiTheme="minorHAnsi" w:hAnsiTheme="minorHAnsi" w:cstheme="minorHAnsi"/>
                <w:bCs/>
                <w:sz w:val="20"/>
                <w:szCs w:val="20"/>
              </w:rPr>
              <w:t>veřejněných</w:t>
            </w:r>
            <w:r>
              <w:rPr>
                <w:rFonts w:asciiTheme="minorHAnsi" w:hAnsiTheme="minorHAnsi" w:cstheme="minorHAnsi"/>
                <w:bCs/>
                <w:sz w:val="20"/>
                <w:szCs w:val="20"/>
              </w:rPr>
              <w:t xml:space="preserve"> </w:t>
            </w:r>
            <w:r w:rsidRPr="00F01E78">
              <w:rPr>
                <w:rFonts w:asciiTheme="minorHAnsi" w:hAnsiTheme="minorHAnsi" w:cstheme="minorHAnsi"/>
                <w:bCs/>
                <w:sz w:val="20"/>
                <w:szCs w:val="20"/>
              </w:rPr>
              <w:t>analytických a strategických</w:t>
            </w:r>
            <w:r>
              <w:rPr>
                <w:rFonts w:asciiTheme="minorHAnsi" w:hAnsiTheme="minorHAnsi" w:cstheme="minorHAnsi"/>
                <w:bCs/>
                <w:sz w:val="20"/>
                <w:szCs w:val="20"/>
              </w:rPr>
              <w:t xml:space="preserve"> </w:t>
            </w:r>
            <w:r w:rsidRPr="00F01E78">
              <w:rPr>
                <w:rFonts w:asciiTheme="minorHAnsi" w:hAnsiTheme="minorHAnsi" w:cstheme="minorHAnsi"/>
                <w:bCs/>
                <w:sz w:val="20"/>
                <w:szCs w:val="20"/>
              </w:rPr>
              <w:t>dokumentů (vč. evaluačních)</w:t>
            </w:r>
          </w:p>
        </w:tc>
        <w:tc>
          <w:tcPr>
            <w:tcW w:w="1145" w:type="dxa"/>
          </w:tcPr>
          <w:p w14:paraId="48CD4884" w14:textId="77777777" w:rsidR="000F1C75" w:rsidRPr="009A7FB6" w:rsidRDefault="000F1C75" w:rsidP="000F1C75">
            <w:pPr>
              <w:pStyle w:val="Cnormln"/>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dokumenty</w:t>
            </w:r>
          </w:p>
        </w:tc>
        <w:tc>
          <w:tcPr>
            <w:tcW w:w="1598" w:type="dxa"/>
          </w:tcPr>
          <w:p w14:paraId="0663BBC9" w14:textId="77777777" w:rsidR="000F1C75" w:rsidRPr="009A7FB6" w:rsidRDefault="000F1C75" w:rsidP="000F1C75">
            <w:pPr>
              <w:pStyle w:val="Cnormln"/>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30</w:t>
            </w:r>
          </w:p>
        </w:tc>
      </w:tr>
      <w:tr w:rsidR="000F1C75" w:rsidRPr="009A7FB6" w14:paraId="001BBA15" w14:textId="77777777" w:rsidTr="000F1C75">
        <w:tc>
          <w:tcPr>
            <w:cnfStyle w:val="001000000000" w:firstRow="0" w:lastRow="0" w:firstColumn="1" w:lastColumn="0" w:oddVBand="0" w:evenVBand="0" w:oddHBand="0" w:evenHBand="0" w:firstRowFirstColumn="0" w:firstRowLastColumn="0" w:lastRowFirstColumn="0" w:lastRowLastColumn="0"/>
            <w:tcW w:w="723" w:type="dxa"/>
          </w:tcPr>
          <w:p w14:paraId="7E2E82B4" w14:textId="77777777" w:rsidR="000F1C75" w:rsidRPr="009A7FB6" w:rsidRDefault="000F1C75" w:rsidP="000F1C75">
            <w:pPr>
              <w:pStyle w:val="Cnormln"/>
              <w:spacing w:before="60" w:after="60"/>
              <w:jc w:val="both"/>
              <w:rPr>
                <w:rFonts w:asciiTheme="minorHAnsi" w:hAnsiTheme="minorHAnsi" w:cstheme="minorHAnsi"/>
                <w:bCs w:val="0"/>
                <w:sz w:val="20"/>
                <w:szCs w:val="20"/>
              </w:rPr>
            </w:pPr>
            <w:r>
              <w:rPr>
                <w:rFonts w:asciiTheme="minorHAnsi" w:hAnsiTheme="minorHAnsi" w:cstheme="minorHAnsi"/>
                <w:sz w:val="20"/>
                <w:szCs w:val="20"/>
              </w:rPr>
              <w:t>80901</w:t>
            </w:r>
          </w:p>
        </w:tc>
        <w:tc>
          <w:tcPr>
            <w:tcW w:w="5509" w:type="dxa"/>
          </w:tcPr>
          <w:p w14:paraId="59592EA5" w14:textId="77777777" w:rsidR="000F1C75" w:rsidRPr="009A7FB6" w:rsidRDefault="000F1C75" w:rsidP="000F1C75">
            <w:pPr>
              <w:pStyle w:val="Cnormln"/>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F01E78">
              <w:rPr>
                <w:rFonts w:asciiTheme="minorHAnsi" w:hAnsiTheme="minorHAnsi" w:cstheme="minorHAnsi"/>
                <w:bCs/>
                <w:sz w:val="20"/>
                <w:szCs w:val="20"/>
              </w:rPr>
              <w:t>Počet uskutečněných kontrol na místě</w:t>
            </w:r>
          </w:p>
        </w:tc>
        <w:tc>
          <w:tcPr>
            <w:tcW w:w="1145" w:type="dxa"/>
          </w:tcPr>
          <w:p w14:paraId="4D5F6880" w14:textId="77777777" w:rsidR="000F1C75" w:rsidRPr="009A7FB6" w:rsidRDefault="000F1C75" w:rsidP="000F1C75">
            <w:pPr>
              <w:pStyle w:val="Cnormln"/>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kontroly</w:t>
            </w:r>
          </w:p>
        </w:tc>
        <w:tc>
          <w:tcPr>
            <w:tcW w:w="1598" w:type="dxa"/>
          </w:tcPr>
          <w:p w14:paraId="6038DA4E" w14:textId="77777777" w:rsidR="000F1C75" w:rsidRPr="009A7FB6" w:rsidRDefault="000F1C75" w:rsidP="000F1C75">
            <w:pPr>
              <w:pStyle w:val="Cnormln"/>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1 600</w:t>
            </w:r>
          </w:p>
        </w:tc>
      </w:tr>
      <w:tr w:rsidR="000F1C75" w:rsidRPr="009A7FB6" w14:paraId="59C51B65" w14:textId="77777777" w:rsidTr="000F1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dxa"/>
          </w:tcPr>
          <w:p w14:paraId="42BE5FA4" w14:textId="77777777" w:rsidR="000F1C75" w:rsidRDefault="000F1C75" w:rsidP="000F1C75">
            <w:pPr>
              <w:pStyle w:val="Cnormln"/>
              <w:spacing w:before="60" w:after="60"/>
              <w:jc w:val="both"/>
              <w:rPr>
                <w:rFonts w:asciiTheme="minorHAnsi" w:hAnsiTheme="minorHAnsi" w:cstheme="minorHAnsi"/>
                <w:bCs w:val="0"/>
                <w:sz w:val="20"/>
                <w:szCs w:val="20"/>
              </w:rPr>
            </w:pPr>
            <w:r>
              <w:rPr>
                <w:rFonts w:asciiTheme="minorHAnsi" w:hAnsiTheme="minorHAnsi" w:cstheme="minorHAnsi"/>
                <w:sz w:val="20"/>
                <w:szCs w:val="20"/>
              </w:rPr>
              <w:lastRenderedPageBreak/>
              <w:t>82000</w:t>
            </w:r>
          </w:p>
        </w:tc>
        <w:tc>
          <w:tcPr>
            <w:tcW w:w="5509" w:type="dxa"/>
          </w:tcPr>
          <w:p w14:paraId="1C67F045" w14:textId="77777777" w:rsidR="000F1C75" w:rsidRPr="00F01E78" w:rsidRDefault="000F1C75" w:rsidP="000F1C75">
            <w:pPr>
              <w:pStyle w:val="Cnormln"/>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F01E78">
              <w:rPr>
                <w:rFonts w:asciiTheme="minorHAnsi" w:hAnsiTheme="minorHAnsi" w:cstheme="minorHAnsi"/>
                <w:bCs/>
                <w:sz w:val="20"/>
                <w:szCs w:val="20"/>
              </w:rPr>
              <w:t>Počet uskutečněných školení,</w:t>
            </w:r>
          </w:p>
          <w:p w14:paraId="5A795930" w14:textId="77777777" w:rsidR="000F1C75" w:rsidRDefault="000F1C75" w:rsidP="000F1C75">
            <w:pPr>
              <w:pStyle w:val="Cnormln"/>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F01E78">
              <w:rPr>
                <w:rFonts w:asciiTheme="minorHAnsi" w:hAnsiTheme="minorHAnsi" w:cstheme="minorHAnsi"/>
                <w:bCs/>
                <w:sz w:val="20"/>
                <w:szCs w:val="20"/>
              </w:rPr>
              <w:t>seminářů, workshopů a konferencí</w:t>
            </w:r>
          </w:p>
        </w:tc>
        <w:tc>
          <w:tcPr>
            <w:tcW w:w="1145" w:type="dxa"/>
          </w:tcPr>
          <w:p w14:paraId="7C5F6345" w14:textId="77777777" w:rsidR="000F1C75" w:rsidRDefault="000F1C75" w:rsidP="000F1C75">
            <w:pPr>
              <w:pStyle w:val="Cnormln"/>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aktivity</w:t>
            </w:r>
          </w:p>
        </w:tc>
        <w:tc>
          <w:tcPr>
            <w:tcW w:w="1598" w:type="dxa"/>
          </w:tcPr>
          <w:p w14:paraId="7270504A" w14:textId="77777777" w:rsidR="000F1C75" w:rsidRDefault="000F1C75" w:rsidP="000F1C75">
            <w:pPr>
              <w:pStyle w:val="Cnormln"/>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1 300</w:t>
            </w:r>
          </w:p>
        </w:tc>
      </w:tr>
      <w:tr w:rsidR="000F1C75" w:rsidRPr="009A7FB6" w14:paraId="449D849C" w14:textId="77777777" w:rsidTr="000F1C75">
        <w:tc>
          <w:tcPr>
            <w:cnfStyle w:val="001000000000" w:firstRow="0" w:lastRow="0" w:firstColumn="1" w:lastColumn="0" w:oddVBand="0" w:evenVBand="0" w:oddHBand="0" w:evenHBand="0" w:firstRowFirstColumn="0" w:firstRowLastColumn="0" w:lastRowFirstColumn="0" w:lastRowLastColumn="0"/>
            <w:tcW w:w="723" w:type="dxa"/>
          </w:tcPr>
          <w:p w14:paraId="79B8DCE9" w14:textId="77777777" w:rsidR="000F1C75" w:rsidRDefault="000F1C75" w:rsidP="000F1C75">
            <w:pPr>
              <w:pStyle w:val="Cnormln"/>
              <w:spacing w:before="60" w:after="60"/>
              <w:jc w:val="both"/>
              <w:rPr>
                <w:rFonts w:asciiTheme="minorHAnsi" w:hAnsiTheme="minorHAnsi" w:cstheme="minorHAnsi"/>
                <w:bCs w:val="0"/>
                <w:sz w:val="20"/>
                <w:szCs w:val="20"/>
              </w:rPr>
            </w:pPr>
            <w:r>
              <w:rPr>
                <w:rFonts w:asciiTheme="minorHAnsi" w:hAnsiTheme="minorHAnsi" w:cstheme="minorHAnsi"/>
                <w:sz w:val="20"/>
                <w:szCs w:val="20"/>
              </w:rPr>
              <w:t>82500</w:t>
            </w:r>
          </w:p>
        </w:tc>
        <w:tc>
          <w:tcPr>
            <w:tcW w:w="5509" w:type="dxa"/>
          </w:tcPr>
          <w:p w14:paraId="43FFD413" w14:textId="77777777" w:rsidR="000F1C75" w:rsidRPr="00F01E78" w:rsidRDefault="000F1C75" w:rsidP="000F1C75">
            <w:pPr>
              <w:pStyle w:val="Cnormln"/>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F01E78">
              <w:rPr>
                <w:rFonts w:asciiTheme="minorHAnsi" w:hAnsiTheme="minorHAnsi" w:cstheme="minorHAnsi"/>
                <w:bCs/>
                <w:sz w:val="20"/>
                <w:szCs w:val="20"/>
              </w:rPr>
              <w:t>Počet pracovních míst financovaných</w:t>
            </w:r>
          </w:p>
          <w:p w14:paraId="4877B970" w14:textId="77777777" w:rsidR="000F1C75" w:rsidRDefault="000F1C75" w:rsidP="000F1C75">
            <w:pPr>
              <w:pStyle w:val="Cnormln"/>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F01E78">
              <w:rPr>
                <w:rFonts w:asciiTheme="minorHAnsi" w:hAnsiTheme="minorHAnsi" w:cstheme="minorHAnsi"/>
                <w:bCs/>
                <w:sz w:val="20"/>
                <w:szCs w:val="20"/>
              </w:rPr>
              <w:t>z programu</w:t>
            </w:r>
          </w:p>
        </w:tc>
        <w:tc>
          <w:tcPr>
            <w:tcW w:w="1145" w:type="dxa"/>
          </w:tcPr>
          <w:p w14:paraId="3411E40A" w14:textId="77777777" w:rsidR="000F1C75" w:rsidRDefault="000F1C75" w:rsidP="000F1C75">
            <w:pPr>
              <w:pStyle w:val="Cnormln"/>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FTE</w:t>
            </w:r>
          </w:p>
        </w:tc>
        <w:tc>
          <w:tcPr>
            <w:tcW w:w="1598" w:type="dxa"/>
          </w:tcPr>
          <w:p w14:paraId="2D66321E" w14:textId="77777777" w:rsidR="000F1C75" w:rsidRDefault="000F1C75" w:rsidP="000F1C75">
            <w:pPr>
              <w:pStyle w:val="Cnormln"/>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w:t>
            </w:r>
          </w:p>
        </w:tc>
      </w:tr>
    </w:tbl>
    <w:p w14:paraId="69F53B19" w14:textId="77777777" w:rsidR="000F1C75" w:rsidRPr="00FB6F19" w:rsidRDefault="000F1C75" w:rsidP="000F1C75">
      <w:pPr>
        <w:rPr>
          <w:i/>
          <w:iCs/>
        </w:rPr>
      </w:pPr>
      <w:r>
        <w:t xml:space="preserve"> </w:t>
      </w:r>
      <w:r>
        <w:rPr>
          <w:i/>
          <w:iCs/>
        </w:rPr>
        <w:t>Zdroj: Programový dokument OP PIK</w:t>
      </w:r>
    </w:p>
    <w:p w14:paraId="7FE91388" w14:textId="77777777" w:rsidR="000F1C75" w:rsidRDefault="000F1C75" w:rsidP="000F1C75">
      <w:r>
        <w:t>Vývoj těchto indikátorů je zpracován v následující tabulce:</w:t>
      </w:r>
    </w:p>
    <w:p w14:paraId="2B9F465D" w14:textId="1D04A4E1" w:rsidR="000F1C75" w:rsidRDefault="000F1C75" w:rsidP="000F1C75">
      <w:pPr>
        <w:pStyle w:val="Titulek"/>
      </w:pPr>
      <w:bookmarkStart w:id="71" w:name="_Toc45657571"/>
      <w:bookmarkStart w:id="72" w:name="_Toc50456748"/>
      <w:r>
        <w:t xml:space="preserve">Tabulka </w:t>
      </w:r>
      <w:r w:rsidR="00C050DB">
        <w:fldChar w:fldCharType="begin"/>
      </w:r>
      <w:r w:rsidR="00C050DB">
        <w:instrText xml:space="preserve"> SEQ Tabulka \* ARABIC </w:instrText>
      </w:r>
      <w:r w:rsidR="00C050DB">
        <w:fldChar w:fldCharType="separate"/>
      </w:r>
      <w:r w:rsidR="00E96F43">
        <w:rPr>
          <w:noProof/>
        </w:rPr>
        <w:t>15</w:t>
      </w:r>
      <w:r w:rsidR="00C050DB">
        <w:rPr>
          <w:noProof/>
        </w:rPr>
        <w:fldChar w:fldCharType="end"/>
      </w:r>
      <w:r>
        <w:t>: Hodnoty hlavních ukazatelů výstupu</w:t>
      </w:r>
      <w:bookmarkEnd w:id="71"/>
      <w:bookmarkEnd w:id="72"/>
    </w:p>
    <w:tbl>
      <w:tblPr>
        <w:tblStyle w:val="Styl1"/>
        <w:tblW w:w="8943" w:type="dxa"/>
        <w:tblLook w:val="04A0" w:firstRow="1" w:lastRow="0" w:firstColumn="1" w:lastColumn="0" w:noHBand="0" w:noVBand="1"/>
      </w:tblPr>
      <w:tblGrid>
        <w:gridCol w:w="723"/>
        <w:gridCol w:w="4504"/>
        <w:gridCol w:w="788"/>
        <w:gridCol w:w="763"/>
        <w:gridCol w:w="773"/>
        <w:gridCol w:w="693"/>
        <w:gridCol w:w="699"/>
      </w:tblGrid>
      <w:tr w:rsidR="000F1C75" w:rsidRPr="009712D0" w14:paraId="5B84A4E4" w14:textId="77777777" w:rsidTr="000F1C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23" w:type="dxa"/>
          </w:tcPr>
          <w:p w14:paraId="185B1E4D" w14:textId="77777777" w:rsidR="000F1C75" w:rsidRPr="009712D0" w:rsidRDefault="000F1C75" w:rsidP="000F1C75">
            <w:pPr>
              <w:pStyle w:val="Cnormln"/>
              <w:spacing w:before="60" w:after="60"/>
              <w:jc w:val="both"/>
              <w:rPr>
                <w:rFonts w:asciiTheme="minorHAnsi" w:hAnsiTheme="minorHAnsi" w:cstheme="minorHAnsi"/>
                <w:bCs w:val="0"/>
                <w:sz w:val="20"/>
                <w:szCs w:val="20"/>
              </w:rPr>
            </w:pPr>
            <w:r w:rsidRPr="009712D0">
              <w:rPr>
                <w:rFonts w:asciiTheme="minorHAnsi" w:hAnsiTheme="minorHAnsi" w:cstheme="minorHAnsi"/>
                <w:bCs w:val="0"/>
                <w:sz w:val="20"/>
                <w:szCs w:val="20"/>
              </w:rPr>
              <w:t>ID</w:t>
            </w:r>
          </w:p>
        </w:tc>
        <w:tc>
          <w:tcPr>
            <w:tcW w:w="4504" w:type="dxa"/>
          </w:tcPr>
          <w:p w14:paraId="7AA63281" w14:textId="77777777" w:rsidR="000F1C75" w:rsidRPr="009712D0" w:rsidRDefault="000F1C75" w:rsidP="000F1C75">
            <w:pPr>
              <w:pStyle w:val="Cnormln"/>
              <w:spacing w:before="60" w:after="6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0"/>
                <w:szCs w:val="20"/>
              </w:rPr>
            </w:pPr>
            <w:r w:rsidRPr="009712D0">
              <w:rPr>
                <w:rFonts w:asciiTheme="minorHAnsi" w:hAnsiTheme="minorHAnsi" w:cstheme="minorHAnsi"/>
                <w:bCs w:val="0"/>
                <w:sz w:val="20"/>
                <w:szCs w:val="20"/>
              </w:rPr>
              <w:t>Ukazatel</w:t>
            </w:r>
          </w:p>
        </w:tc>
        <w:tc>
          <w:tcPr>
            <w:tcW w:w="788" w:type="dxa"/>
          </w:tcPr>
          <w:p w14:paraId="54EC8A74" w14:textId="77777777" w:rsidR="000F1C75" w:rsidRPr="009712D0" w:rsidRDefault="000F1C75" w:rsidP="000F1C75">
            <w:pPr>
              <w:pStyle w:val="Cnormln"/>
              <w:spacing w:before="60" w:after="6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0"/>
                <w:szCs w:val="20"/>
              </w:rPr>
            </w:pPr>
            <w:r w:rsidRPr="009712D0">
              <w:rPr>
                <w:rFonts w:asciiTheme="minorHAnsi" w:hAnsiTheme="minorHAnsi" w:cstheme="minorHAnsi"/>
                <w:bCs w:val="0"/>
                <w:sz w:val="20"/>
                <w:szCs w:val="20"/>
              </w:rPr>
              <w:t>2016</w:t>
            </w:r>
          </w:p>
        </w:tc>
        <w:tc>
          <w:tcPr>
            <w:tcW w:w="763" w:type="dxa"/>
          </w:tcPr>
          <w:p w14:paraId="11886D45" w14:textId="77777777" w:rsidR="000F1C75" w:rsidRPr="009712D0" w:rsidRDefault="000F1C75" w:rsidP="000F1C75">
            <w:pPr>
              <w:pStyle w:val="Cnormln"/>
              <w:spacing w:before="60" w:after="6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0"/>
                <w:szCs w:val="20"/>
              </w:rPr>
            </w:pPr>
            <w:r w:rsidRPr="009712D0">
              <w:rPr>
                <w:rFonts w:asciiTheme="minorHAnsi" w:hAnsiTheme="minorHAnsi" w:cstheme="minorHAnsi"/>
                <w:bCs w:val="0"/>
                <w:sz w:val="20"/>
                <w:szCs w:val="20"/>
              </w:rPr>
              <w:t>2017</w:t>
            </w:r>
          </w:p>
        </w:tc>
        <w:tc>
          <w:tcPr>
            <w:tcW w:w="773" w:type="dxa"/>
          </w:tcPr>
          <w:p w14:paraId="39D49D79" w14:textId="77777777" w:rsidR="000F1C75" w:rsidRPr="009712D0" w:rsidRDefault="000F1C75" w:rsidP="000F1C75">
            <w:pPr>
              <w:pStyle w:val="Cnormln"/>
              <w:spacing w:before="60" w:after="6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0"/>
                <w:szCs w:val="20"/>
              </w:rPr>
            </w:pPr>
            <w:r w:rsidRPr="009712D0">
              <w:rPr>
                <w:rFonts w:asciiTheme="minorHAnsi" w:hAnsiTheme="minorHAnsi" w:cstheme="minorHAnsi"/>
                <w:bCs w:val="0"/>
                <w:sz w:val="20"/>
                <w:szCs w:val="20"/>
              </w:rPr>
              <w:t>2018</w:t>
            </w:r>
          </w:p>
        </w:tc>
        <w:tc>
          <w:tcPr>
            <w:tcW w:w="693" w:type="dxa"/>
          </w:tcPr>
          <w:p w14:paraId="2CAA07A5" w14:textId="77777777" w:rsidR="000F1C75" w:rsidRPr="009712D0" w:rsidRDefault="000F1C75" w:rsidP="000F1C75">
            <w:pPr>
              <w:pStyle w:val="Cnormln"/>
              <w:spacing w:before="60" w:after="6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0"/>
                <w:szCs w:val="20"/>
              </w:rPr>
            </w:pPr>
            <w:r w:rsidRPr="009712D0">
              <w:rPr>
                <w:rFonts w:asciiTheme="minorHAnsi" w:hAnsiTheme="minorHAnsi" w:cstheme="minorHAnsi"/>
                <w:bCs w:val="0"/>
                <w:sz w:val="20"/>
                <w:szCs w:val="20"/>
              </w:rPr>
              <w:t>2019</w:t>
            </w:r>
            <w:r w:rsidRPr="009712D0">
              <w:rPr>
                <w:rStyle w:val="Znakapoznpodarou"/>
                <w:rFonts w:asciiTheme="minorHAnsi" w:hAnsiTheme="minorHAnsi" w:cstheme="minorHAnsi"/>
                <w:bCs w:val="0"/>
              </w:rPr>
              <w:footnoteReference w:id="9"/>
            </w:r>
          </w:p>
        </w:tc>
        <w:tc>
          <w:tcPr>
            <w:tcW w:w="699" w:type="dxa"/>
          </w:tcPr>
          <w:p w14:paraId="11F412DF" w14:textId="77777777" w:rsidR="000F1C75" w:rsidRPr="009712D0" w:rsidRDefault="000F1C75" w:rsidP="000F1C75">
            <w:pPr>
              <w:pStyle w:val="Cnormln"/>
              <w:spacing w:before="60" w:after="6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0"/>
                <w:szCs w:val="20"/>
              </w:rPr>
            </w:pPr>
            <w:r w:rsidRPr="009712D0">
              <w:rPr>
                <w:rFonts w:asciiTheme="minorHAnsi" w:hAnsiTheme="minorHAnsi" w:cstheme="minorHAnsi"/>
                <w:bCs w:val="0"/>
                <w:sz w:val="20"/>
                <w:szCs w:val="20"/>
              </w:rPr>
              <w:t>% z cíl. hodn.</w:t>
            </w:r>
          </w:p>
        </w:tc>
      </w:tr>
      <w:tr w:rsidR="000F1C75" w:rsidRPr="009A7FB6" w14:paraId="6C38F0AC" w14:textId="77777777" w:rsidTr="000F1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dxa"/>
          </w:tcPr>
          <w:p w14:paraId="0AB69B4B" w14:textId="77777777" w:rsidR="000F1C75" w:rsidRPr="009A7FB6" w:rsidRDefault="000F1C75" w:rsidP="000F1C75">
            <w:pPr>
              <w:pStyle w:val="Cnormln"/>
              <w:spacing w:before="60" w:after="60"/>
              <w:jc w:val="both"/>
              <w:rPr>
                <w:rFonts w:asciiTheme="minorHAnsi" w:hAnsiTheme="minorHAnsi" w:cstheme="minorHAnsi"/>
                <w:bCs w:val="0"/>
                <w:sz w:val="20"/>
                <w:szCs w:val="20"/>
              </w:rPr>
            </w:pPr>
            <w:r>
              <w:rPr>
                <w:rFonts w:asciiTheme="minorHAnsi" w:hAnsiTheme="minorHAnsi" w:cstheme="minorHAnsi"/>
                <w:bCs w:val="0"/>
                <w:sz w:val="20"/>
                <w:szCs w:val="20"/>
              </w:rPr>
              <w:t>80500</w:t>
            </w:r>
          </w:p>
        </w:tc>
        <w:tc>
          <w:tcPr>
            <w:tcW w:w="4504" w:type="dxa"/>
          </w:tcPr>
          <w:p w14:paraId="1A704545" w14:textId="77777777" w:rsidR="000F1C75" w:rsidRPr="009A7FB6" w:rsidRDefault="000F1C75" w:rsidP="000F1C75">
            <w:pPr>
              <w:pStyle w:val="Cnormln"/>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F01E78">
              <w:rPr>
                <w:rFonts w:asciiTheme="minorHAnsi" w:hAnsiTheme="minorHAnsi" w:cstheme="minorHAnsi"/>
                <w:bCs/>
                <w:sz w:val="20"/>
                <w:szCs w:val="20"/>
              </w:rPr>
              <w:t xml:space="preserve">Počet napsaných a </w:t>
            </w:r>
            <w:r>
              <w:rPr>
                <w:rFonts w:asciiTheme="minorHAnsi" w:hAnsiTheme="minorHAnsi" w:cstheme="minorHAnsi"/>
                <w:bCs/>
                <w:sz w:val="20"/>
                <w:szCs w:val="20"/>
              </w:rPr>
              <w:t>z</w:t>
            </w:r>
            <w:r w:rsidRPr="00F01E78">
              <w:rPr>
                <w:rFonts w:asciiTheme="minorHAnsi" w:hAnsiTheme="minorHAnsi" w:cstheme="minorHAnsi"/>
                <w:bCs/>
                <w:sz w:val="20"/>
                <w:szCs w:val="20"/>
              </w:rPr>
              <w:t>veřejněných</w:t>
            </w:r>
            <w:r>
              <w:rPr>
                <w:rFonts w:asciiTheme="minorHAnsi" w:hAnsiTheme="minorHAnsi" w:cstheme="minorHAnsi"/>
                <w:bCs/>
                <w:sz w:val="20"/>
                <w:szCs w:val="20"/>
              </w:rPr>
              <w:t xml:space="preserve"> </w:t>
            </w:r>
            <w:r w:rsidRPr="00F01E78">
              <w:rPr>
                <w:rFonts w:asciiTheme="minorHAnsi" w:hAnsiTheme="minorHAnsi" w:cstheme="minorHAnsi"/>
                <w:bCs/>
                <w:sz w:val="20"/>
                <w:szCs w:val="20"/>
              </w:rPr>
              <w:t>analytických a strategických</w:t>
            </w:r>
            <w:r>
              <w:rPr>
                <w:rFonts w:asciiTheme="minorHAnsi" w:hAnsiTheme="minorHAnsi" w:cstheme="minorHAnsi"/>
                <w:bCs/>
                <w:sz w:val="20"/>
                <w:szCs w:val="20"/>
              </w:rPr>
              <w:t xml:space="preserve"> </w:t>
            </w:r>
            <w:r w:rsidRPr="00F01E78">
              <w:rPr>
                <w:rFonts w:asciiTheme="minorHAnsi" w:hAnsiTheme="minorHAnsi" w:cstheme="minorHAnsi"/>
                <w:bCs/>
                <w:sz w:val="20"/>
                <w:szCs w:val="20"/>
              </w:rPr>
              <w:t>dokumentů (vč. evaluačních)</w:t>
            </w:r>
          </w:p>
        </w:tc>
        <w:tc>
          <w:tcPr>
            <w:tcW w:w="788" w:type="dxa"/>
          </w:tcPr>
          <w:p w14:paraId="601E244F" w14:textId="77777777" w:rsidR="000F1C75" w:rsidRPr="009A7FB6" w:rsidRDefault="000F1C75" w:rsidP="000F1C75">
            <w:pPr>
              <w:pStyle w:val="Cnormln"/>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0</w:t>
            </w:r>
          </w:p>
        </w:tc>
        <w:tc>
          <w:tcPr>
            <w:tcW w:w="763" w:type="dxa"/>
          </w:tcPr>
          <w:p w14:paraId="7F63C609" w14:textId="77777777" w:rsidR="000F1C75" w:rsidRDefault="000F1C75" w:rsidP="000F1C75">
            <w:pPr>
              <w:pStyle w:val="Cnormln"/>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4</w:t>
            </w:r>
          </w:p>
        </w:tc>
        <w:tc>
          <w:tcPr>
            <w:tcW w:w="773" w:type="dxa"/>
          </w:tcPr>
          <w:p w14:paraId="31B13138" w14:textId="77777777" w:rsidR="000F1C75" w:rsidRDefault="000F1C75" w:rsidP="000F1C75">
            <w:pPr>
              <w:pStyle w:val="Cnormln"/>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6</w:t>
            </w:r>
          </w:p>
        </w:tc>
        <w:tc>
          <w:tcPr>
            <w:tcW w:w="693" w:type="dxa"/>
          </w:tcPr>
          <w:p w14:paraId="75BA0530" w14:textId="77777777" w:rsidR="000F1C75" w:rsidRDefault="000F1C75" w:rsidP="000F1C75">
            <w:pPr>
              <w:pStyle w:val="Cnormln"/>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12</w:t>
            </w:r>
          </w:p>
        </w:tc>
        <w:tc>
          <w:tcPr>
            <w:tcW w:w="699" w:type="dxa"/>
          </w:tcPr>
          <w:p w14:paraId="7C65E617" w14:textId="77777777" w:rsidR="000F1C75" w:rsidRDefault="000F1C75" w:rsidP="000F1C75">
            <w:pPr>
              <w:pStyle w:val="Cnormln"/>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 xml:space="preserve"> 40</w:t>
            </w:r>
          </w:p>
        </w:tc>
      </w:tr>
      <w:tr w:rsidR="000F1C75" w:rsidRPr="009A7FB6" w14:paraId="3249E64C" w14:textId="77777777" w:rsidTr="000F1C75">
        <w:tc>
          <w:tcPr>
            <w:cnfStyle w:val="001000000000" w:firstRow="0" w:lastRow="0" w:firstColumn="1" w:lastColumn="0" w:oddVBand="0" w:evenVBand="0" w:oddHBand="0" w:evenHBand="0" w:firstRowFirstColumn="0" w:firstRowLastColumn="0" w:lastRowFirstColumn="0" w:lastRowLastColumn="0"/>
            <w:tcW w:w="723" w:type="dxa"/>
          </w:tcPr>
          <w:p w14:paraId="5F75DB1D" w14:textId="77777777" w:rsidR="000F1C75" w:rsidRPr="009A7FB6" w:rsidRDefault="000F1C75" w:rsidP="000F1C75">
            <w:pPr>
              <w:pStyle w:val="Cnormln"/>
              <w:spacing w:before="60" w:after="60"/>
              <w:jc w:val="both"/>
              <w:rPr>
                <w:rFonts w:asciiTheme="minorHAnsi" w:hAnsiTheme="minorHAnsi" w:cstheme="minorHAnsi"/>
                <w:bCs w:val="0"/>
                <w:sz w:val="20"/>
                <w:szCs w:val="20"/>
              </w:rPr>
            </w:pPr>
            <w:r>
              <w:rPr>
                <w:rFonts w:asciiTheme="minorHAnsi" w:hAnsiTheme="minorHAnsi" w:cstheme="minorHAnsi"/>
                <w:bCs w:val="0"/>
                <w:sz w:val="20"/>
                <w:szCs w:val="20"/>
              </w:rPr>
              <w:t>80901</w:t>
            </w:r>
          </w:p>
        </w:tc>
        <w:tc>
          <w:tcPr>
            <w:tcW w:w="4504" w:type="dxa"/>
          </w:tcPr>
          <w:p w14:paraId="4763BF47" w14:textId="77777777" w:rsidR="000F1C75" w:rsidRPr="009A7FB6" w:rsidRDefault="000F1C75" w:rsidP="000F1C75">
            <w:pPr>
              <w:pStyle w:val="Cnormln"/>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F01E78">
              <w:rPr>
                <w:rFonts w:asciiTheme="minorHAnsi" w:hAnsiTheme="minorHAnsi" w:cstheme="minorHAnsi"/>
                <w:bCs/>
                <w:sz w:val="20"/>
                <w:szCs w:val="20"/>
              </w:rPr>
              <w:t>Počet uskutečněných kontrol na místě</w:t>
            </w:r>
          </w:p>
        </w:tc>
        <w:tc>
          <w:tcPr>
            <w:tcW w:w="788" w:type="dxa"/>
          </w:tcPr>
          <w:p w14:paraId="58ADD52B" w14:textId="77777777" w:rsidR="000F1C75" w:rsidRPr="009A7FB6" w:rsidRDefault="000F1C75" w:rsidP="000F1C75">
            <w:pPr>
              <w:pStyle w:val="Cnormln"/>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0</w:t>
            </w:r>
          </w:p>
        </w:tc>
        <w:tc>
          <w:tcPr>
            <w:tcW w:w="763" w:type="dxa"/>
          </w:tcPr>
          <w:p w14:paraId="1FD7AC50" w14:textId="77777777" w:rsidR="000F1C75" w:rsidRDefault="000F1C75" w:rsidP="000F1C75">
            <w:pPr>
              <w:pStyle w:val="Cnormln"/>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193</w:t>
            </w:r>
          </w:p>
        </w:tc>
        <w:tc>
          <w:tcPr>
            <w:tcW w:w="773" w:type="dxa"/>
          </w:tcPr>
          <w:p w14:paraId="2FFA3CCD" w14:textId="77777777" w:rsidR="000F1C75" w:rsidRDefault="000F1C75" w:rsidP="000F1C75">
            <w:pPr>
              <w:pStyle w:val="Cnormln"/>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 xml:space="preserve">425 </w:t>
            </w:r>
          </w:p>
        </w:tc>
        <w:tc>
          <w:tcPr>
            <w:tcW w:w="693" w:type="dxa"/>
          </w:tcPr>
          <w:p w14:paraId="2DFB3FBE" w14:textId="77777777" w:rsidR="000F1C75" w:rsidRDefault="000F1C75" w:rsidP="000F1C75">
            <w:pPr>
              <w:pStyle w:val="Cnormln"/>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598</w:t>
            </w:r>
          </w:p>
        </w:tc>
        <w:tc>
          <w:tcPr>
            <w:tcW w:w="699" w:type="dxa"/>
          </w:tcPr>
          <w:p w14:paraId="1AC92980" w14:textId="77777777" w:rsidR="000F1C75" w:rsidRDefault="000F1C75" w:rsidP="000F1C75">
            <w:pPr>
              <w:pStyle w:val="Cnormln"/>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 xml:space="preserve"> 37,4</w:t>
            </w:r>
          </w:p>
        </w:tc>
      </w:tr>
      <w:tr w:rsidR="000F1C75" w:rsidRPr="009A7FB6" w14:paraId="096ACB79" w14:textId="77777777" w:rsidTr="000F1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dxa"/>
          </w:tcPr>
          <w:p w14:paraId="5814C06F" w14:textId="77777777" w:rsidR="000F1C75" w:rsidRDefault="000F1C75" w:rsidP="000F1C75">
            <w:pPr>
              <w:pStyle w:val="Cnormln"/>
              <w:spacing w:before="60" w:after="60"/>
              <w:jc w:val="both"/>
              <w:rPr>
                <w:rFonts w:asciiTheme="minorHAnsi" w:hAnsiTheme="minorHAnsi" w:cstheme="minorHAnsi"/>
                <w:bCs w:val="0"/>
                <w:sz w:val="20"/>
                <w:szCs w:val="20"/>
              </w:rPr>
            </w:pPr>
            <w:r>
              <w:rPr>
                <w:rFonts w:asciiTheme="minorHAnsi" w:hAnsiTheme="minorHAnsi" w:cstheme="minorHAnsi"/>
                <w:bCs w:val="0"/>
                <w:sz w:val="20"/>
                <w:szCs w:val="20"/>
              </w:rPr>
              <w:t>82000</w:t>
            </w:r>
          </w:p>
        </w:tc>
        <w:tc>
          <w:tcPr>
            <w:tcW w:w="4504" w:type="dxa"/>
          </w:tcPr>
          <w:p w14:paraId="2F273F76" w14:textId="77777777" w:rsidR="000F1C75" w:rsidRPr="00F01E78" w:rsidRDefault="000F1C75" w:rsidP="000F1C75">
            <w:pPr>
              <w:pStyle w:val="Cnormln"/>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F01E78">
              <w:rPr>
                <w:rFonts w:asciiTheme="minorHAnsi" w:hAnsiTheme="minorHAnsi" w:cstheme="minorHAnsi"/>
                <w:bCs/>
                <w:sz w:val="20"/>
                <w:szCs w:val="20"/>
              </w:rPr>
              <w:t>Počet uskutečněných školení,</w:t>
            </w:r>
          </w:p>
          <w:p w14:paraId="0FBA633E" w14:textId="77777777" w:rsidR="000F1C75" w:rsidRDefault="000F1C75" w:rsidP="000F1C75">
            <w:pPr>
              <w:pStyle w:val="Cnormln"/>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F01E78">
              <w:rPr>
                <w:rFonts w:asciiTheme="minorHAnsi" w:hAnsiTheme="minorHAnsi" w:cstheme="minorHAnsi"/>
                <w:bCs/>
                <w:sz w:val="20"/>
                <w:szCs w:val="20"/>
              </w:rPr>
              <w:t>seminářů, workshopů a konferencí</w:t>
            </w:r>
          </w:p>
        </w:tc>
        <w:tc>
          <w:tcPr>
            <w:tcW w:w="788" w:type="dxa"/>
          </w:tcPr>
          <w:p w14:paraId="7C7DFF09" w14:textId="77777777" w:rsidR="000F1C75" w:rsidRDefault="000F1C75" w:rsidP="000F1C75">
            <w:pPr>
              <w:pStyle w:val="Cnormln"/>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172</w:t>
            </w:r>
          </w:p>
        </w:tc>
        <w:tc>
          <w:tcPr>
            <w:tcW w:w="763" w:type="dxa"/>
          </w:tcPr>
          <w:p w14:paraId="08AE0159" w14:textId="77777777" w:rsidR="000F1C75" w:rsidRDefault="000F1C75" w:rsidP="000F1C75">
            <w:pPr>
              <w:pStyle w:val="Cnormln"/>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333</w:t>
            </w:r>
          </w:p>
        </w:tc>
        <w:tc>
          <w:tcPr>
            <w:tcW w:w="773" w:type="dxa"/>
          </w:tcPr>
          <w:p w14:paraId="1676573A" w14:textId="77777777" w:rsidR="000F1C75" w:rsidRDefault="000F1C75" w:rsidP="000F1C75">
            <w:pPr>
              <w:pStyle w:val="Cnormln"/>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590</w:t>
            </w:r>
          </w:p>
        </w:tc>
        <w:tc>
          <w:tcPr>
            <w:tcW w:w="693" w:type="dxa"/>
          </w:tcPr>
          <w:p w14:paraId="54FCFFC5" w14:textId="77777777" w:rsidR="000F1C75" w:rsidRDefault="000F1C75" w:rsidP="000F1C75">
            <w:pPr>
              <w:pStyle w:val="Cnormln"/>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764</w:t>
            </w:r>
          </w:p>
        </w:tc>
        <w:tc>
          <w:tcPr>
            <w:tcW w:w="699" w:type="dxa"/>
          </w:tcPr>
          <w:p w14:paraId="08ED0F26" w14:textId="77777777" w:rsidR="000F1C75" w:rsidRDefault="000F1C75" w:rsidP="000F1C75">
            <w:pPr>
              <w:pStyle w:val="Cnormln"/>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 xml:space="preserve"> 58,8</w:t>
            </w:r>
          </w:p>
        </w:tc>
      </w:tr>
      <w:tr w:rsidR="000F1C75" w:rsidRPr="009A7FB6" w14:paraId="298ACE31" w14:textId="77777777" w:rsidTr="000F1C75">
        <w:tc>
          <w:tcPr>
            <w:cnfStyle w:val="001000000000" w:firstRow="0" w:lastRow="0" w:firstColumn="1" w:lastColumn="0" w:oddVBand="0" w:evenVBand="0" w:oddHBand="0" w:evenHBand="0" w:firstRowFirstColumn="0" w:firstRowLastColumn="0" w:lastRowFirstColumn="0" w:lastRowLastColumn="0"/>
            <w:tcW w:w="723" w:type="dxa"/>
          </w:tcPr>
          <w:p w14:paraId="610C89F1" w14:textId="77777777" w:rsidR="000F1C75" w:rsidRDefault="000F1C75" w:rsidP="000F1C75">
            <w:pPr>
              <w:pStyle w:val="Cnormln"/>
              <w:spacing w:before="60" w:after="60"/>
              <w:jc w:val="both"/>
              <w:rPr>
                <w:rFonts w:asciiTheme="minorHAnsi" w:hAnsiTheme="minorHAnsi" w:cstheme="minorHAnsi"/>
                <w:bCs w:val="0"/>
                <w:sz w:val="20"/>
                <w:szCs w:val="20"/>
              </w:rPr>
            </w:pPr>
            <w:r>
              <w:rPr>
                <w:rFonts w:asciiTheme="minorHAnsi" w:hAnsiTheme="minorHAnsi" w:cstheme="minorHAnsi"/>
                <w:bCs w:val="0"/>
                <w:sz w:val="20"/>
                <w:szCs w:val="20"/>
              </w:rPr>
              <w:t>82500</w:t>
            </w:r>
          </w:p>
        </w:tc>
        <w:tc>
          <w:tcPr>
            <w:tcW w:w="4504" w:type="dxa"/>
          </w:tcPr>
          <w:p w14:paraId="3914CA1A" w14:textId="77777777" w:rsidR="000F1C75" w:rsidRPr="00F01E78" w:rsidRDefault="000F1C75" w:rsidP="000F1C75">
            <w:pPr>
              <w:pStyle w:val="Cnormln"/>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F01E78">
              <w:rPr>
                <w:rFonts w:asciiTheme="minorHAnsi" w:hAnsiTheme="minorHAnsi" w:cstheme="minorHAnsi"/>
                <w:bCs/>
                <w:sz w:val="20"/>
                <w:szCs w:val="20"/>
              </w:rPr>
              <w:t>Počet pracovních míst financovaných</w:t>
            </w:r>
          </w:p>
          <w:p w14:paraId="6D9A2255" w14:textId="77777777" w:rsidR="000F1C75" w:rsidRDefault="000F1C75" w:rsidP="000F1C75">
            <w:pPr>
              <w:pStyle w:val="Cnormln"/>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F01E78">
              <w:rPr>
                <w:rFonts w:asciiTheme="minorHAnsi" w:hAnsiTheme="minorHAnsi" w:cstheme="minorHAnsi"/>
                <w:bCs/>
                <w:sz w:val="20"/>
                <w:szCs w:val="20"/>
              </w:rPr>
              <w:t>z programu</w:t>
            </w:r>
          </w:p>
        </w:tc>
        <w:tc>
          <w:tcPr>
            <w:tcW w:w="788" w:type="dxa"/>
          </w:tcPr>
          <w:p w14:paraId="4D23FD61" w14:textId="77777777" w:rsidR="000F1C75" w:rsidRDefault="000F1C75" w:rsidP="000F1C75">
            <w:pPr>
              <w:pStyle w:val="Cnormln"/>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302,71</w:t>
            </w:r>
          </w:p>
        </w:tc>
        <w:tc>
          <w:tcPr>
            <w:tcW w:w="763" w:type="dxa"/>
          </w:tcPr>
          <w:p w14:paraId="78BC5EA8" w14:textId="77777777" w:rsidR="000F1C75" w:rsidRDefault="000F1C75" w:rsidP="000F1C75">
            <w:pPr>
              <w:pStyle w:val="Cnormln"/>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332,2</w:t>
            </w:r>
          </w:p>
        </w:tc>
        <w:tc>
          <w:tcPr>
            <w:tcW w:w="773" w:type="dxa"/>
          </w:tcPr>
          <w:p w14:paraId="6D884CDD" w14:textId="77777777" w:rsidR="000F1C75" w:rsidRDefault="000F1C75" w:rsidP="000F1C75">
            <w:pPr>
              <w:pStyle w:val="Cnormln"/>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369,46</w:t>
            </w:r>
          </w:p>
        </w:tc>
        <w:tc>
          <w:tcPr>
            <w:tcW w:w="693" w:type="dxa"/>
          </w:tcPr>
          <w:p w14:paraId="20F9A19D" w14:textId="77777777" w:rsidR="000F1C75" w:rsidRDefault="000F1C75" w:rsidP="000F1C75">
            <w:pPr>
              <w:pStyle w:val="Cnormln"/>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386,2</w:t>
            </w:r>
          </w:p>
        </w:tc>
        <w:tc>
          <w:tcPr>
            <w:tcW w:w="699" w:type="dxa"/>
          </w:tcPr>
          <w:p w14:paraId="23B9CA18" w14:textId="77777777" w:rsidR="000F1C75" w:rsidRDefault="000F1C75" w:rsidP="000F1C75">
            <w:pPr>
              <w:pStyle w:val="Cnormln"/>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w:t>
            </w:r>
          </w:p>
        </w:tc>
      </w:tr>
    </w:tbl>
    <w:p w14:paraId="4D14EE9D" w14:textId="77777777" w:rsidR="000F1C75" w:rsidRPr="009712D0" w:rsidRDefault="000F1C75" w:rsidP="000F1C75">
      <w:pPr>
        <w:rPr>
          <w:i/>
          <w:iCs/>
        </w:rPr>
      </w:pPr>
      <w:r>
        <w:rPr>
          <w:i/>
          <w:iCs/>
        </w:rPr>
        <w:t>Zdroj: Výroční zprávy OP PIK, ŘO</w:t>
      </w:r>
    </w:p>
    <w:p w14:paraId="3712DB72" w14:textId="77777777" w:rsidR="000F1C75" w:rsidRDefault="000F1C75" w:rsidP="000F1C75">
      <w:r>
        <w:t>Nad rámec uvedeného jsou stanoveny také interní indikátory výstupu, jejichž monitoring ale není součástí Výročních zpráv ani dalších monitorovacích procesů v rámci TP:</w:t>
      </w:r>
    </w:p>
    <w:p w14:paraId="69797928" w14:textId="0C26C4EA" w:rsidR="000F1C75" w:rsidRDefault="000F1C75" w:rsidP="000F1C75">
      <w:pPr>
        <w:pStyle w:val="Titulek"/>
      </w:pPr>
      <w:bookmarkStart w:id="73" w:name="_Toc45657572"/>
      <w:bookmarkStart w:id="74" w:name="_Toc50456749"/>
      <w:r>
        <w:t xml:space="preserve">Tabulka </w:t>
      </w:r>
      <w:r w:rsidR="00C050DB">
        <w:fldChar w:fldCharType="begin"/>
      </w:r>
      <w:r w:rsidR="00C050DB">
        <w:instrText xml:space="preserve"> SEQ Tabulka \* ARABIC </w:instrText>
      </w:r>
      <w:r w:rsidR="00C050DB">
        <w:fldChar w:fldCharType="separate"/>
      </w:r>
      <w:r w:rsidR="00E96F43">
        <w:rPr>
          <w:noProof/>
        </w:rPr>
        <w:t>16</w:t>
      </w:r>
      <w:r w:rsidR="00C050DB">
        <w:rPr>
          <w:noProof/>
        </w:rPr>
        <w:fldChar w:fldCharType="end"/>
      </w:r>
      <w:r>
        <w:t>: Interní ukazatele výstupu TP OP PIK</w:t>
      </w:r>
      <w:bookmarkEnd w:id="73"/>
      <w:bookmarkEnd w:id="74"/>
    </w:p>
    <w:tbl>
      <w:tblPr>
        <w:tblStyle w:val="Styl1"/>
        <w:tblW w:w="0" w:type="auto"/>
        <w:tblLook w:val="04A0" w:firstRow="1" w:lastRow="0" w:firstColumn="1" w:lastColumn="0" w:noHBand="0" w:noVBand="1"/>
      </w:tblPr>
      <w:tblGrid>
        <w:gridCol w:w="723"/>
        <w:gridCol w:w="5651"/>
        <w:gridCol w:w="1183"/>
        <w:gridCol w:w="1368"/>
      </w:tblGrid>
      <w:tr w:rsidR="000F1C75" w:rsidRPr="009712D0" w14:paraId="3FD8376F" w14:textId="77777777" w:rsidTr="000F1C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23" w:type="dxa"/>
          </w:tcPr>
          <w:p w14:paraId="7429DE14" w14:textId="77777777" w:rsidR="000F1C75" w:rsidRPr="009712D0" w:rsidRDefault="000F1C75" w:rsidP="000F1C75">
            <w:pPr>
              <w:pStyle w:val="Cnormln"/>
              <w:spacing w:before="60" w:after="60"/>
              <w:jc w:val="both"/>
              <w:rPr>
                <w:rFonts w:asciiTheme="minorHAnsi" w:hAnsiTheme="minorHAnsi" w:cstheme="minorHAnsi"/>
                <w:bCs w:val="0"/>
                <w:sz w:val="20"/>
                <w:szCs w:val="20"/>
              </w:rPr>
            </w:pPr>
            <w:r w:rsidRPr="009712D0">
              <w:rPr>
                <w:rFonts w:asciiTheme="minorHAnsi" w:hAnsiTheme="minorHAnsi" w:cstheme="minorHAnsi"/>
                <w:bCs w:val="0"/>
                <w:sz w:val="20"/>
                <w:szCs w:val="20"/>
              </w:rPr>
              <w:t>ID</w:t>
            </w:r>
          </w:p>
        </w:tc>
        <w:tc>
          <w:tcPr>
            <w:tcW w:w="5651" w:type="dxa"/>
          </w:tcPr>
          <w:p w14:paraId="05398A59" w14:textId="77777777" w:rsidR="000F1C75" w:rsidRPr="009712D0" w:rsidRDefault="000F1C75" w:rsidP="000F1C75">
            <w:pPr>
              <w:pStyle w:val="Cnormln"/>
              <w:spacing w:before="60" w:after="6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0"/>
                <w:szCs w:val="20"/>
              </w:rPr>
            </w:pPr>
            <w:r w:rsidRPr="009712D0">
              <w:rPr>
                <w:rFonts w:asciiTheme="minorHAnsi" w:hAnsiTheme="minorHAnsi" w:cstheme="minorHAnsi"/>
                <w:bCs w:val="0"/>
                <w:sz w:val="20"/>
                <w:szCs w:val="20"/>
              </w:rPr>
              <w:t>Ukazatel</w:t>
            </w:r>
          </w:p>
        </w:tc>
        <w:tc>
          <w:tcPr>
            <w:tcW w:w="1183" w:type="dxa"/>
          </w:tcPr>
          <w:p w14:paraId="0B7D2D29" w14:textId="77777777" w:rsidR="000F1C75" w:rsidRPr="009712D0" w:rsidRDefault="000F1C75" w:rsidP="000F1C75">
            <w:pPr>
              <w:pStyle w:val="Cnormln"/>
              <w:spacing w:before="60" w:after="6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0"/>
                <w:szCs w:val="20"/>
              </w:rPr>
            </w:pPr>
            <w:r w:rsidRPr="009712D0">
              <w:rPr>
                <w:rFonts w:asciiTheme="minorHAnsi" w:hAnsiTheme="minorHAnsi" w:cstheme="minorHAnsi"/>
                <w:bCs w:val="0"/>
                <w:sz w:val="20"/>
                <w:szCs w:val="20"/>
              </w:rPr>
              <w:t>Měrná jednotka</w:t>
            </w:r>
          </w:p>
        </w:tc>
        <w:tc>
          <w:tcPr>
            <w:tcW w:w="1368" w:type="dxa"/>
          </w:tcPr>
          <w:p w14:paraId="5C3A338B" w14:textId="77777777" w:rsidR="000F1C75" w:rsidRPr="009712D0" w:rsidRDefault="000F1C75" w:rsidP="000F1C75">
            <w:pPr>
              <w:pStyle w:val="Cnormln"/>
              <w:spacing w:before="60" w:after="6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0"/>
                <w:szCs w:val="20"/>
              </w:rPr>
            </w:pPr>
            <w:r w:rsidRPr="009712D0">
              <w:rPr>
                <w:rFonts w:asciiTheme="minorHAnsi" w:hAnsiTheme="minorHAnsi" w:cstheme="minorHAnsi"/>
                <w:bCs w:val="0"/>
                <w:sz w:val="20"/>
                <w:szCs w:val="20"/>
              </w:rPr>
              <w:t>Cílová hodnota (2023)</w:t>
            </w:r>
          </w:p>
        </w:tc>
      </w:tr>
      <w:tr w:rsidR="000F1C75" w:rsidRPr="009A7FB6" w14:paraId="4153CF01" w14:textId="77777777" w:rsidTr="000F1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dxa"/>
          </w:tcPr>
          <w:p w14:paraId="64D3724A" w14:textId="77777777" w:rsidR="000F1C75" w:rsidRPr="00F157B5" w:rsidRDefault="000F1C75" w:rsidP="000F1C75">
            <w:pPr>
              <w:pStyle w:val="Cnormln"/>
              <w:spacing w:before="60" w:after="60"/>
              <w:jc w:val="both"/>
              <w:rPr>
                <w:rFonts w:asciiTheme="minorHAnsi" w:hAnsiTheme="minorHAnsi" w:cstheme="minorHAnsi"/>
                <w:bCs w:val="0"/>
                <w:sz w:val="20"/>
                <w:szCs w:val="20"/>
              </w:rPr>
            </w:pPr>
            <w:r w:rsidRPr="00F157B5">
              <w:rPr>
                <w:rFonts w:asciiTheme="minorHAnsi" w:hAnsiTheme="minorHAnsi" w:cstheme="minorHAnsi"/>
                <w:sz w:val="20"/>
                <w:szCs w:val="20"/>
              </w:rPr>
              <w:t>80600</w:t>
            </w:r>
          </w:p>
        </w:tc>
        <w:tc>
          <w:tcPr>
            <w:tcW w:w="5651" w:type="dxa"/>
          </w:tcPr>
          <w:p w14:paraId="1ED48057" w14:textId="77777777" w:rsidR="000F1C75" w:rsidRPr="00F157B5" w:rsidRDefault="000F1C75" w:rsidP="000F1C75">
            <w:pPr>
              <w:pStyle w:val="Cnormln"/>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F157B5">
              <w:rPr>
                <w:rFonts w:asciiTheme="minorHAnsi" w:hAnsiTheme="minorHAnsi" w:cstheme="minorHAnsi"/>
                <w:sz w:val="20"/>
                <w:szCs w:val="20"/>
              </w:rPr>
              <w:t>Počet jednání orgánů, pracovních či poradních skupin</w:t>
            </w:r>
          </w:p>
        </w:tc>
        <w:tc>
          <w:tcPr>
            <w:tcW w:w="1183" w:type="dxa"/>
          </w:tcPr>
          <w:p w14:paraId="594C3BF5" w14:textId="77777777" w:rsidR="000F1C75" w:rsidRPr="00F157B5" w:rsidRDefault="000F1C75" w:rsidP="000F1C75">
            <w:pPr>
              <w:pStyle w:val="Cnormln"/>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F157B5">
              <w:rPr>
                <w:rFonts w:asciiTheme="minorHAnsi" w:hAnsiTheme="minorHAnsi" w:cstheme="minorHAnsi"/>
                <w:sz w:val="20"/>
                <w:szCs w:val="20"/>
              </w:rPr>
              <w:t>jednání</w:t>
            </w:r>
          </w:p>
        </w:tc>
        <w:tc>
          <w:tcPr>
            <w:tcW w:w="1368" w:type="dxa"/>
          </w:tcPr>
          <w:p w14:paraId="5CA5023D" w14:textId="77777777" w:rsidR="000F1C75" w:rsidRPr="00F157B5" w:rsidRDefault="000F1C75" w:rsidP="000F1C75">
            <w:pPr>
              <w:pStyle w:val="Cnormln"/>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F157B5">
              <w:rPr>
                <w:rFonts w:asciiTheme="minorHAnsi" w:hAnsiTheme="minorHAnsi" w:cstheme="minorHAnsi"/>
                <w:sz w:val="20"/>
                <w:szCs w:val="20"/>
              </w:rPr>
              <w:t>100</w:t>
            </w:r>
          </w:p>
        </w:tc>
      </w:tr>
      <w:tr w:rsidR="000F1C75" w:rsidRPr="009A7FB6" w14:paraId="35A26927" w14:textId="77777777" w:rsidTr="000F1C75">
        <w:tc>
          <w:tcPr>
            <w:cnfStyle w:val="001000000000" w:firstRow="0" w:lastRow="0" w:firstColumn="1" w:lastColumn="0" w:oddVBand="0" w:evenVBand="0" w:oddHBand="0" w:evenHBand="0" w:firstRowFirstColumn="0" w:firstRowLastColumn="0" w:lastRowFirstColumn="0" w:lastRowLastColumn="0"/>
            <w:tcW w:w="723" w:type="dxa"/>
          </w:tcPr>
          <w:p w14:paraId="473921F8" w14:textId="77777777" w:rsidR="000F1C75" w:rsidRPr="00F157B5" w:rsidRDefault="000F1C75" w:rsidP="000F1C75">
            <w:pPr>
              <w:pStyle w:val="Cnormln"/>
              <w:spacing w:before="60" w:after="60"/>
              <w:jc w:val="both"/>
              <w:rPr>
                <w:rFonts w:asciiTheme="minorHAnsi" w:hAnsiTheme="minorHAnsi" w:cstheme="minorHAnsi"/>
                <w:bCs w:val="0"/>
                <w:sz w:val="20"/>
                <w:szCs w:val="20"/>
              </w:rPr>
            </w:pPr>
            <w:r w:rsidRPr="00F157B5">
              <w:rPr>
                <w:rFonts w:asciiTheme="minorHAnsi" w:hAnsiTheme="minorHAnsi" w:cstheme="minorHAnsi"/>
                <w:sz w:val="20"/>
                <w:szCs w:val="20"/>
              </w:rPr>
              <w:t>82200</w:t>
            </w:r>
          </w:p>
        </w:tc>
        <w:tc>
          <w:tcPr>
            <w:tcW w:w="5651" w:type="dxa"/>
          </w:tcPr>
          <w:p w14:paraId="75D9014E" w14:textId="77777777" w:rsidR="000F1C75" w:rsidRPr="00F157B5" w:rsidRDefault="000F1C75" w:rsidP="000F1C75">
            <w:pPr>
              <w:pStyle w:val="Cnormln"/>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F157B5">
              <w:rPr>
                <w:rFonts w:asciiTheme="minorHAnsi" w:hAnsiTheme="minorHAnsi" w:cstheme="minorHAnsi"/>
                <w:sz w:val="20"/>
                <w:szCs w:val="20"/>
              </w:rPr>
              <w:t>Nákup materiálu, zboží a služeb potřebných k zajištění implementace programu</w:t>
            </w:r>
          </w:p>
        </w:tc>
        <w:tc>
          <w:tcPr>
            <w:tcW w:w="1183" w:type="dxa"/>
          </w:tcPr>
          <w:p w14:paraId="211401DA" w14:textId="77777777" w:rsidR="000F1C75" w:rsidRPr="00F157B5" w:rsidRDefault="000F1C75" w:rsidP="000F1C75">
            <w:pPr>
              <w:pStyle w:val="Cnormln"/>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F157B5">
              <w:rPr>
                <w:rFonts w:asciiTheme="minorHAnsi" w:hAnsiTheme="minorHAnsi" w:cstheme="minorHAnsi"/>
                <w:sz w:val="20"/>
                <w:szCs w:val="20"/>
              </w:rPr>
              <w:t>Kč</w:t>
            </w:r>
          </w:p>
        </w:tc>
        <w:tc>
          <w:tcPr>
            <w:tcW w:w="1368" w:type="dxa"/>
          </w:tcPr>
          <w:p w14:paraId="1797CD0F" w14:textId="77777777" w:rsidR="000F1C75" w:rsidRPr="00F157B5" w:rsidRDefault="000F1C75" w:rsidP="000F1C75">
            <w:pPr>
              <w:pStyle w:val="Cnormln"/>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F157B5">
              <w:rPr>
                <w:rFonts w:asciiTheme="minorHAnsi" w:hAnsiTheme="minorHAnsi" w:cstheme="minorHAnsi"/>
                <w:sz w:val="20"/>
                <w:szCs w:val="20"/>
              </w:rPr>
              <w:t>1,2 mld</w:t>
            </w:r>
            <w:r>
              <w:rPr>
                <w:rFonts w:asciiTheme="minorHAnsi" w:hAnsiTheme="minorHAnsi" w:cstheme="minorHAnsi"/>
                <w:sz w:val="20"/>
                <w:szCs w:val="20"/>
              </w:rPr>
              <w:t>.</w:t>
            </w:r>
            <w:r w:rsidRPr="00F157B5">
              <w:rPr>
                <w:rFonts w:asciiTheme="minorHAnsi" w:hAnsiTheme="minorHAnsi" w:cstheme="minorHAnsi"/>
                <w:sz w:val="20"/>
                <w:szCs w:val="20"/>
              </w:rPr>
              <w:t xml:space="preserve"> </w:t>
            </w:r>
          </w:p>
        </w:tc>
      </w:tr>
      <w:tr w:rsidR="000F1C75" w:rsidRPr="009A7FB6" w14:paraId="5D4A3FE0" w14:textId="77777777" w:rsidTr="000F1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dxa"/>
          </w:tcPr>
          <w:p w14:paraId="32A8D98E" w14:textId="77777777" w:rsidR="000F1C75" w:rsidRPr="00F157B5" w:rsidRDefault="000F1C75" w:rsidP="000F1C75">
            <w:pPr>
              <w:pStyle w:val="Cnormln"/>
              <w:spacing w:before="60" w:after="60"/>
              <w:jc w:val="both"/>
              <w:rPr>
                <w:rFonts w:asciiTheme="minorHAnsi" w:hAnsiTheme="minorHAnsi" w:cstheme="minorHAnsi"/>
                <w:bCs w:val="0"/>
                <w:sz w:val="20"/>
                <w:szCs w:val="20"/>
              </w:rPr>
            </w:pPr>
            <w:r w:rsidRPr="00F157B5">
              <w:rPr>
                <w:rFonts w:asciiTheme="minorHAnsi" w:hAnsiTheme="minorHAnsi" w:cstheme="minorHAnsi"/>
                <w:sz w:val="20"/>
                <w:szCs w:val="20"/>
              </w:rPr>
              <w:t>82300</w:t>
            </w:r>
          </w:p>
        </w:tc>
        <w:tc>
          <w:tcPr>
            <w:tcW w:w="5651" w:type="dxa"/>
          </w:tcPr>
          <w:p w14:paraId="12AEF501" w14:textId="77777777" w:rsidR="000F1C75" w:rsidRPr="00F157B5" w:rsidRDefault="000F1C75" w:rsidP="000F1C75">
            <w:pPr>
              <w:pStyle w:val="Cnormln"/>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bookmarkStart w:id="75" w:name="_Hlk46235594"/>
            <w:r w:rsidRPr="00F157B5">
              <w:rPr>
                <w:rFonts w:asciiTheme="minorHAnsi" w:hAnsiTheme="minorHAnsi" w:cstheme="minorHAnsi"/>
                <w:sz w:val="20"/>
                <w:szCs w:val="20"/>
              </w:rPr>
              <w:t>Počet nově pořízeného vybavení</w:t>
            </w:r>
            <w:bookmarkEnd w:id="75"/>
          </w:p>
        </w:tc>
        <w:tc>
          <w:tcPr>
            <w:tcW w:w="1183" w:type="dxa"/>
          </w:tcPr>
          <w:p w14:paraId="5CF9E7BA" w14:textId="77777777" w:rsidR="000F1C75" w:rsidRPr="00F157B5" w:rsidRDefault="000F1C75" w:rsidP="000F1C75">
            <w:pPr>
              <w:pStyle w:val="Cnormln"/>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F157B5">
              <w:rPr>
                <w:rFonts w:asciiTheme="minorHAnsi" w:hAnsiTheme="minorHAnsi" w:cstheme="minorHAnsi"/>
                <w:sz w:val="20"/>
                <w:szCs w:val="20"/>
              </w:rPr>
              <w:t>inventární čísla</w:t>
            </w:r>
          </w:p>
        </w:tc>
        <w:tc>
          <w:tcPr>
            <w:tcW w:w="1368" w:type="dxa"/>
          </w:tcPr>
          <w:p w14:paraId="7A3BA588" w14:textId="77777777" w:rsidR="000F1C75" w:rsidRPr="00F157B5" w:rsidRDefault="000F1C75" w:rsidP="000F1C75">
            <w:pPr>
              <w:pStyle w:val="Cnormln"/>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F157B5">
              <w:rPr>
                <w:rFonts w:asciiTheme="minorHAnsi" w:hAnsiTheme="minorHAnsi" w:cstheme="minorHAnsi"/>
                <w:sz w:val="20"/>
                <w:szCs w:val="20"/>
              </w:rPr>
              <w:t>1 300</w:t>
            </w:r>
          </w:p>
        </w:tc>
      </w:tr>
      <w:tr w:rsidR="000F1C75" w:rsidRPr="009A7FB6" w14:paraId="64A3600E" w14:textId="77777777" w:rsidTr="000F1C75">
        <w:tc>
          <w:tcPr>
            <w:cnfStyle w:val="001000000000" w:firstRow="0" w:lastRow="0" w:firstColumn="1" w:lastColumn="0" w:oddVBand="0" w:evenVBand="0" w:oddHBand="0" w:evenHBand="0" w:firstRowFirstColumn="0" w:firstRowLastColumn="0" w:lastRowFirstColumn="0" w:lastRowLastColumn="0"/>
            <w:tcW w:w="723" w:type="dxa"/>
          </w:tcPr>
          <w:p w14:paraId="04815CC1" w14:textId="77777777" w:rsidR="000F1C75" w:rsidRPr="00F157B5" w:rsidRDefault="000F1C75" w:rsidP="000F1C75">
            <w:pPr>
              <w:pStyle w:val="Cnormln"/>
              <w:spacing w:before="60" w:after="60"/>
              <w:jc w:val="both"/>
              <w:rPr>
                <w:rFonts w:asciiTheme="minorHAnsi" w:hAnsiTheme="minorHAnsi" w:cstheme="minorHAnsi"/>
                <w:bCs w:val="0"/>
                <w:sz w:val="20"/>
                <w:szCs w:val="20"/>
              </w:rPr>
            </w:pPr>
            <w:r w:rsidRPr="00F157B5">
              <w:rPr>
                <w:rFonts w:asciiTheme="minorHAnsi" w:hAnsiTheme="minorHAnsi" w:cstheme="minorHAnsi"/>
                <w:sz w:val="20"/>
                <w:szCs w:val="20"/>
              </w:rPr>
              <w:t>80200</w:t>
            </w:r>
          </w:p>
        </w:tc>
        <w:tc>
          <w:tcPr>
            <w:tcW w:w="5651" w:type="dxa"/>
          </w:tcPr>
          <w:p w14:paraId="71D00C8F" w14:textId="77777777" w:rsidR="000F1C75" w:rsidRPr="00F157B5" w:rsidRDefault="000F1C75" w:rsidP="000F1C75">
            <w:pPr>
              <w:pStyle w:val="Cnormln"/>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bookmarkStart w:id="76" w:name="_Hlk46235603"/>
            <w:r w:rsidRPr="00F157B5">
              <w:rPr>
                <w:rFonts w:asciiTheme="minorHAnsi" w:hAnsiTheme="minorHAnsi" w:cstheme="minorHAnsi"/>
                <w:sz w:val="20"/>
                <w:szCs w:val="20"/>
              </w:rPr>
              <w:t>Počet vytvořených informačních materiálů</w:t>
            </w:r>
            <w:bookmarkEnd w:id="76"/>
          </w:p>
        </w:tc>
        <w:tc>
          <w:tcPr>
            <w:tcW w:w="1183" w:type="dxa"/>
          </w:tcPr>
          <w:p w14:paraId="557ECFD8" w14:textId="77777777" w:rsidR="000F1C75" w:rsidRPr="00F157B5" w:rsidRDefault="000F1C75" w:rsidP="000F1C75">
            <w:pPr>
              <w:pStyle w:val="Cnormln"/>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F157B5">
              <w:rPr>
                <w:rFonts w:asciiTheme="minorHAnsi" w:hAnsiTheme="minorHAnsi" w:cstheme="minorHAnsi"/>
                <w:sz w:val="20"/>
                <w:szCs w:val="20"/>
              </w:rPr>
              <w:t>unikátní materiály</w:t>
            </w:r>
          </w:p>
        </w:tc>
        <w:tc>
          <w:tcPr>
            <w:tcW w:w="1368" w:type="dxa"/>
          </w:tcPr>
          <w:p w14:paraId="7CF88215" w14:textId="77777777" w:rsidR="000F1C75" w:rsidRPr="00F157B5" w:rsidRDefault="000F1C75" w:rsidP="000F1C75">
            <w:pPr>
              <w:pStyle w:val="Cnormln"/>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F157B5">
              <w:rPr>
                <w:rFonts w:asciiTheme="minorHAnsi" w:hAnsiTheme="minorHAnsi" w:cstheme="minorHAnsi"/>
                <w:sz w:val="20"/>
                <w:szCs w:val="20"/>
              </w:rPr>
              <w:t>20</w:t>
            </w:r>
          </w:p>
        </w:tc>
      </w:tr>
      <w:tr w:rsidR="000F1C75" w:rsidRPr="009A7FB6" w14:paraId="21397087" w14:textId="77777777" w:rsidTr="000F1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dxa"/>
          </w:tcPr>
          <w:p w14:paraId="6AA8DFCF" w14:textId="77777777" w:rsidR="000F1C75" w:rsidRPr="00F157B5" w:rsidRDefault="000F1C75" w:rsidP="000F1C75">
            <w:pPr>
              <w:pStyle w:val="Cnormln"/>
              <w:spacing w:before="60" w:after="60"/>
              <w:jc w:val="both"/>
              <w:rPr>
                <w:rFonts w:asciiTheme="minorHAnsi" w:hAnsiTheme="minorHAnsi" w:cstheme="minorHAnsi"/>
                <w:bCs w:val="0"/>
                <w:sz w:val="20"/>
                <w:szCs w:val="20"/>
              </w:rPr>
            </w:pPr>
            <w:r w:rsidRPr="00F157B5">
              <w:rPr>
                <w:rFonts w:asciiTheme="minorHAnsi" w:hAnsiTheme="minorHAnsi" w:cstheme="minorHAnsi"/>
                <w:sz w:val="20"/>
                <w:szCs w:val="20"/>
              </w:rPr>
              <w:t>82200</w:t>
            </w:r>
          </w:p>
        </w:tc>
        <w:tc>
          <w:tcPr>
            <w:tcW w:w="5651" w:type="dxa"/>
          </w:tcPr>
          <w:p w14:paraId="6B9F0986" w14:textId="77777777" w:rsidR="000F1C75" w:rsidRPr="00F157B5" w:rsidRDefault="000F1C75" w:rsidP="000F1C75">
            <w:pPr>
              <w:pStyle w:val="Cnormln"/>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F157B5">
              <w:rPr>
                <w:rFonts w:asciiTheme="minorHAnsi" w:hAnsiTheme="minorHAnsi" w:cstheme="minorHAnsi"/>
                <w:sz w:val="20"/>
                <w:szCs w:val="20"/>
              </w:rPr>
              <w:t>Nákup materiálu, zboží a služeb potřebných k zajištění implementace programu</w:t>
            </w:r>
          </w:p>
        </w:tc>
        <w:tc>
          <w:tcPr>
            <w:tcW w:w="1183" w:type="dxa"/>
          </w:tcPr>
          <w:p w14:paraId="4F3D4726" w14:textId="77777777" w:rsidR="000F1C75" w:rsidRPr="00F157B5" w:rsidRDefault="000F1C75" w:rsidP="000F1C75">
            <w:pPr>
              <w:pStyle w:val="Cnormln"/>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F157B5">
              <w:rPr>
                <w:rFonts w:asciiTheme="minorHAnsi" w:hAnsiTheme="minorHAnsi" w:cstheme="minorHAnsi"/>
                <w:sz w:val="20"/>
                <w:szCs w:val="20"/>
              </w:rPr>
              <w:t>Kč</w:t>
            </w:r>
          </w:p>
        </w:tc>
        <w:tc>
          <w:tcPr>
            <w:tcW w:w="1368" w:type="dxa"/>
          </w:tcPr>
          <w:p w14:paraId="7CDF652D" w14:textId="77777777" w:rsidR="000F1C75" w:rsidRPr="00F157B5" w:rsidRDefault="000F1C75" w:rsidP="000F1C75">
            <w:pPr>
              <w:pStyle w:val="Cnormln"/>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F157B5">
              <w:rPr>
                <w:rFonts w:asciiTheme="minorHAnsi" w:hAnsiTheme="minorHAnsi" w:cstheme="minorHAnsi"/>
                <w:sz w:val="20"/>
                <w:szCs w:val="20"/>
              </w:rPr>
              <w:t>0,6 mld.</w:t>
            </w:r>
          </w:p>
        </w:tc>
      </w:tr>
      <w:tr w:rsidR="000F1C75" w:rsidRPr="009A7FB6" w14:paraId="197B2C54" w14:textId="77777777" w:rsidTr="000F1C75">
        <w:tc>
          <w:tcPr>
            <w:cnfStyle w:val="001000000000" w:firstRow="0" w:lastRow="0" w:firstColumn="1" w:lastColumn="0" w:oddVBand="0" w:evenVBand="0" w:oddHBand="0" w:evenHBand="0" w:firstRowFirstColumn="0" w:firstRowLastColumn="0" w:lastRowFirstColumn="0" w:lastRowLastColumn="0"/>
            <w:tcW w:w="723" w:type="dxa"/>
          </w:tcPr>
          <w:p w14:paraId="339EA437" w14:textId="77777777" w:rsidR="000F1C75" w:rsidRPr="00F157B5" w:rsidRDefault="000F1C75" w:rsidP="000F1C75">
            <w:pPr>
              <w:pStyle w:val="Cnormln"/>
              <w:spacing w:before="60" w:after="60"/>
              <w:jc w:val="both"/>
              <w:rPr>
                <w:rFonts w:asciiTheme="minorHAnsi" w:hAnsiTheme="minorHAnsi" w:cstheme="minorHAnsi"/>
                <w:bCs w:val="0"/>
                <w:sz w:val="20"/>
                <w:szCs w:val="20"/>
              </w:rPr>
            </w:pPr>
            <w:r w:rsidRPr="00F157B5">
              <w:rPr>
                <w:rFonts w:asciiTheme="minorHAnsi" w:hAnsiTheme="minorHAnsi" w:cstheme="minorHAnsi"/>
                <w:sz w:val="20"/>
                <w:szCs w:val="20"/>
              </w:rPr>
              <w:t>80103</w:t>
            </w:r>
          </w:p>
        </w:tc>
        <w:tc>
          <w:tcPr>
            <w:tcW w:w="5651" w:type="dxa"/>
          </w:tcPr>
          <w:p w14:paraId="680E9C28" w14:textId="77777777" w:rsidR="000F1C75" w:rsidRPr="00F157B5" w:rsidRDefault="000F1C75" w:rsidP="000F1C75">
            <w:pPr>
              <w:pStyle w:val="Cnormln"/>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F157B5">
              <w:rPr>
                <w:rFonts w:asciiTheme="minorHAnsi" w:hAnsiTheme="minorHAnsi" w:cstheme="minorHAnsi"/>
                <w:sz w:val="20"/>
                <w:szCs w:val="20"/>
              </w:rPr>
              <w:t>Počet vytvořených komunikačních nástrojů</w:t>
            </w:r>
          </w:p>
        </w:tc>
        <w:tc>
          <w:tcPr>
            <w:tcW w:w="1183" w:type="dxa"/>
          </w:tcPr>
          <w:p w14:paraId="1389A3FE" w14:textId="77777777" w:rsidR="000F1C75" w:rsidRPr="00F157B5" w:rsidRDefault="000F1C75" w:rsidP="000F1C75">
            <w:pPr>
              <w:pStyle w:val="Cnormln"/>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F157B5">
              <w:rPr>
                <w:rFonts w:asciiTheme="minorHAnsi" w:hAnsiTheme="minorHAnsi" w:cstheme="minorHAnsi"/>
                <w:sz w:val="20"/>
                <w:szCs w:val="20"/>
              </w:rPr>
              <w:t>nástroje</w:t>
            </w:r>
          </w:p>
        </w:tc>
        <w:tc>
          <w:tcPr>
            <w:tcW w:w="1368" w:type="dxa"/>
          </w:tcPr>
          <w:p w14:paraId="22650B9C" w14:textId="77777777" w:rsidR="000F1C75" w:rsidRPr="00F157B5" w:rsidRDefault="000F1C75" w:rsidP="000F1C75">
            <w:pPr>
              <w:pStyle w:val="Cnormln"/>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F157B5">
              <w:rPr>
                <w:rFonts w:asciiTheme="minorHAnsi" w:hAnsiTheme="minorHAnsi" w:cstheme="minorHAnsi"/>
                <w:sz w:val="20"/>
                <w:szCs w:val="20"/>
              </w:rPr>
              <w:t>1</w:t>
            </w:r>
          </w:p>
        </w:tc>
      </w:tr>
    </w:tbl>
    <w:p w14:paraId="25603F06" w14:textId="77777777" w:rsidR="000F1C75" w:rsidRPr="009712D0" w:rsidRDefault="000F1C75" w:rsidP="000F1C75">
      <w:pPr>
        <w:rPr>
          <w:i/>
          <w:iCs/>
        </w:rPr>
      </w:pPr>
      <w:r>
        <w:rPr>
          <w:i/>
          <w:iCs/>
        </w:rPr>
        <w:t>Zdroj: Agregační mapa OP PIK</w:t>
      </w:r>
    </w:p>
    <w:p w14:paraId="785E9EF8" w14:textId="77777777" w:rsidR="000F1C75" w:rsidRDefault="000F1C75" w:rsidP="000F1C75">
      <w:r>
        <w:t>Relevance uvedených kvantifikací ve vztahu k cílům TP je analyzována v odpovědi na následující kapitolu.</w:t>
      </w:r>
    </w:p>
    <w:p w14:paraId="61058F78" w14:textId="77777777" w:rsidR="000F1C75" w:rsidRPr="006B1509" w:rsidRDefault="000F1C75" w:rsidP="000F1C75"/>
    <w:p w14:paraId="2D5DE6B5" w14:textId="332471CB" w:rsidR="000F1C75" w:rsidRDefault="000F1C75" w:rsidP="000F1C75">
      <w:pPr>
        <w:pStyle w:val="Nadpis6"/>
      </w:pPr>
      <w:r>
        <w:lastRenderedPageBreak/>
        <w:t>Hodnocení přínosů TP ve vztahu k formulovaným cílům</w:t>
      </w:r>
    </w:p>
    <w:p w14:paraId="066867C1" w14:textId="77777777" w:rsidR="000F1C75" w:rsidRDefault="000F1C75" w:rsidP="000F1C75">
      <w:r>
        <w:t>Pokrok v plnění kvantitativně formulovaných cílů TP je realizován prostřednictvím monitoringu finančního i věcného pokroku. Klíčovým nástrojem tohoto monitoringu je zpracování Výročních zpráv, které kvantifikují pokrok v čerpání alokace opatření a také kvantifikují aktuální hodnoty monitorovacích indikátorů.</w:t>
      </w:r>
    </w:p>
    <w:p w14:paraId="6E60FADA" w14:textId="77777777" w:rsidR="000F1C75" w:rsidRDefault="000F1C75" w:rsidP="000F1C75">
      <w:r>
        <w:t>Nad rámec uvedeného je odděleně vyhodnocováno plnění Ročních komunikačních plánů, podrobněji viz evaluační otázka č. 16. Tato vyhodnocení zpracovává detailní seznam všech aktivit, které byly realizovány v rámci publicity programu (a byly financovány z odpovídajícího IP) a na tomto základě jsou zpracovány aktuální hodnoty plnění relevantních (interních i hlavních) indikátorů výstupu. Toto hodnocení je realizováno rovněž jednou ročně.</w:t>
      </w:r>
    </w:p>
    <w:p w14:paraId="19846FB0" w14:textId="77777777" w:rsidR="000F1C75" w:rsidRDefault="000F1C75" w:rsidP="000F1C75">
      <w:r>
        <w:t>Monitoring zčásti vstupuje také do procesu plánování a vyhodnocení SRP, v rámci zpracování hodnocení SRP jsou pravidelně aktualizovány predikce čerpání a plnění monitorovacích indikátorů.</w:t>
      </w:r>
    </w:p>
    <w:p w14:paraId="08BD7B66" w14:textId="77777777" w:rsidR="000F1C75" w:rsidRDefault="000F1C75" w:rsidP="000F1C75">
      <w:r>
        <w:t xml:space="preserve">Nad rámec základního monitoringu nejsou implementovány žádné formální procesy hodnocení přínosů aktivit TP (realizovaných prostřednictvím IP) k dosahování jejích cílů. Pokud je efektivita </w:t>
      </w:r>
      <w:r w:rsidR="00E254AF">
        <w:br/>
      </w:r>
      <w:r>
        <w:t xml:space="preserve">a přínosy TP vyhodnocovány, je tak realizována neformálně a na základě bezprostřední zkušenosti pracovníků TP </w:t>
      </w:r>
      <w:bookmarkStart w:id="77" w:name="_Hlk46234887"/>
      <w:r>
        <w:t>nebo garantů jednotlivých programů OP PIK</w:t>
      </w:r>
      <w:bookmarkEnd w:id="77"/>
      <w:r>
        <w:t xml:space="preserve"> (to se týká především plánování dílčích aktivit v publicitě). Dle vyjádření některých pracovníků ŘO nemá monitorovací systém TP ani kapacitu poskytovat dostatečně relevantní informace ve vztahu k její relevanci, efektivnosti a efektivitě. Trendy sledovaných monitorovacích indikátorů poskytují nanejvýš velmi zprostředkovanou informaci o tom, zda a jakým způsobem se prostřednictvím realizovaných činností daří naplňovat stanovené cíle TP. Žádný jiný systém vyhodnocování přínosů těchto činností ale není zaveden, informace </w:t>
      </w:r>
      <w:r w:rsidR="00E254AF">
        <w:br/>
      </w:r>
      <w:r>
        <w:t>o přínosech TP jsou proto spíše nesystematizované a získávány neformálně („zkušeností“ z implementace a řízení programu).</w:t>
      </w:r>
    </w:p>
    <w:p w14:paraId="68339DF7" w14:textId="77777777" w:rsidR="000F1C75" w:rsidRDefault="000F1C75" w:rsidP="000F1C75"/>
    <w:p w14:paraId="1F40097D" w14:textId="77777777" w:rsidR="000F1C75" w:rsidRDefault="000F1C75" w:rsidP="000F1C75">
      <w:pPr>
        <w:pStyle w:val="Nadpis6"/>
      </w:pPr>
      <w:r>
        <w:t>Řízení implementace TP</w:t>
      </w:r>
    </w:p>
    <w:p w14:paraId="76B8C471" w14:textId="77777777" w:rsidR="000F1C75" w:rsidRDefault="000F1C75" w:rsidP="000F1C75">
      <w:r>
        <w:t xml:space="preserve">Na základě dat o implementaci TP i z realizovaných rozhovorů s pracovníky ŘO nebyla zaznamenána zpětná vazba mezi hodnocením efektivnosti TP (tedy tím, zda a jak realizace jednotlivých IP přispívá k plnění stanovených cílů/výsledků) a její následným řízením. </w:t>
      </w:r>
    </w:p>
    <w:p w14:paraId="2955208F" w14:textId="77777777" w:rsidR="000F1C75" w:rsidRDefault="000F1C75" w:rsidP="000F1C75">
      <w:r>
        <w:t>Dokladem tohoto zjištění je do značné míry „statický“ charakter implementace TP. Jak bylo ukázáno výše, samotná alokace pro TP byla stanovena do značné míry arbitrárně</w:t>
      </w:r>
      <w:r w:rsidR="006733B1">
        <w:t xml:space="preserve"> </w:t>
      </w:r>
      <w:r>
        <w:t>–</w:t>
      </w:r>
      <w:r w:rsidR="006733B1">
        <w:t xml:space="preserve"> </w:t>
      </w:r>
      <w:r>
        <w:t>v podobném objemu (relativně) jako v předchozím programu. Nebyla přitom dostatečně zohledněna zkušenost z implementací TP v předchozím PO, kdy se rovněž prokázalo, že alokace byla stanovená jako příliš vysoká. Nebylo prokázáno, že by plánování jednotlivých dílčích činností v rámci TP (tj. zpracování jednotlivých IP) předcházela systematická analýza implementace TP z předchozího PO. Při plánování IP pro období 2019</w:t>
      </w:r>
      <w:r w:rsidR="00E254AF">
        <w:t xml:space="preserve"> </w:t>
      </w:r>
      <w:r>
        <w:t>–</w:t>
      </w:r>
      <w:r w:rsidR="00E254AF">
        <w:t xml:space="preserve"> </w:t>
      </w:r>
      <w:r>
        <w:t>2021 je, dle zjištění evaluace, alespoň neformálně analyzována zkušenost s implementací TP v předchozím tříletém období 2016</w:t>
      </w:r>
      <w:r w:rsidR="00E254AF">
        <w:t xml:space="preserve"> </w:t>
      </w:r>
      <w:r>
        <w:t>–</w:t>
      </w:r>
      <w:r w:rsidR="00E254AF">
        <w:t xml:space="preserve"> </w:t>
      </w:r>
      <w:r>
        <w:t xml:space="preserve">2018, implementace druhých IP se ale výrazně nezměnila. Došlo k relativně malým změnám v alokacích pro jednotlivé IP, přestože </w:t>
      </w:r>
      <w:r w:rsidR="00E254AF">
        <w:br/>
      </w:r>
      <w:r>
        <w:t>u některých projektů bylo zaznamenáno výrazné nedočerpání původního rozpočtu pro období 2016</w:t>
      </w:r>
      <w:r w:rsidR="00E254AF">
        <w:t xml:space="preserve"> </w:t>
      </w:r>
      <w:r>
        <w:t>–</w:t>
      </w:r>
      <w:r>
        <w:lastRenderedPageBreak/>
        <w:t>2018 (viz výše</w:t>
      </w:r>
      <w:r w:rsidR="006733B1">
        <w:t xml:space="preserve"> </w:t>
      </w:r>
      <w:r>
        <w:t>–</w:t>
      </w:r>
      <w:r w:rsidR="006733B1">
        <w:t xml:space="preserve"> </w:t>
      </w:r>
      <w:r>
        <w:t>ani u projektů, které vyčerpaly svou alokaci pouze v řádu jednotek procent, nedošlo k zásadnějšímu přehodnocení rozpočtů nových IP)</w:t>
      </w:r>
      <w:r>
        <w:rPr>
          <w:rStyle w:val="Znakapoznpodarou"/>
        </w:rPr>
        <w:footnoteReference w:id="10"/>
      </w:r>
      <w:r>
        <w:t>.</w:t>
      </w:r>
    </w:p>
    <w:p w14:paraId="41CECB04" w14:textId="77777777" w:rsidR="000F1C75" w:rsidRDefault="000F1C75" w:rsidP="000F1C75">
      <w:r>
        <w:t xml:space="preserve">Řízení TP má tak spíše jen operativní charakter. Indikátory na úrovni výstupů jsou průběžně plněny </w:t>
      </w:r>
      <w:r w:rsidR="00E254AF">
        <w:br/>
      </w:r>
      <w:r>
        <w:t xml:space="preserve">a implementace TP je dostatečně flexibilní tak, aby ji bylo možné přizpůsobovat aktuálním potřebám garantů jednotlivých programů, kontextu čerpání OP jako celku a jeho jednotlivých programů, požadavkům řídících pracovníků a dalším faktorům, které mají na řízení programu jako celku vliv. Tuto operativní flexibilitu TP poskytují dostatečně kapacitní IP, které lze přirovnat k rozpočtovým kapitolám, do kterých se </w:t>
      </w:r>
      <w:r w:rsidR="006733B1">
        <w:t>zatřiďují</w:t>
      </w:r>
      <w:r>
        <w:t xml:space="preserve"> jednotlivé náklady spojené s řízením OP jako celku. Řízení TP </w:t>
      </w:r>
      <w:r w:rsidR="0087252E">
        <w:br/>
      </w:r>
      <w:r>
        <w:t xml:space="preserve">na strategické úrovni ale není dostatečně rozvinuté – odpovědní pracovníci ŘO nemají dostatečné informace o tom, zda je TP skutečně implementováno způsobem, který směřuje k plnění stanovených cílů. </w:t>
      </w:r>
    </w:p>
    <w:p w14:paraId="354F33B7" w14:textId="77777777" w:rsidR="000F1C75" w:rsidRDefault="000F1C75" w:rsidP="000F1C75">
      <w:r>
        <w:t>Jedinými aktivitami souvisejícími se strategickým řízením TP tak jsou úpravy cílových hodnot některých indikátorů, ke kterým v průběhu implementace došlo:</w:t>
      </w:r>
    </w:p>
    <w:p w14:paraId="3A7FD676" w14:textId="182E567C" w:rsidR="000F1C75" w:rsidRDefault="000F1C75" w:rsidP="000F1C75">
      <w:pPr>
        <w:pStyle w:val="Odstavecseseznamem"/>
        <w:numPr>
          <w:ilvl w:val="0"/>
          <w:numId w:val="13"/>
        </w:numPr>
        <w:spacing w:after="160" w:line="259" w:lineRule="auto"/>
        <w:jc w:val="left"/>
      </w:pPr>
      <w:r>
        <w:t xml:space="preserve">V případě indikátoru 82000 (Počet uskutečněných školení, seminářů, workshopů </w:t>
      </w:r>
      <w:r w:rsidR="0087252E">
        <w:br/>
      </w:r>
      <w:r>
        <w:t>a konferencí) došlo k navýšení cílové hodnoty o třetinu, na hodnotu 1300 z původních 970.</w:t>
      </w:r>
    </w:p>
    <w:p w14:paraId="555344AF" w14:textId="77777777" w:rsidR="000F1C75" w:rsidRDefault="000F1C75" w:rsidP="000F1C75">
      <w:pPr>
        <w:pStyle w:val="Odstavecseseznamem"/>
        <w:numPr>
          <w:ilvl w:val="0"/>
          <w:numId w:val="13"/>
        </w:numPr>
        <w:spacing w:after="160" w:line="259" w:lineRule="auto"/>
        <w:jc w:val="left"/>
      </w:pPr>
      <w:r>
        <w:t>V případě indikátoru 80901 (Počet uskutečněných kontrol na místě) byla cílová hodnota naopak o třetinu snížena, a to z 2400 na 1600.</w:t>
      </w:r>
    </w:p>
    <w:p w14:paraId="767EC2EA" w14:textId="77777777" w:rsidR="000F1C75" w:rsidRPr="000F1C75" w:rsidRDefault="000F1C75" w:rsidP="000F1C75">
      <w:pPr>
        <w:rPr>
          <w:lang w:val="fr-FR" w:eastAsia="cs-CZ"/>
        </w:rPr>
      </w:pPr>
      <w:r>
        <w:t>Důvodem těchto revizí však nebylo strategické řízení TP jako takové (kdy by bylo například zjištěno, že pro naplnění cílů TP, tedy efektivnější implementaci a vyšší povědomí o programu u cílových skupin)</w:t>
      </w:r>
      <w:r w:rsidR="0087252E">
        <w:t>, ale</w:t>
      </w:r>
      <w:r>
        <w:t xml:space="preserve"> je nutné realizované podpůrné aktivity daným způsobem upravit. Revize cílových hodnot vycházejí opět spíše z operativního řízení</w:t>
      </w:r>
      <w:r w:rsidR="006733B1">
        <w:t xml:space="preserve"> </w:t>
      </w:r>
      <w:r>
        <w:t>–</w:t>
      </w:r>
      <w:r w:rsidR="006733B1">
        <w:t xml:space="preserve"> </w:t>
      </w:r>
      <w:r>
        <w:t>dosavadní zkušenost naznačila, že cílová hodnota buďto nebude především z kapacitních důvodů dosažena (kontroly), nebo naopak bude pravděpodobně přesáhnuta.</w:t>
      </w:r>
    </w:p>
    <w:p w14:paraId="780886F0" w14:textId="77777777" w:rsidR="005C425E" w:rsidRDefault="005C425E" w:rsidP="00C173BC">
      <w:pPr>
        <w:pStyle w:val="Nadpis1"/>
        <w:rPr>
          <w:snapToGrid w:val="0"/>
          <w:lang w:val="fr-FR"/>
        </w:rPr>
      </w:pPr>
      <w:bookmarkStart w:id="78" w:name="_Toc50456788"/>
      <w:r>
        <w:rPr>
          <w:snapToGrid w:val="0"/>
          <w:lang w:val="fr-FR"/>
        </w:rPr>
        <w:lastRenderedPageBreak/>
        <w:t>Doplňující informace k EO 8</w:t>
      </w:r>
      <w:bookmarkEnd w:id="78"/>
    </w:p>
    <w:p w14:paraId="7A2D8FCF" w14:textId="77777777" w:rsidR="000F1C75" w:rsidRPr="00DE5960" w:rsidRDefault="000F1C75" w:rsidP="000F1C75">
      <w:r>
        <w:t xml:space="preserve">Výčet monitorovacích indikátorů, které jsou využívány pro monitoring TP OP PIK je představen v předešlé evaluační otázce. Na úrovni výsledků jsou využity dva hlavní monitorovací indikátory, další dva výsledkové indikátory jsou využívány jako interní a nejsou uváděny v Operačním programu </w:t>
      </w:r>
      <w:r w:rsidR="0087252E">
        <w:br/>
      </w:r>
      <w:r>
        <w:t xml:space="preserve">ani ve výročních zprávách. Monitorovací indikátory na úrovni výstupů jsou kvantifikovány na základě reportingu podpořených IP. Jsou formulovány 4 hlavní výstupové indikátory a 6 interních. </w:t>
      </w:r>
    </w:p>
    <w:p w14:paraId="40F2E452" w14:textId="77777777" w:rsidR="000F1C75" w:rsidRDefault="000F1C75" w:rsidP="000F1C75">
      <w:pPr>
        <w:rPr>
          <w:b/>
          <w:bCs/>
        </w:rPr>
      </w:pPr>
    </w:p>
    <w:p w14:paraId="412DFBD3" w14:textId="44B88F70" w:rsidR="000F1C75" w:rsidRDefault="000F1C75" w:rsidP="000F1C75">
      <w:pPr>
        <w:pStyle w:val="Nadpis6"/>
      </w:pPr>
      <w:r>
        <w:t>Srovnání výsledkových indikátorů stanovených pro jednotlivé operační programy</w:t>
      </w:r>
    </w:p>
    <w:p w14:paraId="1C22A5EC" w14:textId="77777777" w:rsidR="000F1C75" w:rsidRDefault="000F1C75" w:rsidP="000F1C75">
      <w:r>
        <w:t>Při monitoringu operačních programů jsou využívány indikátory z Agregační mapy indikátorů, která je společná pro všechny programy. Systémy monitoringu proto lze srovnávat a prostřednictvím komparace analyzovat. Přehled monitorovacích indikátorů výsledku, které jsou jednotlivými OP využívány, je zpracován v následující tabulce:</w:t>
      </w:r>
    </w:p>
    <w:p w14:paraId="78440128" w14:textId="2CF8A124" w:rsidR="000F1C75" w:rsidRDefault="000F1C75" w:rsidP="000F1C75">
      <w:pPr>
        <w:pStyle w:val="Titulek"/>
      </w:pPr>
      <w:bookmarkStart w:id="79" w:name="_Toc45657573"/>
      <w:bookmarkStart w:id="80" w:name="_Toc50456750"/>
      <w:r>
        <w:t xml:space="preserve">Tabulka </w:t>
      </w:r>
      <w:r w:rsidR="00C050DB">
        <w:fldChar w:fldCharType="begin"/>
      </w:r>
      <w:r w:rsidR="00C050DB">
        <w:instrText xml:space="preserve"> SEQ Tabulka \* ARABIC </w:instrText>
      </w:r>
      <w:r w:rsidR="00C050DB">
        <w:fldChar w:fldCharType="separate"/>
      </w:r>
      <w:r w:rsidR="00E96F43">
        <w:rPr>
          <w:noProof/>
        </w:rPr>
        <w:t>17</w:t>
      </w:r>
      <w:r w:rsidR="00C050DB">
        <w:rPr>
          <w:noProof/>
        </w:rPr>
        <w:fldChar w:fldCharType="end"/>
      </w:r>
      <w:r>
        <w:t>: Komparace indikátorové soustavy technické pomoci operačních programů v PO 2014</w:t>
      </w:r>
      <w:r w:rsidR="0087252E">
        <w:t xml:space="preserve"> </w:t>
      </w:r>
      <w:r>
        <w:t>–</w:t>
      </w:r>
      <w:r w:rsidR="0087252E">
        <w:t xml:space="preserve"> </w:t>
      </w:r>
      <w:r>
        <w:t xml:space="preserve">2020 </w:t>
      </w:r>
      <w:r w:rsidR="0087252E">
        <w:br/>
      </w:r>
      <w:r>
        <w:t>(s výjimkou přeshraničních OP)</w:t>
      </w:r>
      <w:bookmarkEnd w:id="79"/>
      <w:bookmarkEnd w:id="80"/>
    </w:p>
    <w:tbl>
      <w:tblPr>
        <w:tblStyle w:val="Tabulkasmkou4zvraznn11"/>
        <w:tblW w:w="10909" w:type="dxa"/>
        <w:tblInd w:w="-993" w:type="dxa"/>
        <w:tblLook w:val="04A0" w:firstRow="1" w:lastRow="0" w:firstColumn="1" w:lastColumn="0" w:noHBand="0" w:noVBand="1"/>
      </w:tblPr>
      <w:tblGrid>
        <w:gridCol w:w="1839"/>
        <w:gridCol w:w="907"/>
        <w:gridCol w:w="907"/>
        <w:gridCol w:w="907"/>
        <w:gridCol w:w="907"/>
        <w:gridCol w:w="907"/>
        <w:gridCol w:w="907"/>
        <w:gridCol w:w="907"/>
        <w:gridCol w:w="907"/>
        <w:gridCol w:w="907"/>
        <w:gridCol w:w="907"/>
      </w:tblGrid>
      <w:tr w:rsidR="000F1C75" w:rsidRPr="007C2F16" w14:paraId="7B1A54FE" w14:textId="77777777" w:rsidTr="000F1C75">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000" w:firstRow="0" w:lastRow="0" w:firstColumn="1" w:lastColumn="0" w:oddVBand="0" w:evenVBand="0" w:oddHBand="0" w:evenHBand="0" w:firstRowFirstColumn="0" w:firstRowLastColumn="0" w:lastRowFirstColumn="0" w:lastRowLastColumn="0"/>
            <w:tcW w:w="1839" w:type="dxa"/>
            <w:noWrap/>
            <w:hideMark/>
          </w:tcPr>
          <w:p w14:paraId="63ED6519" w14:textId="77777777" w:rsidR="000F1C75" w:rsidRPr="007C2F16" w:rsidRDefault="000F1C75" w:rsidP="000F1C75">
            <w:pPr>
              <w:spacing w:after="0"/>
              <w:jc w:val="center"/>
              <w:rPr>
                <w:rFonts w:eastAsia="Times New Roman" w:cstheme="minorHAnsi"/>
                <w:sz w:val="18"/>
                <w:szCs w:val="18"/>
                <w:lang w:eastAsia="cs-CZ"/>
              </w:rPr>
            </w:pPr>
          </w:p>
        </w:tc>
        <w:tc>
          <w:tcPr>
            <w:tcW w:w="907" w:type="dxa"/>
            <w:noWrap/>
            <w:hideMark/>
          </w:tcPr>
          <w:p w14:paraId="254C5CCE" w14:textId="77777777" w:rsidR="000F1C75" w:rsidRPr="007C2F16" w:rsidRDefault="000F1C75" w:rsidP="000F1C7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7C2F16">
              <w:rPr>
                <w:rFonts w:eastAsia="Times New Roman" w:cstheme="minorHAnsi"/>
                <w:sz w:val="20"/>
                <w:szCs w:val="20"/>
                <w:lang w:eastAsia="cs-CZ"/>
              </w:rPr>
              <w:t>OPTP</w:t>
            </w:r>
          </w:p>
        </w:tc>
        <w:tc>
          <w:tcPr>
            <w:tcW w:w="907" w:type="dxa"/>
            <w:noWrap/>
            <w:hideMark/>
          </w:tcPr>
          <w:p w14:paraId="7D9113D0" w14:textId="77777777" w:rsidR="000F1C75" w:rsidRPr="007C2F16" w:rsidRDefault="000F1C75" w:rsidP="000F1C7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Pr>
                <w:rFonts w:eastAsia="Times New Roman" w:cstheme="minorHAnsi"/>
                <w:sz w:val="20"/>
                <w:szCs w:val="20"/>
                <w:lang w:eastAsia="cs-CZ"/>
              </w:rPr>
              <w:t>OP PIK</w:t>
            </w:r>
          </w:p>
        </w:tc>
        <w:tc>
          <w:tcPr>
            <w:tcW w:w="907" w:type="dxa"/>
            <w:noWrap/>
            <w:hideMark/>
          </w:tcPr>
          <w:p w14:paraId="41B20F9E" w14:textId="77777777" w:rsidR="000F1C75" w:rsidRPr="007C2F16" w:rsidRDefault="000F1C75" w:rsidP="000F1C7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7C2F16">
              <w:rPr>
                <w:rFonts w:eastAsia="Times New Roman" w:cstheme="minorHAnsi"/>
                <w:sz w:val="20"/>
                <w:szCs w:val="20"/>
                <w:lang w:eastAsia="cs-CZ"/>
              </w:rPr>
              <w:t>IROP</w:t>
            </w:r>
          </w:p>
        </w:tc>
        <w:tc>
          <w:tcPr>
            <w:tcW w:w="907" w:type="dxa"/>
            <w:noWrap/>
            <w:hideMark/>
          </w:tcPr>
          <w:p w14:paraId="670E0061" w14:textId="77777777" w:rsidR="000F1C75" w:rsidRPr="007C2F16" w:rsidRDefault="000F1C75" w:rsidP="000F1C7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7C2F16">
              <w:rPr>
                <w:rFonts w:eastAsia="Times New Roman" w:cstheme="minorHAnsi"/>
                <w:sz w:val="20"/>
                <w:szCs w:val="20"/>
                <w:lang w:eastAsia="cs-CZ"/>
              </w:rPr>
              <w:t>PRV</w:t>
            </w:r>
          </w:p>
        </w:tc>
        <w:tc>
          <w:tcPr>
            <w:tcW w:w="907" w:type="dxa"/>
            <w:noWrap/>
            <w:hideMark/>
          </w:tcPr>
          <w:p w14:paraId="1F317D3B" w14:textId="77777777" w:rsidR="000F1C75" w:rsidRPr="007C2F16" w:rsidRDefault="000F1C75" w:rsidP="000F1C7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7C2F16">
              <w:rPr>
                <w:rFonts w:eastAsia="Times New Roman" w:cstheme="minorHAnsi"/>
                <w:sz w:val="20"/>
                <w:szCs w:val="20"/>
                <w:lang w:eastAsia="cs-CZ"/>
              </w:rPr>
              <w:t>OPVVV</w:t>
            </w:r>
          </w:p>
        </w:tc>
        <w:tc>
          <w:tcPr>
            <w:tcW w:w="907" w:type="dxa"/>
            <w:noWrap/>
            <w:hideMark/>
          </w:tcPr>
          <w:p w14:paraId="489DFACD" w14:textId="77777777" w:rsidR="000F1C75" w:rsidRPr="007C2F16" w:rsidRDefault="000F1C75" w:rsidP="000F1C7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7C2F16">
              <w:rPr>
                <w:rFonts w:eastAsia="Times New Roman" w:cstheme="minorHAnsi"/>
                <w:sz w:val="20"/>
                <w:szCs w:val="20"/>
                <w:lang w:eastAsia="cs-CZ"/>
              </w:rPr>
              <w:t>OPZ</w:t>
            </w:r>
          </w:p>
        </w:tc>
        <w:tc>
          <w:tcPr>
            <w:tcW w:w="907" w:type="dxa"/>
            <w:noWrap/>
            <w:hideMark/>
          </w:tcPr>
          <w:p w14:paraId="6FAB776A" w14:textId="77777777" w:rsidR="000F1C75" w:rsidRPr="007C2F16" w:rsidRDefault="000F1C75" w:rsidP="000F1C7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7C2F16">
              <w:rPr>
                <w:rFonts w:eastAsia="Times New Roman" w:cstheme="minorHAnsi"/>
                <w:sz w:val="20"/>
                <w:szCs w:val="20"/>
                <w:lang w:eastAsia="cs-CZ"/>
              </w:rPr>
              <w:t>OPD</w:t>
            </w:r>
          </w:p>
        </w:tc>
        <w:tc>
          <w:tcPr>
            <w:tcW w:w="907" w:type="dxa"/>
            <w:noWrap/>
            <w:hideMark/>
          </w:tcPr>
          <w:p w14:paraId="201121C2" w14:textId="77777777" w:rsidR="000F1C75" w:rsidRPr="007C2F16" w:rsidRDefault="000F1C75" w:rsidP="000F1C7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7C2F16">
              <w:rPr>
                <w:rFonts w:eastAsia="Times New Roman" w:cstheme="minorHAnsi"/>
                <w:sz w:val="20"/>
                <w:szCs w:val="20"/>
                <w:lang w:eastAsia="cs-CZ"/>
              </w:rPr>
              <w:t>OPPPR</w:t>
            </w:r>
          </w:p>
        </w:tc>
        <w:tc>
          <w:tcPr>
            <w:tcW w:w="907" w:type="dxa"/>
            <w:noWrap/>
            <w:hideMark/>
          </w:tcPr>
          <w:p w14:paraId="4C48D9E1" w14:textId="77777777" w:rsidR="000F1C75" w:rsidRPr="007C2F16" w:rsidRDefault="000F1C75" w:rsidP="000F1C7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7C2F16">
              <w:rPr>
                <w:rFonts w:eastAsia="Times New Roman" w:cstheme="minorHAnsi"/>
                <w:sz w:val="20"/>
                <w:szCs w:val="20"/>
                <w:lang w:eastAsia="cs-CZ"/>
              </w:rPr>
              <w:t>OPŽP</w:t>
            </w:r>
          </w:p>
        </w:tc>
        <w:tc>
          <w:tcPr>
            <w:tcW w:w="907" w:type="dxa"/>
            <w:noWrap/>
            <w:hideMark/>
          </w:tcPr>
          <w:p w14:paraId="21DB74BE" w14:textId="77777777" w:rsidR="000F1C75" w:rsidRPr="007C2F16" w:rsidRDefault="000F1C75" w:rsidP="000F1C7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7C2F16">
              <w:rPr>
                <w:rFonts w:eastAsia="Times New Roman" w:cstheme="minorHAnsi"/>
                <w:sz w:val="20"/>
                <w:szCs w:val="20"/>
                <w:lang w:eastAsia="cs-CZ"/>
              </w:rPr>
              <w:t>OPR</w:t>
            </w:r>
          </w:p>
        </w:tc>
      </w:tr>
      <w:tr w:rsidR="000F1C75" w:rsidRPr="007C2F16" w14:paraId="6CDB71FE" w14:textId="77777777" w:rsidTr="000F1C7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9" w:type="dxa"/>
            <w:noWrap/>
          </w:tcPr>
          <w:p w14:paraId="3C3B886A" w14:textId="77777777" w:rsidR="000F1C75" w:rsidRPr="007C2F16" w:rsidRDefault="000F1C75" w:rsidP="000F1C75">
            <w:pPr>
              <w:spacing w:after="0"/>
              <w:jc w:val="left"/>
              <w:rPr>
                <w:rFonts w:eastAsia="Times New Roman" w:cstheme="minorHAnsi"/>
                <w:sz w:val="18"/>
                <w:szCs w:val="18"/>
                <w:lang w:eastAsia="cs-CZ"/>
              </w:rPr>
            </w:pPr>
            <w:r w:rsidRPr="007C2F16">
              <w:rPr>
                <w:rFonts w:eastAsia="Times New Roman" w:cstheme="minorHAnsi"/>
                <w:color w:val="000000"/>
                <w:sz w:val="18"/>
                <w:szCs w:val="18"/>
                <w:lang w:eastAsia="cs-CZ"/>
              </w:rPr>
              <w:t xml:space="preserve">Alokace TP z EU </w:t>
            </w:r>
            <w:r w:rsidR="0087252E">
              <w:rPr>
                <w:rFonts w:eastAsia="Times New Roman" w:cstheme="minorHAnsi"/>
                <w:color w:val="000000"/>
                <w:sz w:val="18"/>
                <w:szCs w:val="18"/>
                <w:lang w:eastAsia="cs-CZ"/>
              </w:rPr>
              <w:br/>
            </w:r>
            <w:r w:rsidRPr="007C2F16">
              <w:rPr>
                <w:rFonts w:eastAsia="Times New Roman" w:cstheme="minorHAnsi"/>
                <w:color w:val="000000"/>
                <w:sz w:val="18"/>
                <w:szCs w:val="18"/>
                <w:lang w:eastAsia="cs-CZ"/>
              </w:rPr>
              <w:t>(v mld Kč)</w:t>
            </w:r>
            <w:r w:rsidRPr="007C2F16">
              <w:rPr>
                <w:rStyle w:val="Znakapoznpodarou"/>
                <w:rFonts w:eastAsia="Times New Roman" w:cstheme="minorHAnsi"/>
                <w:color w:val="000000"/>
                <w:sz w:val="18"/>
                <w:szCs w:val="18"/>
                <w:lang w:eastAsia="cs-CZ"/>
              </w:rPr>
              <w:footnoteReference w:id="11"/>
            </w:r>
          </w:p>
        </w:tc>
        <w:tc>
          <w:tcPr>
            <w:tcW w:w="907" w:type="dxa"/>
            <w:noWrap/>
          </w:tcPr>
          <w:p w14:paraId="52ED12F6" w14:textId="77777777" w:rsidR="000F1C75" w:rsidRPr="007C2F16" w:rsidRDefault="000F1C75" w:rsidP="000F1C7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cs-CZ"/>
              </w:rPr>
            </w:pPr>
            <w:r w:rsidRPr="007C2F16">
              <w:rPr>
                <w:rFonts w:eastAsia="Times New Roman" w:cstheme="minorHAnsi"/>
                <w:color w:val="000000"/>
                <w:sz w:val="20"/>
                <w:szCs w:val="20"/>
                <w:lang w:eastAsia="cs-CZ"/>
              </w:rPr>
              <w:t>5,4</w:t>
            </w:r>
            <w:r w:rsidRPr="007C2F16">
              <w:rPr>
                <w:rStyle w:val="Znakapoznpodarou"/>
                <w:rFonts w:eastAsia="Times New Roman" w:cstheme="minorHAnsi"/>
                <w:color w:val="000000"/>
                <w:sz w:val="20"/>
                <w:szCs w:val="20"/>
                <w:lang w:eastAsia="cs-CZ"/>
              </w:rPr>
              <w:footnoteReference w:id="12"/>
            </w:r>
          </w:p>
        </w:tc>
        <w:tc>
          <w:tcPr>
            <w:tcW w:w="907" w:type="dxa"/>
            <w:noWrap/>
          </w:tcPr>
          <w:p w14:paraId="6BFD5A01" w14:textId="77777777" w:rsidR="000F1C75" w:rsidRPr="007C2F16" w:rsidRDefault="000F1C75" w:rsidP="000F1C7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cs-CZ"/>
              </w:rPr>
            </w:pPr>
            <w:r w:rsidRPr="007C2F16">
              <w:rPr>
                <w:rFonts w:eastAsia="Times New Roman" w:cstheme="minorHAnsi"/>
                <w:color w:val="000000"/>
                <w:sz w:val="20"/>
                <w:szCs w:val="20"/>
                <w:lang w:eastAsia="cs-CZ"/>
              </w:rPr>
              <w:t>3,2</w:t>
            </w:r>
          </w:p>
        </w:tc>
        <w:tc>
          <w:tcPr>
            <w:tcW w:w="907" w:type="dxa"/>
            <w:noWrap/>
          </w:tcPr>
          <w:p w14:paraId="7172D51E" w14:textId="77777777" w:rsidR="000F1C75" w:rsidRPr="007C2F16" w:rsidRDefault="000F1C75" w:rsidP="000F1C7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cs-CZ"/>
              </w:rPr>
            </w:pPr>
            <w:r w:rsidRPr="007C2F16">
              <w:rPr>
                <w:rFonts w:eastAsia="Times New Roman" w:cstheme="minorHAnsi"/>
                <w:color w:val="000000"/>
                <w:sz w:val="20"/>
                <w:szCs w:val="20"/>
                <w:lang w:eastAsia="cs-CZ"/>
              </w:rPr>
              <w:t>3,5</w:t>
            </w:r>
          </w:p>
        </w:tc>
        <w:tc>
          <w:tcPr>
            <w:tcW w:w="907" w:type="dxa"/>
            <w:noWrap/>
          </w:tcPr>
          <w:p w14:paraId="5D66CA5F" w14:textId="77777777" w:rsidR="000F1C75" w:rsidRPr="007C2F16" w:rsidRDefault="000F1C75" w:rsidP="000F1C7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cs-CZ"/>
              </w:rPr>
            </w:pPr>
            <w:r w:rsidRPr="007C2F16">
              <w:rPr>
                <w:rFonts w:eastAsia="Times New Roman" w:cstheme="minorHAnsi"/>
                <w:color w:val="000000"/>
                <w:sz w:val="20"/>
                <w:szCs w:val="20"/>
                <w:lang w:eastAsia="cs-CZ"/>
              </w:rPr>
              <w:t>0,8</w:t>
            </w:r>
          </w:p>
        </w:tc>
        <w:tc>
          <w:tcPr>
            <w:tcW w:w="907" w:type="dxa"/>
            <w:noWrap/>
          </w:tcPr>
          <w:p w14:paraId="4B6E7CB2" w14:textId="77777777" w:rsidR="000F1C75" w:rsidRPr="007C2F16" w:rsidRDefault="000F1C75" w:rsidP="000F1C7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cs-CZ"/>
              </w:rPr>
            </w:pPr>
            <w:r w:rsidRPr="007C2F16">
              <w:rPr>
                <w:rFonts w:eastAsia="Times New Roman" w:cstheme="minorHAnsi"/>
                <w:color w:val="000000"/>
                <w:sz w:val="20"/>
                <w:szCs w:val="20"/>
                <w:lang w:eastAsia="cs-CZ"/>
              </w:rPr>
              <w:t>2,5</w:t>
            </w:r>
          </w:p>
        </w:tc>
        <w:tc>
          <w:tcPr>
            <w:tcW w:w="907" w:type="dxa"/>
            <w:noWrap/>
          </w:tcPr>
          <w:p w14:paraId="68B29EDD" w14:textId="77777777" w:rsidR="000F1C75" w:rsidRPr="007C2F16" w:rsidRDefault="000F1C75" w:rsidP="000F1C7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cs-CZ"/>
              </w:rPr>
            </w:pPr>
            <w:r w:rsidRPr="007C2F16">
              <w:rPr>
                <w:rFonts w:eastAsia="Times New Roman" w:cstheme="minorHAnsi"/>
                <w:color w:val="000000"/>
                <w:sz w:val="20"/>
                <w:szCs w:val="20"/>
                <w:lang w:eastAsia="cs-CZ"/>
              </w:rPr>
              <w:t>2,2</w:t>
            </w:r>
          </w:p>
        </w:tc>
        <w:tc>
          <w:tcPr>
            <w:tcW w:w="907" w:type="dxa"/>
            <w:noWrap/>
          </w:tcPr>
          <w:p w14:paraId="27857B33" w14:textId="77777777" w:rsidR="000F1C75" w:rsidRPr="007C2F16" w:rsidRDefault="000F1C75" w:rsidP="000F1C7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cs-CZ"/>
              </w:rPr>
            </w:pPr>
            <w:r w:rsidRPr="007C2F16">
              <w:rPr>
                <w:rFonts w:eastAsia="Times New Roman" w:cstheme="minorHAnsi"/>
                <w:color w:val="000000"/>
                <w:sz w:val="20"/>
                <w:szCs w:val="20"/>
                <w:lang w:eastAsia="cs-CZ"/>
              </w:rPr>
              <w:t>1,8</w:t>
            </w:r>
          </w:p>
        </w:tc>
        <w:tc>
          <w:tcPr>
            <w:tcW w:w="907" w:type="dxa"/>
            <w:noWrap/>
          </w:tcPr>
          <w:p w14:paraId="46D4111E" w14:textId="77777777" w:rsidR="000F1C75" w:rsidRPr="007C2F16" w:rsidRDefault="000F1C75" w:rsidP="000F1C7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cs-CZ"/>
              </w:rPr>
            </w:pPr>
            <w:r w:rsidRPr="007C2F16">
              <w:rPr>
                <w:rFonts w:eastAsia="Times New Roman" w:cstheme="minorHAnsi"/>
                <w:color w:val="000000"/>
                <w:sz w:val="20"/>
                <w:szCs w:val="20"/>
                <w:lang w:eastAsia="cs-CZ"/>
              </w:rPr>
              <w:t>0,2</w:t>
            </w:r>
          </w:p>
        </w:tc>
        <w:tc>
          <w:tcPr>
            <w:tcW w:w="907" w:type="dxa"/>
            <w:noWrap/>
          </w:tcPr>
          <w:p w14:paraId="50A19193" w14:textId="77777777" w:rsidR="000F1C75" w:rsidRPr="007C2F16" w:rsidRDefault="000F1C75" w:rsidP="000F1C7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cs-CZ"/>
              </w:rPr>
            </w:pPr>
            <w:r w:rsidRPr="007C2F16">
              <w:rPr>
                <w:rFonts w:eastAsia="Times New Roman" w:cstheme="minorHAnsi"/>
                <w:color w:val="000000"/>
                <w:sz w:val="20"/>
                <w:szCs w:val="20"/>
                <w:lang w:eastAsia="cs-CZ"/>
              </w:rPr>
              <w:t>2,4</w:t>
            </w:r>
          </w:p>
        </w:tc>
        <w:tc>
          <w:tcPr>
            <w:tcW w:w="907" w:type="dxa"/>
            <w:noWrap/>
          </w:tcPr>
          <w:p w14:paraId="615AA0E6" w14:textId="77777777" w:rsidR="000F1C75" w:rsidRPr="007C2F16" w:rsidRDefault="000F1C75" w:rsidP="000F1C7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cs-CZ"/>
              </w:rPr>
            </w:pPr>
            <w:r w:rsidRPr="007C2F16">
              <w:rPr>
                <w:rFonts w:eastAsia="Times New Roman" w:cstheme="minorHAnsi"/>
                <w:color w:val="000000"/>
                <w:sz w:val="20"/>
                <w:szCs w:val="20"/>
                <w:lang w:eastAsia="cs-CZ"/>
              </w:rPr>
              <w:t>0,04</w:t>
            </w:r>
          </w:p>
        </w:tc>
      </w:tr>
      <w:tr w:rsidR="000F1C75" w:rsidRPr="007C2F16" w14:paraId="35F96594" w14:textId="77777777" w:rsidTr="000F1C75">
        <w:trPr>
          <w:trHeight w:val="288"/>
        </w:trPr>
        <w:tc>
          <w:tcPr>
            <w:cnfStyle w:val="001000000000" w:firstRow="0" w:lastRow="0" w:firstColumn="1" w:lastColumn="0" w:oddVBand="0" w:evenVBand="0" w:oddHBand="0" w:evenHBand="0" w:firstRowFirstColumn="0" w:firstRowLastColumn="0" w:lastRowFirstColumn="0" w:lastRowLastColumn="0"/>
            <w:tcW w:w="1839" w:type="dxa"/>
            <w:noWrap/>
          </w:tcPr>
          <w:p w14:paraId="39B10054" w14:textId="77777777" w:rsidR="000F1C75" w:rsidRPr="007C2F16" w:rsidRDefault="000F1C75" w:rsidP="000F1C75">
            <w:pPr>
              <w:spacing w:after="0"/>
              <w:jc w:val="left"/>
              <w:rPr>
                <w:rFonts w:eastAsia="Times New Roman" w:cstheme="minorHAnsi"/>
                <w:color w:val="000000"/>
                <w:sz w:val="18"/>
                <w:szCs w:val="18"/>
                <w:lang w:eastAsia="cs-CZ"/>
              </w:rPr>
            </w:pPr>
            <w:r w:rsidRPr="007C2F16">
              <w:rPr>
                <w:rFonts w:eastAsia="Times New Roman" w:cstheme="minorHAnsi"/>
                <w:color w:val="000000"/>
                <w:sz w:val="18"/>
                <w:szCs w:val="18"/>
                <w:lang w:eastAsia="cs-CZ"/>
              </w:rPr>
              <w:t>Podíl TP na alokaci OP</w:t>
            </w:r>
            <w:r>
              <w:rPr>
                <w:rFonts w:eastAsia="Times New Roman" w:cstheme="minorHAnsi"/>
                <w:color w:val="000000"/>
                <w:sz w:val="18"/>
                <w:szCs w:val="18"/>
                <w:lang w:eastAsia="cs-CZ"/>
              </w:rPr>
              <w:t xml:space="preserve"> (verze OP před revizemi)</w:t>
            </w:r>
          </w:p>
        </w:tc>
        <w:tc>
          <w:tcPr>
            <w:tcW w:w="907" w:type="dxa"/>
            <w:noWrap/>
          </w:tcPr>
          <w:p w14:paraId="56667573" w14:textId="77777777" w:rsidR="000F1C75" w:rsidRPr="007C2F16" w:rsidRDefault="000F1C75" w:rsidP="000F1C7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C2F16">
              <w:rPr>
                <w:rFonts w:eastAsia="Times New Roman" w:cstheme="minorHAnsi"/>
                <w:color w:val="000000"/>
                <w:sz w:val="20"/>
                <w:szCs w:val="20"/>
                <w:lang w:eastAsia="cs-CZ"/>
              </w:rPr>
              <w:t>-</w:t>
            </w:r>
          </w:p>
        </w:tc>
        <w:tc>
          <w:tcPr>
            <w:tcW w:w="907" w:type="dxa"/>
            <w:noWrap/>
          </w:tcPr>
          <w:p w14:paraId="33B49BF0" w14:textId="77777777" w:rsidR="000F1C75" w:rsidRPr="007C2F16" w:rsidRDefault="000F1C75" w:rsidP="000F1C7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C2F16">
              <w:rPr>
                <w:rFonts w:eastAsia="Times New Roman" w:cstheme="minorHAnsi"/>
                <w:color w:val="000000"/>
                <w:sz w:val="20"/>
                <w:szCs w:val="20"/>
                <w:lang w:eastAsia="cs-CZ"/>
              </w:rPr>
              <w:t>2,9 %</w:t>
            </w:r>
          </w:p>
        </w:tc>
        <w:tc>
          <w:tcPr>
            <w:tcW w:w="907" w:type="dxa"/>
          </w:tcPr>
          <w:p w14:paraId="32CF13E4" w14:textId="77777777" w:rsidR="000F1C75" w:rsidRPr="007C2F16" w:rsidRDefault="000F1C75" w:rsidP="000F1C7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C2F16">
              <w:rPr>
                <w:rFonts w:eastAsia="Times New Roman" w:cstheme="minorHAnsi"/>
                <w:color w:val="000000"/>
                <w:sz w:val="20"/>
                <w:szCs w:val="20"/>
                <w:lang w:eastAsia="cs-CZ"/>
              </w:rPr>
              <w:t>2,9 %</w:t>
            </w:r>
          </w:p>
        </w:tc>
        <w:tc>
          <w:tcPr>
            <w:tcW w:w="907" w:type="dxa"/>
            <w:noWrap/>
          </w:tcPr>
          <w:p w14:paraId="4D3AD32A" w14:textId="77777777" w:rsidR="000F1C75" w:rsidRPr="007C2F16" w:rsidRDefault="000F1C75" w:rsidP="000F1C7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C2F16">
              <w:rPr>
                <w:rFonts w:eastAsia="Times New Roman" w:cstheme="minorHAnsi"/>
                <w:color w:val="000000"/>
                <w:sz w:val="20"/>
                <w:szCs w:val="20"/>
                <w:lang w:eastAsia="cs-CZ"/>
              </w:rPr>
              <w:t>0,85 %</w:t>
            </w:r>
          </w:p>
        </w:tc>
        <w:tc>
          <w:tcPr>
            <w:tcW w:w="907" w:type="dxa"/>
            <w:noWrap/>
          </w:tcPr>
          <w:p w14:paraId="64C3DB15" w14:textId="77777777" w:rsidR="000F1C75" w:rsidRPr="007C2F16" w:rsidRDefault="000F1C75" w:rsidP="000F1C7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C2F16">
              <w:rPr>
                <w:rFonts w:eastAsia="Times New Roman" w:cstheme="minorHAnsi"/>
                <w:color w:val="000000"/>
                <w:sz w:val="20"/>
                <w:szCs w:val="20"/>
                <w:lang w:eastAsia="cs-CZ"/>
              </w:rPr>
              <w:t>3,5 %</w:t>
            </w:r>
          </w:p>
        </w:tc>
        <w:tc>
          <w:tcPr>
            <w:tcW w:w="907" w:type="dxa"/>
            <w:noWrap/>
          </w:tcPr>
          <w:p w14:paraId="48B892E3" w14:textId="77777777" w:rsidR="000F1C75" w:rsidRPr="007C2F16" w:rsidRDefault="000F1C75" w:rsidP="000F1C7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C2F16">
              <w:rPr>
                <w:rFonts w:eastAsia="Times New Roman" w:cstheme="minorHAnsi"/>
                <w:color w:val="000000"/>
                <w:sz w:val="20"/>
                <w:szCs w:val="20"/>
                <w:lang w:eastAsia="cs-CZ"/>
              </w:rPr>
              <w:t>3,9 %</w:t>
            </w:r>
          </w:p>
        </w:tc>
        <w:tc>
          <w:tcPr>
            <w:tcW w:w="907" w:type="dxa"/>
            <w:noWrap/>
          </w:tcPr>
          <w:p w14:paraId="6BE7FBA2" w14:textId="77777777" w:rsidR="000F1C75" w:rsidRPr="007C2F16" w:rsidRDefault="000F1C75" w:rsidP="000F1C7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C2F16">
              <w:rPr>
                <w:rFonts w:eastAsia="Times New Roman" w:cstheme="minorHAnsi"/>
                <w:color w:val="000000"/>
                <w:sz w:val="20"/>
                <w:szCs w:val="20"/>
                <w:lang w:eastAsia="cs-CZ"/>
              </w:rPr>
              <w:t>1,5 %</w:t>
            </w:r>
          </w:p>
        </w:tc>
        <w:tc>
          <w:tcPr>
            <w:tcW w:w="907" w:type="dxa"/>
            <w:noWrap/>
          </w:tcPr>
          <w:p w14:paraId="3DAD68A4" w14:textId="77777777" w:rsidR="000F1C75" w:rsidRPr="007C2F16" w:rsidRDefault="000F1C75" w:rsidP="000F1C7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C2F16">
              <w:rPr>
                <w:rFonts w:eastAsia="Times New Roman" w:cstheme="minorHAnsi"/>
                <w:color w:val="000000"/>
                <w:sz w:val="20"/>
                <w:szCs w:val="20"/>
                <w:lang w:eastAsia="cs-CZ"/>
              </w:rPr>
              <w:t>4 %</w:t>
            </w:r>
          </w:p>
        </w:tc>
        <w:tc>
          <w:tcPr>
            <w:tcW w:w="907" w:type="dxa"/>
            <w:noWrap/>
          </w:tcPr>
          <w:p w14:paraId="40943FE8" w14:textId="77777777" w:rsidR="000F1C75" w:rsidRPr="007C2F16" w:rsidRDefault="000F1C75" w:rsidP="000F1C7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C2F16">
              <w:rPr>
                <w:rFonts w:eastAsia="Times New Roman" w:cstheme="minorHAnsi"/>
                <w:color w:val="000000"/>
                <w:sz w:val="20"/>
                <w:szCs w:val="20"/>
                <w:lang w:eastAsia="cs-CZ"/>
              </w:rPr>
              <w:t>3,35 %</w:t>
            </w:r>
          </w:p>
        </w:tc>
        <w:tc>
          <w:tcPr>
            <w:tcW w:w="907" w:type="dxa"/>
            <w:noWrap/>
          </w:tcPr>
          <w:p w14:paraId="12648971" w14:textId="77777777" w:rsidR="000F1C75" w:rsidRPr="007C2F16" w:rsidRDefault="000F1C75" w:rsidP="000F1C7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C2F16">
              <w:rPr>
                <w:rFonts w:eastAsia="Times New Roman" w:cstheme="minorHAnsi"/>
                <w:color w:val="000000"/>
                <w:sz w:val="20"/>
                <w:szCs w:val="20"/>
                <w:lang w:eastAsia="cs-CZ"/>
              </w:rPr>
              <w:t>5,5 %</w:t>
            </w:r>
          </w:p>
        </w:tc>
      </w:tr>
      <w:tr w:rsidR="000F1C75" w:rsidRPr="007C2F16" w14:paraId="14713B2E" w14:textId="77777777" w:rsidTr="000F1C7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9" w:type="dxa"/>
            <w:noWrap/>
            <w:hideMark/>
          </w:tcPr>
          <w:p w14:paraId="3BBABB14" w14:textId="77777777" w:rsidR="000F1C75" w:rsidRPr="007C2F16" w:rsidRDefault="000F1C75" w:rsidP="000F1C75">
            <w:pPr>
              <w:spacing w:after="0"/>
              <w:jc w:val="left"/>
              <w:rPr>
                <w:rFonts w:eastAsia="Times New Roman" w:cstheme="minorHAnsi"/>
                <w:color w:val="000000"/>
                <w:sz w:val="18"/>
                <w:szCs w:val="18"/>
                <w:lang w:eastAsia="cs-CZ"/>
              </w:rPr>
            </w:pPr>
            <w:bookmarkStart w:id="81" w:name="_Hlk46236369"/>
            <w:r w:rsidRPr="007C2F16">
              <w:rPr>
                <w:rFonts w:eastAsia="Times New Roman" w:cstheme="minorHAnsi"/>
                <w:color w:val="000000"/>
                <w:sz w:val="18"/>
                <w:szCs w:val="18"/>
                <w:lang w:eastAsia="cs-CZ"/>
              </w:rPr>
              <w:t>80110</w:t>
            </w:r>
            <w:r w:rsidR="0087252E">
              <w:rPr>
                <w:rFonts w:eastAsia="Times New Roman" w:cstheme="minorHAnsi"/>
                <w:color w:val="000000"/>
                <w:sz w:val="18"/>
                <w:szCs w:val="18"/>
                <w:lang w:eastAsia="cs-CZ"/>
              </w:rPr>
              <w:t xml:space="preserve"> </w:t>
            </w:r>
            <w:r>
              <w:rPr>
                <w:rFonts w:eastAsia="Times New Roman" w:cstheme="minorHAnsi"/>
                <w:color w:val="000000"/>
                <w:sz w:val="18"/>
                <w:szCs w:val="18"/>
                <w:lang w:eastAsia="cs-CZ"/>
              </w:rPr>
              <w:t>–</w:t>
            </w:r>
            <w:r w:rsidR="0087252E">
              <w:rPr>
                <w:rFonts w:eastAsia="Times New Roman" w:cstheme="minorHAnsi"/>
                <w:color w:val="000000"/>
                <w:sz w:val="18"/>
                <w:szCs w:val="18"/>
                <w:lang w:eastAsia="cs-CZ"/>
              </w:rPr>
              <w:t xml:space="preserve"> </w:t>
            </w:r>
            <w:r w:rsidRPr="007C2F16">
              <w:rPr>
                <w:rFonts w:eastAsia="Times New Roman" w:cstheme="minorHAnsi"/>
                <w:color w:val="000000"/>
                <w:sz w:val="18"/>
                <w:szCs w:val="18"/>
                <w:lang w:eastAsia="cs-CZ"/>
              </w:rPr>
              <w:t>Míra znalostí podpořených projektů u cílových skupin</w:t>
            </w:r>
            <w:bookmarkEnd w:id="81"/>
          </w:p>
        </w:tc>
        <w:tc>
          <w:tcPr>
            <w:tcW w:w="907" w:type="dxa"/>
            <w:noWrap/>
            <w:hideMark/>
          </w:tcPr>
          <w:p w14:paraId="05A7BFB7" w14:textId="77777777" w:rsidR="000F1C75" w:rsidRPr="007C2F16" w:rsidRDefault="000F1C75" w:rsidP="000F1C7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cs-CZ"/>
              </w:rPr>
            </w:pPr>
            <w:r w:rsidRPr="007C2F16">
              <w:rPr>
                <w:rFonts w:eastAsia="Times New Roman" w:cstheme="minorHAnsi"/>
                <w:color w:val="000000"/>
                <w:sz w:val="20"/>
                <w:szCs w:val="20"/>
                <w:lang w:eastAsia="cs-CZ"/>
              </w:rPr>
              <w:t>x</w:t>
            </w:r>
          </w:p>
        </w:tc>
        <w:tc>
          <w:tcPr>
            <w:tcW w:w="907" w:type="dxa"/>
            <w:noWrap/>
            <w:hideMark/>
          </w:tcPr>
          <w:p w14:paraId="0F7293F8" w14:textId="77777777" w:rsidR="000F1C75" w:rsidRPr="007C2F16" w:rsidRDefault="000F1C75" w:rsidP="000F1C7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cs-CZ"/>
              </w:rPr>
            </w:pPr>
          </w:p>
        </w:tc>
        <w:tc>
          <w:tcPr>
            <w:tcW w:w="907" w:type="dxa"/>
            <w:hideMark/>
          </w:tcPr>
          <w:p w14:paraId="39A34552" w14:textId="77777777" w:rsidR="000F1C75" w:rsidRPr="007C2F16" w:rsidRDefault="000F1C75" w:rsidP="000F1C7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cs-CZ"/>
              </w:rPr>
            </w:pPr>
          </w:p>
        </w:tc>
        <w:tc>
          <w:tcPr>
            <w:tcW w:w="907" w:type="dxa"/>
            <w:noWrap/>
            <w:hideMark/>
          </w:tcPr>
          <w:p w14:paraId="47A7256B" w14:textId="77777777" w:rsidR="000F1C75" w:rsidRPr="007C2F16" w:rsidRDefault="000F1C75" w:rsidP="000F1C7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cs-CZ"/>
              </w:rPr>
            </w:pPr>
            <w:r w:rsidRPr="007C2F16">
              <w:rPr>
                <w:rFonts w:eastAsia="Times New Roman" w:cstheme="minorHAnsi"/>
                <w:color w:val="000000"/>
                <w:sz w:val="20"/>
                <w:szCs w:val="20"/>
                <w:lang w:eastAsia="cs-CZ"/>
              </w:rPr>
              <w:t>x</w:t>
            </w:r>
          </w:p>
        </w:tc>
        <w:tc>
          <w:tcPr>
            <w:tcW w:w="907" w:type="dxa"/>
            <w:noWrap/>
            <w:hideMark/>
          </w:tcPr>
          <w:p w14:paraId="72535069" w14:textId="77777777" w:rsidR="000F1C75" w:rsidRPr="007C2F16" w:rsidRDefault="000F1C75" w:rsidP="000F1C7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cs-CZ"/>
              </w:rPr>
            </w:pPr>
          </w:p>
        </w:tc>
        <w:tc>
          <w:tcPr>
            <w:tcW w:w="907" w:type="dxa"/>
            <w:noWrap/>
            <w:hideMark/>
          </w:tcPr>
          <w:p w14:paraId="0140C47C" w14:textId="77777777" w:rsidR="000F1C75" w:rsidRPr="007C2F16" w:rsidRDefault="000F1C75" w:rsidP="000F1C7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cs-CZ"/>
              </w:rPr>
            </w:pPr>
          </w:p>
        </w:tc>
        <w:tc>
          <w:tcPr>
            <w:tcW w:w="907" w:type="dxa"/>
            <w:noWrap/>
            <w:hideMark/>
          </w:tcPr>
          <w:p w14:paraId="2CBE71BC" w14:textId="77777777" w:rsidR="000F1C75" w:rsidRPr="007C2F16" w:rsidRDefault="000F1C75" w:rsidP="000F1C7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cs-CZ"/>
              </w:rPr>
            </w:pPr>
          </w:p>
        </w:tc>
        <w:tc>
          <w:tcPr>
            <w:tcW w:w="907" w:type="dxa"/>
            <w:noWrap/>
            <w:hideMark/>
          </w:tcPr>
          <w:p w14:paraId="211E04FA" w14:textId="77777777" w:rsidR="000F1C75" w:rsidRPr="007C2F16" w:rsidRDefault="000F1C75" w:rsidP="000F1C7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cs-CZ"/>
              </w:rPr>
            </w:pPr>
          </w:p>
        </w:tc>
        <w:tc>
          <w:tcPr>
            <w:tcW w:w="907" w:type="dxa"/>
            <w:noWrap/>
            <w:hideMark/>
          </w:tcPr>
          <w:p w14:paraId="17B1BB55" w14:textId="77777777" w:rsidR="000F1C75" w:rsidRPr="007C2F16" w:rsidRDefault="000F1C75" w:rsidP="000F1C7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cs-CZ"/>
              </w:rPr>
            </w:pPr>
            <w:r w:rsidRPr="007C2F16">
              <w:rPr>
                <w:rFonts w:eastAsia="Times New Roman" w:cstheme="minorHAnsi"/>
                <w:color w:val="000000"/>
                <w:sz w:val="20"/>
                <w:szCs w:val="20"/>
                <w:lang w:eastAsia="cs-CZ"/>
              </w:rPr>
              <w:t>x</w:t>
            </w:r>
          </w:p>
        </w:tc>
        <w:tc>
          <w:tcPr>
            <w:tcW w:w="907" w:type="dxa"/>
            <w:noWrap/>
            <w:hideMark/>
          </w:tcPr>
          <w:p w14:paraId="186C792C" w14:textId="77777777" w:rsidR="000F1C75" w:rsidRPr="007C2F16" w:rsidRDefault="000F1C75" w:rsidP="000F1C7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cs-CZ"/>
              </w:rPr>
            </w:pPr>
          </w:p>
        </w:tc>
      </w:tr>
      <w:tr w:rsidR="000F1C75" w:rsidRPr="007C2F16" w14:paraId="773B5046" w14:textId="77777777" w:rsidTr="000F1C75">
        <w:trPr>
          <w:trHeight w:val="288"/>
        </w:trPr>
        <w:tc>
          <w:tcPr>
            <w:cnfStyle w:val="001000000000" w:firstRow="0" w:lastRow="0" w:firstColumn="1" w:lastColumn="0" w:oddVBand="0" w:evenVBand="0" w:oddHBand="0" w:evenHBand="0" w:firstRowFirstColumn="0" w:firstRowLastColumn="0" w:lastRowFirstColumn="0" w:lastRowLastColumn="0"/>
            <w:tcW w:w="1839" w:type="dxa"/>
            <w:noWrap/>
            <w:hideMark/>
          </w:tcPr>
          <w:p w14:paraId="56F819A8" w14:textId="77777777" w:rsidR="000F1C75" w:rsidRPr="007C2F16" w:rsidRDefault="000F1C75" w:rsidP="000F1C75">
            <w:pPr>
              <w:spacing w:after="0"/>
              <w:jc w:val="left"/>
              <w:rPr>
                <w:rFonts w:eastAsia="Times New Roman" w:cstheme="minorHAnsi"/>
                <w:color w:val="000000"/>
                <w:sz w:val="18"/>
                <w:szCs w:val="18"/>
                <w:lang w:eastAsia="cs-CZ"/>
              </w:rPr>
            </w:pPr>
            <w:bookmarkStart w:id="82" w:name="_Hlk46236378"/>
            <w:r w:rsidRPr="007C2F16">
              <w:rPr>
                <w:rFonts w:eastAsia="Times New Roman" w:cstheme="minorHAnsi"/>
                <w:color w:val="000000"/>
                <w:sz w:val="18"/>
                <w:szCs w:val="18"/>
                <w:lang w:eastAsia="cs-CZ"/>
              </w:rPr>
              <w:t>80120</w:t>
            </w:r>
            <w:r w:rsidR="0087252E">
              <w:rPr>
                <w:rFonts w:eastAsia="Times New Roman" w:cstheme="minorHAnsi"/>
                <w:color w:val="000000"/>
                <w:sz w:val="18"/>
                <w:szCs w:val="18"/>
                <w:lang w:eastAsia="cs-CZ"/>
              </w:rPr>
              <w:t xml:space="preserve"> </w:t>
            </w:r>
            <w:r>
              <w:rPr>
                <w:rFonts w:eastAsia="Times New Roman" w:cstheme="minorHAnsi"/>
                <w:color w:val="000000"/>
                <w:sz w:val="18"/>
                <w:szCs w:val="18"/>
                <w:lang w:eastAsia="cs-CZ"/>
              </w:rPr>
              <w:t>–</w:t>
            </w:r>
            <w:r w:rsidR="0087252E">
              <w:rPr>
                <w:rFonts w:eastAsia="Times New Roman" w:cstheme="minorHAnsi"/>
                <w:color w:val="000000"/>
                <w:sz w:val="18"/>
                <w:szCs w:val="18"/>
                <w:lang w:eastAsia="cs-CZ"/>
              </w:rPr>
              <w:t xml:space="preserve"> </w:t>
            </w:r>
            <w:r w:rsidRPr="007C2F16">
              <w:rPr>
                <w:rFonts w:eastAsia="Times New Roman" w:cstheme="minorHAnsi"/>
                <w:color w:val="000000"/>
                <w:sz w:val="18"/>
                <w:szCs w:val="18"/>
                <w:lang w:eastAsia="cs-CZ"/>
              </w:rPr>
              <w:t>Míra informovanosti o fondech u cílových skupin</w:t>
            </w:r>
            <w:bookmarkEnd w:id="82"/>
          </w:p>
        </w:tc>
        <w:tc>
          <w:tcPr>
            <w:tcW w:w="907" w:type="dxa"/>
            <w:noWrap/>
            <w:hideMark/>
          </w:tcPr>
          <w:p w14:paraId="06FD1E3C" w14:textId="77777777" w:rsidR="000F1C75" w:rsidRPr="007C2F16" w:rsidRDefault="000F1C75" w:rsidP="000F1C7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C2F16">
              <w:rPr>
                <w:rFonts w:eastAsia="Times New Roman" w:cstheme="minorHAnsi"/>
                <w:color w:val="000000"/>
                <w:sz w:val="20"/>
                <w:szCs w:val="20"/>
                <w:lang w:eastAsia="cs-CZ"/>
              </w:rPr>
              <w:t>x</w:t>
            </w:r>
          </w:p>
        </w:tc>
        <w:tc>
          <w:tcPr>
            <w:tcW w:w="907" w:type="dxa"/>
            <w:noWrap/>
            <w:hideMark/>
          </w:tcPr>
          <w:p w14:paraId="377D97A6" w14:textId="77777777" w:rsidR="000F1C75" w:rsidRPr="007C2F16" w:rsidRDefault="000F1C75" w:rsidP="000F1C7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
        </w:tc>
        <w:tc>
          <w:tcPr>
            <w:tcW w:w="907" w:type="dxa"/>
            <w:noWrap/>
            <w:hideMark/>
          </w:tcPr>
          <w:p w14:paraId="682F8974" w14:textId="77777777" w:rsidR="000F1C75" w:rsidRPr="007C2F16" w:rsidRDefault="000F1C75" w:rsidP="000F1C7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
        </w:tc>
        <w:tc>
          <w:tcPr>
            <w:tcW w:w="907" w:type="dxa"/>
            <w:noWrap/>
            <w:hideMark/>
          </w:tcPr>
          <w:p w14:paraId="02B9124B" w14:textId="77777777" w:rsidR="000F1C75" w:rsidRPr="007C2F16" w:rsidRDefault="000F1C75" w:rsidP="000F1C7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C2F16">
              <w:rPr>
                <w:rFonts w:eastAsia="Times New Roman" w:cstheme="minorHAnsi"/>
                <w:color w:val="000000"/>
                <w:sz w:val="20"/>
                <w:szCs w:val="20"/>
                <w:lang w:eastAsia="cs-CZ"/>
              </w:rPr>
              <w:t>x</w:t>
            </w:r>
          </w:p>
        </w:tc>
        <w:tc>
          <w:tcPr>
            <w:tcW w:w="907" w:type="dxa"/>
            <w:noWrap/>
            <w:hideMark/>
          </w:tcPr>
          <w:p w14:paraId="10FF70FC" w14:textId="77777777" w:rsidR="000F1C75" w:rsidRPr="007C2F16" w:rsidRDefault="000F1C75" w:rsidP="000F1C7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
        </w:tc>
        <w:tc>
          <w:tcPr>
            <w:tcW w:w="907" w:type="dxa"/>
            <w:noWrap/>
            <w:hideMark/>
          </w:tcPr>
          <w:p w14:paraId="329E2DB2" w14:textId="77777777" w:rsidR="000F1C75" w:rsidRPr="007C2F16" w:rsidRDefault="000F1C75" w:rsidP="000F1C7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
        </w:tc>
        <w:tc>
          <w:tcPr>
            <w:tcW w:w="907" w:type="dxa"/>
            <w:noWrap/>
            <w:hideMark/>
          </w:tcPr>
          <w:p w14:paraId="794BCE57" w14:textId="77777777" w:rsidR="000F1C75" w:rsidRPr="007C2F16" w:rsidRDefault="000F1C75" w:rsidP="000F1C7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
        </w:tc>
        <w:tc>
          <w:tcPr>
            <w:tcW w:w="907" w:type="dxa"/>
            <w:noWrap/>
            <w:hideMark/>
          </w:tcPr>
          <w:p w14:paraId="6C37E726" w14:textId="77777777" w:rsidR="000F1C75" w:rsidRPr="007C2F16" w:rsidRDefault="000F1C75" w:rsidP="000F1C7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
        </w:tc>
        <w:tc>
          <w:tcPr>
            <w:tcW w:w="907" w:type="dxa"/>
            <w:noWrap/>
            <w:hideMark/>
          </w:tcPr>
          <w:p w14:paraId="37AB8D46" w14:textId="77777777" w:rsidR="000F1C75" w:rsidRPr="007C2F16" w:rsidRDefault="000F1C75" w:rsidP="000F1C7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C2F16">
              <w:rPr>
                <w:rFonts w:eastAsia="Times New Roman" w:cstheme="minorHAnsi"/>
                <w:color w:val="000000"/>
                <w:sz w:val="20"/>
                <w:szCs w:val="20"/>
                <w:lang w:eastAsia="cs-CZ"/>
              </w:rPr>
              <w:t>x</w:t>
            </w:r>
          </w:p>
        </w:tc>
        <w:tc>
          <w:tcPr>
            <w:tcW w:w="907" w:type="dxa"/>
            <w:noWrap/>
            <w:hideMark/>
          </w:tcPr>
          <w:p w14:paraId="4B5782A2" w14:textId="77777777" w:rsidR="000F1C75" w:rsidRPr="007C2F16" w:rsidRDefault="000F1C75" w:rsidP="000F1C7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
        </w:tc>
      </w:tr>
      <w:tr w:rsidR="000F1C75" w:rsidRPr="007C2F16" w14:paraId="6BBC93E5" w14:textId="77777777" w:rsidTr="000F1C7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9" w:type="dxa"/>
            <w:noWrap/>
            <w:hideMark/>
          </w:tcPr>
          <w:p w14:paraId="39837BF3" w14:textId="77777777" w:rsidR="000F1C75" w:rsidRPr="007C2F16" w:rsidRDefault="000F1C75" w:rsidP="000F1C75">
            <w:pPr>
              <w:spacing w:after="0"/>
              <w:jc w:val="left"/>
              <w:rPr>
                <w:rFonts w:eastAsia="Times New Roman" w:cstheme="minorHAnsi"/>
                <w:color w:val="000000"/>
                <w:sz w:val="18"/>
                <w:szCs w:val="18"/>
                <w:lang w:eastAsia="cs-CZ"/>
              </w:rPr>
            </w:pPr>
            <w:bookmarkStart w:id="83" w:name="_Hlk46236386"/>
            <w:r w:rsidRPr="007C2F16">
              <w:rPr>
                <w:rFonts w:eastAsia="Times New Roman" w:cstheme="minorHAnsi"/>
                <w:color w:val="000000"/>
                <w:sz w:val="18"/>
                <w:szCs w:val="18"/>
                <w:lang w:eastAsia="cs-CZ"/>
              </w:rPr>
              <w:t>80210</w:t>
            </w:r>
            <w:r w:rsidR="0087252E">
              <w:rPr>
                <w:rFonts w:eastAsia="Times New Roman" w:cstheme="minorHAnsi"/>
                <w:color w:val="000000"/>
                <w:sz w:val="18"/>
                <w:szCs w:val="18"/>
                <w:lang w:eastAsia="cs-CZ"/>
              </w:rPr>
              <w:t xml:space="preserve"> </w:t>
            </w:r>
            <w:r>
              <w:rPr>
                <w:rFonts w:eastAsia="Times New Roman" w:cstheme="minorHAnsi"/>
                <w:color w:val="000000"/>
                <w:sz w:val="18"/>
                <w:szCs w:val="18"/>
                <w:lang w:eastAsia="cs-CZ"/>
              </w:rPr>
              <w:t>–</w:t>
            </w:r>
            <w:r w:rsidR="0087252E">
              <w:rPr>
                <w:rFonts w:eastAsia="Times New Roman" w:cstheme="minorHAnsi"/>
                <w:color w:val="000000"/>
                <w:sz w:val="18"/>
                <w:szCs w:val="18"/>
                <w:lang w:eastAsia="cs-CZ"/>
              </w:rPr>
              <w:t xml:space="preserve"> </w:t>
            </w:r>
            <w:r w:rsidRPr="007C2F16">
              <w:rPr>
                <w:rFonts w:eastAsia="Times New Roman" w:cstheme="minorHAnsi"/>
                <w:color w:val="000000"/>
                <w:sz w:val="18"/>
                <w:szCs w:val="18"/>
                <w:lang w:eastAsia="cs-CZ"/>
              </w:rPr>
              <w:t>Míra úspěšnosti projektových žádostí</w:t>
            </w:r>
            <w:bookmarkEnd w:id="83"/>
          </w:p>
        </w:tc>
        <w:tc>
          <w:tcPr>
            <w:tcW w:w="907" w:type="dxa"/>
            <w:noWrap/>
            <w:hideMark/>
          </w:tcPr>
          <w:p w14:paraId="0436F020" w14:textId="77777777" w:rsidR="000F1C75" w:rsidRPr="007C2F16" w:rsidRDefault="000F1C75" w:rsidP="000F1C7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cs-CZ"/>
              </w:rPr>
            </w:pPr>
          </w:p>
        </w:tc>
        <w:tc>
          <w:tcPr>
            <w:tcW w:w="907" w:type="dxa"/>
            <w:noWrap/>
            <w:hideMark/>
          </w:tcPr>
          <w:p w14:paraId="4AA69CBE" w14:textId="77777777" w:rsidR="000F1C75" w:rsidRPr="007C2F16" w:rsidRDefault="000F1C75" w:rsidP="000F1C7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cs-CZ"/>
              </w:rPr>
            </w:pPr>
            <w:r w:rsidRPr="007C2F16">
              <w:rPr>
                <w:rFonts w:eastAsia="Times New Roman" w:cstheme="minorHAnsi"/>
                <w:color w:val="000000"/>
                <w:sz w:val="20"/>
                <w:szCs w:val="20"/>
                <w:lang w:eastAsia="cs-CZ"/>
              </w:rPr>
              <w:t>X</w:t>
            </w:r>
          </w:p>
        </w:tc>
        <w:tc>
          <w:tcPr>
            <w:tcW w:w="907" w:type="dxa"/>
            <w:noWrap/>
            <w:hideMark/>
          </w:tcPr>
          <w:p w14:paraId="74D809CD" w14:textId="77777777" w:rsidR="000F1C75" w:rsidRPr="007C2F16" w:rsidRDefault="000F1C75" w:rsidP="000F1C7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cs-CZ"/>
              </w:rPr>
            </w:pPr>
          </w:p>
        </w:tc>
        <w:tc>
          <w:tcPr>
            <w:tcW w:w="907" w:type="dxa"/>
            <w:noWrap/>
            <w:hideMark/>
          </w:tcPr>
          <w:p w14:paraId="1EFCE314" w14:textId="77777777" w:rsidR="000F1C75" w:rsidRPr="007C2F16" w:rsidRDefault="000F1C75" w:rsidP="000F1C7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cs-CZ"/>
              </w:rPr>
            </w:pPr>
          </w:p>
        </w:tc>
        <w:tc>
          <w:tcPr>
            <w:tcW w:w="907" w:type="dxa"/>
            <w:noWrap/>
            <w:hideMark/>
          </w:tcPr>
          <w:p w14:paraId="66A0356E" w14:textId="77777777" w:rsidR="000F1C75" w:rsidRPr="007C2F16" w:rsidRDefault="000F1C75" w:rsidP="000F1C7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cs-CZ"/>
              </w:rPr>
            </w:pPr>
            <w:r w:rsidRPr="007C2F16">
              <w:rPr>
                <w:rFonts w:eastAsia="Times New Roman" w:cstheme="minorHAnsi"/>
                <w:color w:val="000000"/>
                <w:sz w:val="20"/>
                <w:szCs w:val="20"/>
                <w:lang w:eastAsia="cs-CZ"/>
              </w:rPr>
              <w:t>x</w:t>
            </w:r>
          </w:p>
        </w:tc>
        <w:tc>
          <w:tcPr>
            <w:tcW w:w="907" w:type="dxa"/>
            <w:noWrap/>
            <w:hideMark/>
          </w:tcPr>
          <w:p w14:paraId="2B2E9B86" w14:textId="77777777" w:rsidR="000F1C75" w:rsidRPr="007C2F16" w:rsidRDefault="000F1C75" w:rsidP="000F1C7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cs-CZ"/>
              </w:rPr>
            </w:pPr>
          </w:p>
        </w:tc>
        <w:tc>
          <w:tcPr>
            <w:tcW w:w="907" w:type="dxa"/>
            <w:noWrap/>
            <w:hideMark/>
          </w:tcPr>
          <w:p w14:paraId="36111FFF" w14:textId="77777777" w:rsidR="000F1C75" w:rsidRPr="007C2F16" w:rsidRDefault="000F1C75" w:rsidP="000F1C7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cs-CZ"/>
              </w:rPr>
            </w:pPr>
            <w:r w:rsidRPr="007C2F16">
              <w:rPr>
                <w:rFonts w:eastAsia="Times New Roman" w:cstheme="minorHAnsi"/>
                <w:color w:val="000000"/>
                <w:sz w:val="20"/>
                <w:szCs w:val="20"/>
                <w:lang w:eastAsia="cs-CZ"/>
              </w:rPr>
              <w:t>x</w:t>
            </w:r>
          </w:p>
        </w:tc>
        <w:tc>
          <w:tcPr>
            <w:tcW w:w="907" w:type="dxa"/>
            <w:noWrap/>
            <w:hideMark/>
          </w:tcPr>
          <w:p w14:paraId="4A055BF1" w14:textId="77777777" w:rsidR="000F1C75" w:rsidRPr="007C2F16" w:rsidRDefault="000F1C75" w:rsidP="000F1C7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cs-CZ"/>
              </w:rPr>
            </w:pPr>
            <w:r w:rsidRPr="007C2F16">
              <w:rPr>
                <w:rFonts w:eastAsia="Times New Roman" w:cstheme="minorHAnsi"/>
                <w:color w:val="000000"/>
                <w:sz w:val="20"/>
                <w:szCs w:val="20"/>
                <w:lang w:eastAsia="cs-CZ"/>
              </w:rPr>
              <w:t>x</w:t>
            </w:r>
          </w:p>
        </w:tc>
        <w:tc>
          <w:tcPr>
            <w:tcW w:w="907" w:type="dxa"/>
            <w:noWrap/>
            <w:hideMark/>
          </w:tcPr>
          <w:p w14:paraId="4AA51261" w14:textId="77777777" w:rsidR="000F1C75" w:rsidRPr="007C2F16" w:rsidRDefault="000F1C75" w:rsidP="000F1C7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cs-CZ"/>
              </w:rPr>
            </w:pPr>
          </w:p>
        </w:tc>
        <w:tc>
          <w:tcPr>
            <w:tcW w:w="907" w:type="dxa"/>
            <w:noWrap/>
            <w:hideMark/>
          </w:tcPr>
          <w:p w14:paraId="39BEE74F" w14:textId="77777777" w:rsidR="000F1C75" w:rsidRPr="007C2F16" w:rsidRDefault="000F1C75" w:rsidP="000F1C7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cs-CZ"/>
              </w:rPr>
            </w:pPr>
          </w:p>
        </w:tc>
      </w:tr>
      <w:tr w:rsidR="000F1C75" w:rsidRPr="007C2F16" w14:paraId="659FD1C2" w14:textId="77777777" w:rsidTr="000F1C75">
        <w:trPr>
          <w:trHeight w:val="288"/>
        </w:trPr>
        <w:tc>
          <w:tcPr>
            <w:cnfStyle w:val="001000000000" w:firstRow="0" w:lastRow="0" w:firstColumn="1" w:lastColumn="0" w:oddVBand="0" w:evenVBand="0" w:oddHBand="0" w:evenHBand="0" w:firstRowFirstColumn="0" w:firstRowLastColumn="0" w:lastRowFirstColumn="0" w:lastRowLastColumn="0"/>
            <w:tcW w:w="1839" w:type="dxa"/>
            <w:noWrap/>
            <w:hideMark/>
          </w:tcPr>
          <w:p w14:paraId="3C829BFF" w14:textId="77777777" w:rsidR="000F1C75" w:rsidRPr="007C2F16" w:rsidRDefault="000F1C75" w:rsidP="000F1C75">
            <w:pPr>
              <w:spacing w:after="0"/>
              <w:jc w:val="left"/>
              <w:rPr>
                <w:rFonts w:eastAsia="Times New Roman" w:cstheme="minorHAnsi"/>
                <w:color w:val="000000"/>
                <w:sz w:val="18"/>
                <w:szCs w:val="18"/>
                <w:lang w:eastAsia="cs-CZ"/>
              </w:rPr>
            </w:pPr>
            <w:r w:rsidRPr="007C2F16">
              <w:rPr>
                <w:rFonts w:eastAsia="Times New Roman" w:cstheme="minorHAnsi"/>
                <w:color w:val="000000"/>
                <w:sz w:val="18"/>
                <w:szCs w:val="18"/>
                <w:lang w:eastAsia="cs-CZ"/>
              </w:rPr>
              <w:t>80810</w:t>
            </w:r>
            <w:r w:rsidR="0087252E">
              <w:rPr>
                <w:rFonts w:eastAsia="Times New Roman" w:cstheme="minorHAnsi"/>
                <w:color w:val="000000"/>
                <w:sz w:val="18"/>
                <w:szCs w:val="18"/>
                <w:lang w:eastAsia="cs-CZ"/>
              </w:rPr>
              <w:t xml:space="preserve"> </w:t>
            </w:r>
            <w:r>
              <w:rPr>
                <w:rFonts w:eastAsia="Times New Roman" w:cstheme="minorHAnsi"/>
                <w:color w:val="000000"/>
                <w:sz w:val="18"/>
                <w:szCs w:val="18"/>
                <w:lang w:eastAsia="cs-CZ"/>
              </w:rPr>
              <w:t>–</w:t>
            </w:r>
            <w:r w:rsidR="0087252E">
              <w:rPr>
                <w:rFonts w:eastAsia="Times New Roman" w:cstheme="minorHAnsi"/>
                <w:color w:val="000000"/>
                <w:sz w:val="18"/>
                <w:szCs w:val="18"/>
                <w:lang w:eastAsia="cs-CZ"/>
              </w:rPr>
              <w:t xml:space="preserve"> </w:t>
            </w:r>
            <w:r w:rsidRPr="007C2F16">
              <w:rPr>
                <w:rFonts w:eastAsia="Times New Roman" w:cstheme="minorHAnsi"/>
                <w:color w:val="000000"/>
                <w:sz w:val="18"/>
                <w:szCs w:val="18"/>
                <w:lang w:eastAsia="cs-CZ"/>
              </w:rPr>
              <w:t>Míra čerpání prostředků programu</w:t>
            </w:r>
          </w:p>
        </w:tc>
        <w:tc>
          <w:tcPr>
            <w:tcW w:w="907" w:type="dxa"/>
            <w:noWrap/>
            <w:hideMark/>
          </w:tcPr>
          <w:p w14:paraId="79A75D60" w14:textId="77777777" w:rsidR="000F1C75" w:rsidRPr="007C2F16" w:rsidRDefault="000F1C75" w:rsidP="000F1C7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
        </w:tc>
        <w:tc>
          <w:tcPr>
            <w:tcW w:w="907" w:type="dxa"/>
            <w:noWrap/>
            <w:hideMark/>
          </w:tcPr>
          <w:p w14:paraId="24B6209E" w14:textId="77777777" w:rsidR="000F1C75" w:rsidRPr="007C2F16" w:rsidRDefault="000F1C75" w:rsidP="000F1C7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C2F16">
              <w:rPr>
                <w:rFonts w:eastAsia="Times New Roman" w:cstheme="minorHAnsi"/>
                <w:color w:val="000000"/>
                <w:sz w:val="20"/>
                <w:szCs w:val="20"/>
                <w:lang w:eastAsia="cs-CZ"/>
              </w:rPr>
              <w:t>(x)</w:t>
            </w:r>
            <w:r>
              <w:rPr>
                <w:rFonts w:eastAsia="Times New Roman" w:cstheme="minorHAnsi"/>
                <w:color w:val="000000"/>
                <w:sz w:val="20"/>
                <w:szCs w:val="20"/>
                <w:lang w:eastAsia="cs-CZ"/>
              </w:rPr>
              <w:t>*</w:t>
            </w:r>
          </w:p>
        </w:tc>
        <w:tc>
          <w:tcPr>
            <w:tcW w:w="907" w:type="dxa"/>
            <w:noWrap/>
            <w:hideMark/>
          </w:tcPr>
          <w:p w14:paraId="7A0E00DF" w14:textId="77777777" w:rsidR="000F1C75" w:rsidRPr="007C2F16" w:rsidRDefault="000F1C75" w:rsidP="000F1C7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C2F16">
              <w:rPr>
                <w:rFonts w:eastAsia="Times New Roman" w:cstheme="minorHAnsi"/>
                <w:color w:val="000000"/>
                <w:sz w:val="20"/>
                <w:szCs w:val="20"/>
                <w:lang w:eastAsia="cs-CZ"/>
              </w:rPr>
              <w:t>x</w:t>
            </w:r>
          </w:p>
        </w:tc>
        <w:tc>
          <w:tcPr>
            <w:tcW w:w="907" w:type="dxa"/>
            <w:noWrap/>
            <w:hideMark/>
          </w:tcPr>
          <w:p w14:paraId="0644630D" w14:textId="77777777" w:rsidR="000F1C75" w:rsidRPr="007C2F16" w:rsidRDefault="000F1C75" w:rsidP="000F1C7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C2F16">
              <w:rPr>
                <w:rFonts w:eastAsia="Times New Roman" w:cstheme="minorHAnsi"/>
                <w:color w:val="000000"/>
                <w:sz w:val="20"/>
                <w:szCs w:val="20"/>
                <w:lang w:eastAsia="cs-CZ"/>
              </w:rPr>
              <w:t>x</w:t>
            </w:r>
          </w:p>
        </w:tc>
        <w:tc>
          <w:tcPr>
            <w:tcW w:w="907" w:type="dxa"/>
            <w:noWrap/>
            <w:hideMark/>
          </w:tcPr>
          <w:p w14:paraId="08989CE7" w14:textId="77777777" w:rsidR="000F1C75" w:rsidRPr="007C2F16" w:rsidRDefault="000F1C75" w:rsidP="000F1C7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
        </w:tc>
        <w:tc>
          <w:tcPr>
            <w:tcW w:w="907" w:type="dxa"/>
            <w:noWrap/>
            <w:hideMark/>
          </w:tcPr>
          <w:p w14:paraId="61C7FFB7" w14:textId="77777777" w:rsidR="000F1C75" w:rsidRPr="007C2F16" w:rsidRDefault="000F1C75" w:rsidP="000F1C7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C2F16">
              <w:rPr>
                <w:rFonts w:eastAsia="Times New Roman" w:cstheme="minorHAnsi"/>
                <w:color w:val="000000"/>
                <w:sz w:val="20"/>
                <w:szCs w:val="20"/>
                <w:lang w:eastAsia="cs-CZ"/>
              </w:rPr>
              <w:t>x</w:t>
            </w:r>
          </w:p>
        </w:tc>
        <w:tc>
          <w:tcPr>
            <w:tcW w:w="907" w:type="dxa"/>
            <w:noWrap/>
            <w:hideMark/>
          </w:tcPr>
          <w:p w14:paraId="50A9F95A" w14:textId="77777777" w:rsidR="000F1C75" w:rsidRPr="007C2F16" w:rsidRDefault="000F1C75" w:rsidP="000F1C7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
        </w:tc>
        <w:tc>
          <w:tcPr>
            <w:tcW w:w="907" w:type="dxa"/>
            <w:noWrap/>
            <w:hideMark/>
          </w:tcPr>
          <w:p w14:paraId="23CFE4CA" w14:textId="77777777" w:rsidR="000F1C75" w:rsidRPr="007C2F16" w:rsidRDefault="000F1C75" w:rsidP="000F1C7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p>
        </w:tc>
        <w:tc>
          <w:tcPr>
            <w:tcW w:w="907" w:type="dxa"/>
            <w:noWrap/>
            <w:hideMark/>
          </w:tcPr>
          <w:p w14:paraId="7988CCDB" w14:textId="77777777" w:rsidR="000F1C75" w:rsidRPr="007C2F16" w:rsidRDefault="000F1C75" w:rsidP="000F1C7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p>
        </w:tc>
        <w:tc>
          <w:tcPr>
            <w:tcW w:w="907" w:type="dxa"/>
            <w:noWrap/>
            <w:hideMark/>
          </w:tcPr>
          <w:p w14:paraId="1027E599" w14:textId="77777777" w:rsidR="000F1C75" w:rsidRPr="007C2F16" w:rsidRDefault="000F1C75" w:rsidP="000F1C7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p>
        </w:tc>
      </w:tr>
      <w:tr w:rsidR="000F1C75" w:rsidRPr="007C2F16" w14:paraId="456734F8" w14:textId="77777777" w:rsidTr="000F1C7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9" w:type="dxa"/>
            <w:noWrap/>
            <w:hideMark/>
          </w:tcPr>
          <w:p w14:paraId="3F3EDBA4" w14:textId="77777777" w:rsidR="000F1C75" w:rsidRPr="007C2F16" w:rsidRDefault="000F1C75" w:rsidP="000F1C75">
            <w:pPr>
              <w:spacing w:after="0"/>
              <w:jc w:val="left"/>
              <w:rPr>
                <w:rFonts w:eastAsia="Times New Roman" w:cstheme="minorHAnsi"/>
                <w:color w:val="000000"/>
                <w:sz w:val="18"/>
                <w:szCs w:val="18"/>
                <w:lang w:eastAsia="cs-CZ"/>
              </w:rPr>
            </w:pPr>
            <w:r w:rsidRPr="007C2F16">
              <w:rPr>
                <w:rFonts w:eastAsia="Times New Roman" w:cstheme="minorHAnsi"/>
                <w:color w:val="000000"/>
                <w:sz w:val="18"/>
                <w:szCs w:val="18"/>
                <w:lang w:eastAsia="cs-CZ"/>
              </w:rPr>
              <w:t>82110</w:t>
            </w:r>
            <w:r w:rsidR="0087252E">
              <w:rPr>
                <w:rFonts w:eastAsia="Times New Roman" w:cstheme="minorHAnsi"/>
                <w:color w:val="000000"/>
                <w:sz w:val="18"/>
                <w:szCs w:val="18"/>
                <w:lang w:eastAsia="cs-CZ"/>
              </w:rPr>
              <w:t xml:space="preserve"> </w:t>
            </w:r>
            <w:r>
              <w:rPr>
                <w:rFonts w:eastAsia="Times New Roman" w:cstheme="minorHAnsi"/>
                <w:color w:val="000000"/>
                <w:sz w:val="18"/>
                <w:szCs w:val="18"/>
                <w:lang w:eastAsia="cs-CZ"/>
              </w:rPr>
              <w:t>–</w:t>
            </w:r>
            <w:bookmarkStart w:id="84" w:name="_Hlk46236403"/>
            <w:r w:rsidR="0087252E">
              <w:rPr>
                <w:rFonts w:eastAsia="Times New Roman" w:cstheme="minorHAnsi"/>
                <w:color w:val="000000"/>
                <w:sz w:val="18"/>
                <w:szCs w:val="18"/>
                <w:lang w:eastAsia="cs-CZ"/>
              </w:rPr>
              <w:t xml:space="preserve"> </w:t>
            </w:r>
            <w:r w:rsidRPr="007C2F16">
              <w:rPr>
                <w:rFonts w:eastAsia="Times New Roman" w:cstheme="minorHAnsi"/>
                <w:color w:val="000000"/>
                <w:sz w:val="18"/>
                <w:szCs w:val="18"/>
                <w:lang w:eastAsia="cs-CZ"/>
              </w:rPr>
              <w:t>Míra spokojenosti zaměstnanců implementační struktury s personální politikou a systémem vzdělávání</w:t>
            </w:r>
            <w:bookmarkEnd w:id="84"/>
          </w:p>
        </w:tc>
        <w:tc>
          <w:tcPr>
            <w:tcW w:w="907" w:type="dxa"/>
            <w:noWrap/>
            <w:hideMark/>
          </w:tcPr>
          <w:p w14:paraId="697CE616" w14:textId="77777777" w:rsidR="000F1C75" w:rsidRPr="007C2F16" w:rsidRDefault="000F1C75" w:rsidP="000F1C7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cs-CZ"/>
              </w:rPr>
            </w:pPr>
            <w:r w:rsidRPr="007C2F16">
              <w:rPr>
                <w:rFonts w:eastAsia="Times New Roman" w:cstheme="minorHAnsi"/>
                <w:color w:val="000000"/>
                <w:sz w:val="20"/>
                <w:szCs w:val="20"/>
                <w:lang w:eastAsia="cs-CZ"/>
              </w:rPr>
              <w:t>x</w:t>
            </w:r>
          </w:p>
        </w:tc>
        <w:tc>
          <w:tcPr>
            <w:tcW w:w="907" w:type="dxa"/>
            <w:noWrap/>
            <w:hideMark/>
          </w:tcPr>
          <w:p w14:paraId="7793CD14" w14:textId="77777777" w:rsidR="000F1C75" w:rsidRPr="007C2F16" w:rsidRDefault="000F1C75" w:rsidP="000F1C7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cs-CZ"/>
              </w:rPr>
            </w:pPr>
          </w:p>
        </w:tc>
        <w:tc>
          <w:tcPr>
            <w:tcW w:w="907" w:type="dxa"/>
            <w:noWrap/>
            <w:hideMark/>
          </w:tcPr>
          <w:p w14:paraId="7C2F7877" w14:textId="77777777" w:rsidR="000F1C75" w:rsidRPr="007C2F16" w:rsidRDefault="000F1C75" w:rsidP="000F1C7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cs-CZ"/>
              </w:rPr>
            </w:pPr>
          </w:p>
        </w:tc>
        <w:tc>
          <w:tcPr>
            <w:tcW w:w="907" w:type="dxa"/>
            <w:noWrap/>
            <w:hideMark/>
          </w:tcPr>
          <w:p w14:paraId="442D6557" w14:textId="77777777" w:rsidR="000F1C75" w:rsidRPr="007C2F16" w:rsidRDefault="000F1C75" w:rsidP="000F1C7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cs-CZ"/>
              </w:rPr>
            </w:pPr>
          </w:p>
        </w:tc>
        <w:tc>
          <w:tcPr>
            <w:tcW w:w="907" w:type="dxa"/>
            <w:noWrap/>
            <w:hideMark/>
          </w:tcPr>
          <w:p w14:paraId="1C959B0A" w14:textId="77777777" w:rsidR="000F1C75" w:rsidRPr="007C2F16" w:rsidRDefault="000F1C75" w:rsidP="000F1C7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cs-CZ"/>
              </w:rPr>
            </w:pPr>
          </w:p>
        </w:tc>
        <w:tc>
          <w:tcPr>
            <w:tcW w:w="907" w:type="dxa"/>
            <w:noWrap/>
            <w:hideMark/>
          </w:tcPr>
          <w:p w14:paraId="32699FB5" w14:textId="77777777" w:rsidR="000F1C75" w:rsidRPr="007C2F16" w:rsidRDefault="000F1C75" w:rsidP="000F1C7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cs-CZ"/>
              </w:rPr>
            </w:pPr>
          </w:p>
        </w:tc>
        <w:tc>
          <w:tcPr>
            <w:tcW w:w="907" w:type="dxa"/>
            <w:noWrap/>
            <w:hideMark/>
          </w:tcPr>
          <w:p w14:paraId="1920AAC3" w14:textId="77777777" w:rsidR="000F1C75" w:rsidRPr="007C2F16" w:rsidRDefault="000F1C75" w:rsidP="000F1C7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cs-CZ"/>
              </w:rPr>
            </w:pPr>
          </w:p>
        </w:tc>
        <w:tc>
          <w:tcPr>
            <w:tcW w:w="907" w:type="dxa"/>
            <w:noWrap/>
            <w:hideMark/>
          </w:tcPr>
          <w:p w14:paraId="1543C3AC" w14:textId="77777777" w:rsidR="000F1C75" w:rsidRPr="007C2F16" w:rsidRDefault="000F1C75" w:rsidP="000F1C7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cs-CZ"/>
              </w:rPr>
            </w:pPr>
          </w:p>
        </w:tc>
        <w:tc>
          <w:tcPr>
            <w:tcW w:w="907" w:type="dxa"/>
            <w:noWrap/>
            <w:hideMark/>
          </w:tcPr>
          <w:p w14:paraId="63B6663D" w14:textId="77777777" w:rsidR="000F1C75" w:rsidRPr="007C2F16" w:rsidRDefault="000F1C75" w:rsidP="000F1C7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cs-CZ"/>
              </w:rPr>
            </w:pPr>
          </w:p>
        </w:tc>
        <w:tc>
          <w:tcPr>
            <w:tcW w:w="907" w:type="dxa"/>
            <w:noWrap/>
            <w:hideMark/>
          </w:tcPr>
          <w:p w14:paraId="677D1A4F" w14:textId="77777777" w:rsidR="000F1C75" w:rsidRPr="007C2F16" w:rsidRDefault="000F1C75" w:rsidP="000F1C7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cs-CZ"/>
              </w:rPr>
            </w:pPr>
          </w:p>
        </w:tc>
      </w:tr>
      <w:tr w:rsidR="000F1C75" w:rsidRPr="007C2F16" w14:paraId="0F020DA2" w14:textId="77777777" w:rsidTr="000F1C75">
        <w:trPr>
          <w:trHeight w:val="288"/>
        </w:trPr>
        <w:tc>
          <w:tcPr>
            <w:cnfStyle w:val="001000000000" w:firstRow="0" w:lastRow="0" w:firstColumn="1" w:lastColumn="0" w:oddVBand="0" w:evenVBand="0" w:oddHBand="0" w:evenHBand="0" w:firstRowFirstColumn="0" w:firstRowLastColumn="0" w:lastRowFirstColumn="0" w:lastRowLastColumn="0"/>
            <w:tcW w:w="1839" w:type="dxa"/>
            <w:noWrap/>
            <w:hideMark/>
          </w:tcPr>
          <w:p w14:paraId="2367F9FE" w14:textId="77777777" w:rsidR="000F1C75" w:rsidRPr="007C2F16" w:rsidRDefault="000F1C75" w:rsidP="000F1C75">
            <w:pPr>
              <w:spacing w:after="0"/>
              <w:jc w:val="left"/>
              <w:rPr>
                <w:rFonts w:eastAsia="Times New Roman" w:cstheme="minorHAnsi"/>
                <w:color w:val="000000"/>
                <w:sz w:val="18"/>
                <w:szCs w:val="18"/>
                <w:lang w:eastAsia="cs-CZ"/>
              </w:rPr>
            </w:pPr>
            <w:bookmarkStart w:id="85" w:name="_Hlk46236426"/>
            <w:r w:rsidRPr="007C2F16">
              <w:rPr>
                <w:rFonts w:eastAsia="Times New Roman" w:cstheme="minorHAnsi"/>
                <w:color w:val="000000"/>
                <w:sz w:val="18"/>
                <w:szCs w:val="18"/>
                <w:lang w:eastAsia="cs-CZ"/>
              </w:rPr>
              <w:t>82410</w:t>
            </w:r>
            <w:r w:rsidR="0087252E">
              <w:rPr>
                <w:rFonts w:eastAsia="Times New Roman" w:cstheme="minorHAnsi"/>
                <w:color w:val="000000"/>
                <w:sz w:val="18"/>
                <w:szCs w:val="18"/>
                <w:lang w:eastAsia="cs-CZ"/>
              </w:rPr>
              <w:t xml:space="preserve"> </w:t>
            </w:r>
            <w:r>
              <w:rPr>
                <w:rFonts w:eastAsia="Times New Roman" w:cstheme="minorHAnsi"/>
                <w:color w:val="000000"/>
                <w:sz w:val="18"/>
                <w:szCs w:val="18"/>
                <w:lang w:eastAsia="cs-CZ"/>
              </w:rPr>
              <w:t>–</w:t>
            </w:r>
            <w:r w:rsidR="0087252E">
              <w:rPr>
                <w:rFonts w:eastAsia="Times New Roman" w:cstheme="minorHAnsi"/>
                <w:color w:val="000000"/>
                <w:sz w:val="18"/>
                <w:szCs w:val="18"/>
                <w:lang w:eastAsia="cs-CZ"/>
              </w:rPr>
              <w:t xml:space="preserve"> </w:t>
            </w:r>
            <w:r w:rsidRPr="007C2F16">
              <w:rPr>
                <w:rFonts w:eastAsia="Times New Roman" w:cstheme="minorHAnsi"/>
                <w:color w:val="000000"/>
                <w:sz w:val="18"/>
                <w:szCs w:val="18"/>
                <w:lang w:eastAsia="cs-CZ"/>
              </w:rPr>
              <w:t>Míra spokojenosti relevantních aktérů s podmínkami pro práci na řízení DoP/OP</w:t>
            </w:r>
            <w:bookmarkEnd w:id="85"/>
          </w:p>
        </w:tc>
        <w:tc>
          <w:tcPr>
            <w:tcW w:w="907" w:type="dxa"/>
            <w:noWrap/>
            <w:hideMark/>
          </w:tcPr>
          <w:p w14:paraId="66EE4E54" w14:textId="77777777" w:rsidR="000F1C75" w:rsidRPr="007C2F16" w:rsidRDefault="000F1C75" w:rsidP="000F1C7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C2F16">
              <w:rPr>
                <w:rFonts w:eastAsia="Times New Roman" w:cstheme="minorHAnsi"/>
                <w:color w:val="000000"/>
                <w:sz w:val="20"/>
                <w:szCs w:val="20"/>
                <w:lang w:eastAsia="cs-CZ"/>
              </w:rPr>
              <w:t>x</w:t>
            </w:r>
          </w:p>
        </w:tc>
        <w:tc>
          <w:tcPr>
            <w:tcW w:w="907" w:type="dxa"/>
            <w:noWrap/>
            <w:hideMark/>
          </w:tcPr>
          <w:p w14:paraId="5F3FCA2D" w14:textId="77777777" w:rsidR="000F1C75" w:rsidRPr="007C2F16" w:rsidRDefault="000F1C75" w:rsidP="000F1C7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
        </w:tc>
        <w:tc>
          <w:tcPr>
            <w:tcW w:w="907" w:type="dxa"/>
            <w:noWrap/>
            <w:hideMark/>
          </w:tcPr>
          <w:p w14:paraId="2D3BFC23" w14:textId="77777777" w:rsidR="000F1C75" w:rsidRPr="007C2F16" w:rsidRDefault="000F1C75" w:rsidP="000F1C7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
        </w:tc>
        <w:tc>
          <w:tcPr>
            <w:tcW w:w="907" w:type="dxa"/>
            <w:noWrap/>
            <w:hideMark/>
          </w:tcPr>
          <w:p w14:paraId="714491BF" w14:textId="77777777" w:rsidR="000F1C75" w:rsidRPr="007C2F16" w:rsidRDefault="000F1C75" w:rsidP="000F1C7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p>
        </w:tc>
        <w:tc>
          <w:tcPr>
            <w:tcW w:w="907" w:type="dxa"/>
            <w:noWrap/>
            <w:hideMark/>
          </w:tcPr>
          <w:p w14:paraId="6E982DB7" w14:textId="77777777" w:rsidR="000F1C75" w:rsidRPr="007C2F16" w:rsidRDefault="000F1C75" w:rsidP="000F1C7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p>
        </w:tc>
        <w:tc>
          <w:tcPr>
            <w:tcW w:w="907" w:type="dxa"/>
            <w:noWrap/>
            <w:hideMark/>
          </w:tcPr>
          <w:p w14:paraId="5F1EC3E2" w14:textId="77777777" w:rsidR="000F1C75" w:rsidRPr="007C2F16" w:rsidRDefault="000F1C75" w:rsidP="000F1C7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p>
        </w:tc>
        <w:tc>
          <w:tcPr>
            <w:tcW w:w="907" w:type="dxa"/>
            <w:noWrap/>
            <w:hideMark/>
          </w:tcPr>
          <w:p w14:paraId="3A4D9F6D" w14:textId="77777777" w:rsidR="000F1C75" w:rsidRPr="007C2F16" w:rsidRDefault="000F1C75" w:rsidP="000F1C7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p>
        </w:tc>
        <w:tc>
          <w:tcPr>
            <w:tcW w:w="907" w:type="dxa"/>
            <w:noWrap/>
            <w:hideMark/>
          </w:tcPr>
          <w:p w14:paraId="4EE9E8C5" w14:textId="77777777" w:rsidR="000F1C75" w:rsidRPr="007C2F16" w:rsidRDefault="000F1C75" w:rsidP="000F1C7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p>
        </w:tc>
        <w:tc>
          <w:tcPr>
            <w:tcW w:w="907" w:type="dxa"/>
            <w:noWrap/>
            <w:hideMark/>
          </w:tcPr>
          <w:p w14:paraId="7E93B50A" w14:textId="77777777" w:rsidR="000F1C75" w:rsidRPr="007C2F16" w:rsidRDefault="000F1C75" w:rsidP="000F1C7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p>
        </w:tc>
        <w:tc>
          <w:tcPr>
            <w:tcW w:w="907" w:type="dxa"/>
            <w:noWrap/>
            <w:hideMark/>
          </w:tcPr>
          <w:p w14:paraId="03953AEB" w14:textId="77777777" w:rsidR="000F1C75" w:rsidRPr="007C2F16" w:rsidRDefault="000F1C75" w:rsidP="000F1C7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p>
        </w:tc>
      </w:tr>
      <w:tr w:rsidR="000F1C75" w:rsidRPr="007C2F16" w14:paraId="2D9CAA97" w14:textId="77777777" w:rsidTr="000F1C7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9" w:type="dxa"/>
            <w:noWrap/>
            <w:hideMark/>
          </w:tcPr>
          <w:p w14:paraId="5CD1C589" w14:textId="77777777" w:rsidR="000F1C75" w:rsidRPr="007C2F16" w:rsidRDefault="000F1C75" w:rsidP="000F1C75">
            <w:pPr>
              <w:spacing w:after="0"/>
              <w:jc w:val="left"/>
              <w:rPr>
                <w:rFonts w:eastAsia="Times New Roman" w:cstheme="minorHAnsi"/>
                <w:color w:val="000000"/>
                <w:sz w:val="18"/>
                <w:szCs w:val="18"/>
                <w:lang w:eastAsia="cs-CZ"/>
              </w:rPr>
            </w:pPr>
            <w:bookmarkStart w:id="86" w:name="_Hlk46236438"/>
            <w:r w:rsidRPr="007C2F16">
              <w:rPr>
                <w:rFonts w:eastAsia="Times New Roman" w:cstheme="minorHAnsi"/>
                <w:color w:val="000000"/>
                <w:sz w:val="18"/>
                <w:szCs w:val="18"/>
                <w:lang w:eastAsia="cs-CZ"/>
              </w:rPr>
              <w:lastRenderedPageBreak/>
              <w:t>82510</w:t>
            </w:r>
            <w:r w:rsidR="0087252E">
              <w:rPr>
                <w:rFonts w:eastAsia="Times New Roman" w:cstheme="minorHAnsi"/>
                <w:color w:val="000000"/>
                <w:sz w:val="18"/>
                <w:szCs w:val="18"/>
                <w:lang w:eastAsia="cs-CZ"/>
              </w:rPr>
              <w:t xml:space="preserve"> </w:t>
            </w:r>
            <w:r>
              <w:rPr>
                <w:rFonts w:eastAsia="Times New Roman" w:cstheme="minorHAnsi"/>
                <w:color w:val="000000"/>
                <w:sz w:val="18"/>
                <w:szCs w:val="18"/>
                <w:lang w:eastAsia="cs-CZ"/>
              </w:rPr>
              <w:t>–</w:t>
            </w:r>
            <w:r w:rsidR="0087252E">
              <w:rPr>
                <w:rFonts w:eastAsia="Times New Roman" w:cstheme="minorHAnsi"/>
                <w:color w:val="000000"/>
                <w:sz w:val="18"/>
                <w:szCs w:val="18"/>
                <w:lang w:eastAsia="cs-CZ"/>
              </w:rPr>
              <w:t xml:space="preserve"> </w:t>
            </w:r>
            <w:r w:rsidRPr="007C2F16">
              <w:rPr>
                <w:rFonts w:eastAsia="Times New Roman" w:cstheme="minorHAnsi"/>
                <w:color w:val="000000"/>
                <w:sz w:val="18"/>
                <w:szCs w:val="18"/>
                <w:lang w:eastAsia="cs-CZ"/>
              </w:rPr>
              <w:t>Míra stabilizace zaměstnanců implementační struktury</w:t>
            </w:r>
            <w:bookmarkEnd w:id="86"/>
          </w:p>
        </w:tc>
        <w:tc>
          <w:tcPr>
            <w:tcW w:w="907" w:type="dxa"/>
            <w:noWrap/>
            <w:hideMark/>
          </w:tcPr>
          <w:p w14:paraId="7693EFC2" w14:textId="77777777" w:rsidR="000F1C75" w:rsidRPr="007C2F16" w:rsidRDefault="000F1C75" w:rsidP="000F1C7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cs-CZ"/>
              </w:rPr>
            </w:pPr>
            <w:r w:rsidRPr="007C2F16">
              <w:rPr>
                <w:rFonts w:eastAsia="Times New Roman" w:cstheme="minorHAnsi"/>
                <w:color w:val="000000"/>
                <w:sz w:val="20"/>
                <w:szCs w:val="20"/>
                <w:lang w:eastAsia="cs-CZ"/>
              </w:rPr>
              <w:t>x</w:t>
            </w:r>
          </w:p>
        </w:tc>
        <w:tc>
          <w:tcPr>
            <w:tcW w:w="907" w:type="dxa"/>
            <w:noWrap/>
            <w:hideMark/>
          </w:tcPr>
          <w:p w14:paraId="2461E143" w14:textId="77777777" w:rsidR="000F1C75" w:rsidRPr="007C2F16" w:rsidRDefault="000F1C75" w:rsidP="000F1C7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cs-CZ"/>
              </w:rPr>
            </w:pPr>
            <w:r w:rsidRPr="007C2F16">
              <w:rPr>
                <w:rFonts w:eastAsia="Times New Roman" w:cstheme="minorHAnsi"/>
                <w:color w:val="000000"/>
                <w:sz w:val="20"/>
                <w:szCs w:val="20"/>
                <w:lang w:eastAsia="cs-CZ"/>
              </w:rPr>
              <w:t>X</w:t>
            </w:r>
          </w:p>
        </w:tc>
        <w:tc>
          <w:tcPr>
            <w:tcW w:w="907" w:type="dxa"/>
            <w:noWrap/>
            <w:hideMark/>
          </w:tcPr>
          <w:p w14:paraId="5A0B7D83" w14:textId="77777777" w:rsidR="000F1C75" w:rsidRPr="007C2F16" w:rsidRDefault="000F1C75" w:rsidP="000F1C7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cs-CZ"/>
              </w:rPr>
            </w:pPr>
          </w:p>
        </w:tc>
        <w:tc>
          <w:tcPr>
            <w:tcW w:w="907" w:type="dxa"/>
            <w:noWrap/>
            <w:hideMark/>
          </w:tcPr>
          <w:p w14:paraId="05DAF0F2" w14:textId="77777777" w:rsidR="000F1C75" w:rsidRPr="007C2F16" w:rsidRDefault="000F1C75" w:rsidP="000F1C7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cs-CZ"/>
              </w:rPr>
            </w:pPr>
            <w:r w:rsidRPr="007C2F16">
              <w:rPr>
                <w:rFonts w:eastAsia="Times New Roman" w:cstheme="minorHAnsi"/>
                <w:color w:val="000000"/>
                <w:sz w:val="20"/>
                <w:szCs w:val="20"/>
                <w:lang w:eastAsia="cs-CZ"/>
              </w:rPr>
              <w:t>x</w:t>
            </w:r>
          </w:p>
        </w:tc>
        <w:tc>
          <w:tcPr>
            <w:tcW w:w="907" w:type="dxa"/>
            <w:noWrap/>
            <w:hideMark/>
          </w:tcPr>
          <w:p w14:paraId="3B5A2C09" w14:textId="77777777" w:rsidR="000F1C75" w:rsidRPr="007C2F16" w:rsidRDefault="000F1C75" w:rsidP="000F1C7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cs-CZ"/>
              </w:rPr>
            </w:pPr>
            <w:r w:rsidRPr="007C2F16">
              <w:rPr>
                <w:rFonts w:eastAsia="Times New Roman" w:cstheme="minorHAnsi"/>
                <w:color w:val="000000"/>
                <w:sz w:val="20"/>
                <w:szCs w:val="20"/>
                <w:lang w:eastAsia="cs-CZ"/>
              </w:rPr>
              <w:t>x</w:t>
            </w:r>
          </w:p>
        </w:tc>
        <w:tc>
          <w:tcPr>
            <w:tcW w:w="907" w:type="dxa"/>
            <w:noWrap/>
            <w:hideMark/>
          </w:tcPr>
          <w:p w14:paraId="0D5830FC" w14:textId="77777777" w:rsidR="000F1C75" w:rsidRPr="007C2F16" w:rsidRDefault="000F1C75" w:rsidP="000F1C7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cs-CZ"/>
              </w:rPr>
            </w:pPr>
            <w:r w:rsidRPr="007C2F16">
              <w:rPr>
                <w:rFonts w:eastAsia="Times New Roman" w:cstheme="minorHAnsi"/>
                <w:color w:val="000000"/>
                <w:sz w:val="20"/>
                <w:szCs w:val="20"/>
                <w:lang w:eastAsia="cs-CZ"/>
              </w:rPr>
              <w:t>x</w:t>
            </w:r>
          </w:p>
        </w:tc>
        <w:tc>
          <w:tcPr>
            <w:tcW w:w="907" w:type="dxa"/>
            <w:noWrap/>
            <w:hideMark/>
          </w:tcPr>
          <w:p w14:paraId="0B5BF39D" w14:textId="77777777" w:rsidR="000F1C75" w:rsidRPr="007C2F16" w:rsidRDefault="000F1C75" w:rsidP="000F1C7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cs-CZ"/>
              </w:rPr>
            </w:pPr>
            <w:r w:rsidRPr="007C2F16">
              <w:rPr>
                <w:rFonts w:eastAsia="Times New Roman" w:cstheme="minorHAnsi"/>
                <w:color w:val="000000"/>
                <w:sz w:val="20"/>
                <w:szCs w:val="20"/>
                <w:lang w:eastAsia="cs-CZ"/>
              </w:rPr>
              <w:t>x</w:t>
            </w:r>
          </w:p>
        </w:tc>
        <w:tc>
          <w:tcPr>
            <w:tcW w:w="907" w:type="dxa"/>
            <w:noWrap/>
            <w:hideMark/>
          </w:tcPr>
          <w:p w14:paraId="619D8D20" w14:textId="77777777" w:rsidR="000F1C75" w:rsidRPr="007C2F16" w:rsidRDefault="000F1C75" w:rsidP="000F1C7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cs-CZ"/>
              </w:rPr>
            </w:pPr>
            <w:r w:rsidRPr="007C2F16">
              <w:rPr>
                <w:rFonts w:eastAsia="Times New Roman" w:cstheme="minorHAnsi"/>
                <w:color w:val="000000"/>
                <w:sz w:val="20"/>
                <w:szCs w:val="20"/>
                <w:lang w:eastAsia="cs-CZ"/>
              </w:rPr>
              <w:t>x</w:t>
            </w:r>
          </w:p>
        </w:tc>
        <w:tc>
          <w:tcPr>
            <w:tcW w:w="907" w:type="dxa"/>
            <w:noWrap/>
            <w:hideMark/>
          </w:tcPr>
          <w:p w14:paraId="743BDC37" w14:textId="77777777" w:rsidR="000F1C75" w:rsidRPr="007C2F16" w:rsidRDefault="000F1C75" w:rsidP="000F1C7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cs-CZ"/>
              </w:rPr>
            </w:pPr>
            <w:r w:rsidRPr="007C2F16">
              <w:rPr>
                <w:rFonts w:eastAsia="Times New Roman" w:cstheme="minorHAnsi"/>
                <w:color w:val="000000"/>
                <w:sz w:val="20"/>
                <w:szCs w:val="20"/>
                <w:lang w:eastAsia="cs-CZ"/>
              </w:rPr>
              <w:t>x</w:t>
            </w:r>
          </w:p>
        </w:tc>
        <w:tc>
          <w:tcPr>
            <w:tcW w:w="907" w:type="dxa"/>
            <w:noWrap/>
            <w:hideMark/>
          </w:tcPr>
          <w:p w14:paraId="377C10C8" w14:textId="77777777" w:rsidR="000F1C75" w:rsidRPr="007C2F16" w:rsidRDefault="000F1C75" w:rsidP="000F1C7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cs-CZ"/>
              </w:rPr>
            </w:pPr>
          </w:p>
        </w:tc>
      </w:tr>
      <w:tr w:rsidR="000F1C75" w:rsidRPr="007C2F16" w14:paraId="720D3127" w14:textId="77777777" w:rsidTr="000F1C75">
        <w:trPr>
          <w:trHeight w:val="288"/>
        </w:trPr>
        <w:tc>
          <w:tcPr>
            <w:cnfStyle w:val="001000000000" w:firstRow="0" w:lastRow="0" w:firstColumn="1" w:lastColumn="0" w:oddVBand="0" w:evenVBand="0" w:oddHBand="0" w:evenHBand="0" w:firstRowFirstColumn="0" w:firstRowLastColumn="0" w:lastRowFirstColumn="0" w:lastRowLastColumn="0"/>
            <w:tcW w:w="1839" w:type="dxa"/>
            <w:noWrap/>
            <w:hideMark/>
          </w:tcPr>
          <w:p w14:paraId="6E4925D7" w14:textId="77777777" w:rsidR="000F1C75" w:rsidRPr="007C2F16" w:rsidRDefault="000F1C75" w:rsidP="000F1C75">
            <w:pPr>
              <w:spacing w:after="0"/>
              <w:jc w:val="left"/>
              <w:rPr>
                <w:rFonts w:eastAsia="Times New Roman" w:cstheme="minorHAnsi"/>
                <w:color w:val="000000"/>
                <w:sz w:val="18"/>
                <w:szCs w:val="18"/>
                <w:lang w:eastAsia="cs-CZ"/>
              </w:rPr>
            </w:pPr>
            <w:bookmarkStart w:id="87" w:name="_Hlk46236448"/>
            <w:r w:rsidRPr="007C2F16">
              <w:rPr>
                <w:rFonts w:eastAsia="Times New Roman" w:cstheme="minorHAnsi"/>
                <w:color w:val="000000"/>
                <w:sz w:val="18"/>
                <w:szCs w:val="18"/>
                <w:lang w:eastAsia="cs-CZ"/>
              </w:rPr>
              <w:t>82520</w:t>
            </w:r>
            <w:r w:rsidR="0087252E">
              <w:rPr>
                <w:rFonts w:eastAsia="Times New Roman" w:cstheme="minorHAnsi"/>
                <w:color w:val="000000"/>
                <w:sz w:val="18"/>
                <w:szCs w:val="18"/>
                <w:lang w:eastAsia="cs-CZ"/>
              </w:rPr>
              <w:t xml:space="preserve"> </w:t>
            </w:r>
            <w:r>
              <w:rPr>
                <w:rFonts w:eastAsia="Times New Roman" w:cstheme="minorHAnsi"/>
                <w:color w:val="000000"/>
                <w:sz w:val="18"/>
                <w:szCs w:val="18"/>
                <w:lang w:eastAsia="cs-CZ"/>
              </w:rPr>
              <w:t>–</w:t>
            </w:r>
            <w:r w:rsidR="0087252E">
              <w:rPr>
                <w:rFonts w:eastAsia="Times New Roman" w:cstheme="minorHAnsi"/>
                <w:color w:val="000000"/>
                <w:sz w:val="18"/>
                <w:szCs w:val="18"/>
                <w:lang w:eastAsia="cs-CZ"/>
              </w:rPr>
              <w:t xml:space="preserve"> </w:t>
            </w:r>
            <w:r w:rsidRPr="007C2F16">
              <w:rPr>
                <w:rFonts w:eastAsia="Times New Roman" w:cstheme="minorHAnsi"/>
                <w:color w:val="000000"/>
                <w:sz w:val="18"/>
                <w:szCs w:val="18"/>
                <w:lang w:eastAsia="cs-CZ"/>
              </w:rPr>
              <w:t>Počet trvale zaměstnaných pracovníků implementační struktury</w:t>
            </w:r>
            <w:bookmarkEnd w:id="87"/>
          </w:p>
        </w:tc>
        <w:tc>
          <w:tcPr>
            <w:tcW w:w="907" w:type="dxa"/>
            <w:noWrap/>
            <w:hideMark/>
          </w:tcPr>
          <w:p w14:paraId="073D91C9" w14:textId="77777777" w:rsidR="000F1C75" w:rsidRPr="007C2F16" w:rsidRDefault="000F1C75" w:rsidP="000F1C7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C2F16">
              <w:rPr>
                <w:rFonts w:eastAsia="Times New Roman" w:cstheme="minorHAnsi"/>
                <w:color w:val="000000"/>
                <w:sz w:val="20"/>
                <w:szCs w:val="20"/>
                <w:lang w:eastAsia="cs-CZ"/>
              </w:rPr>
              <w:t>x</w:t>
            </w:r>
          </w:p>
        </w:tc>
        <w:tc>
          <w:tcPr>
            <w:tcW w:w="907" w:type="dxa"/>
            <w:noWrap/>
            <w:hideMark/>
          </w:tcPr>
          <w:p w14:paraId="600E760D" w14:textId="77777777" w:rsidR="000F1C75" w:rsidRPr="007C2F16" w:rsidRDefault="000F1C75" w:rsidP="000F1C7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C2F16">
              <w:rPr>
                <w:rFonts w:eastAsia="Times New Roman" w:cstheme="minorHAnsi"/>
                <w:color w:val="000000"/>
                <w:sz w:val="20"/>
                <w:szCs w:val="20"/>
                <w:lang w:eastAsia="cs-CZ"/>
              </w:rPr>
              <w:t>(x)</w:t>
            </w:r>
          </w:p>
        </w:tc>
        <w:tc>
          <w:tcPr>
            <w:tcW w:w="907" w:type="dxa"/>
            <w:noWrap/>
            <w:hideMark/>
          </w:tcPr>
          <w:p w14:paraId="25D3CD1B" w14:textId="77777777" w:rsidR="000F1C75" w:rsidRPr="007C2F16" w:rsidRDefault="000F1C75" w:rsidP="000F1C7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C2F16">
              <w:rPr>
                <w:rFonts w:eastAsia="Times New Roman" w:cstheme="minorHAnsi"/>
                <w:color w:val="000000"/>
                <w:sz w:val="20"/>
                <w:szCs w:val="20"/>
                <w:lang w:eastAsia="cs-CZ"/>
              </w:rPr>
              <w:t>x</w:t>
            </w:r>
          </w:p>
        </w:tc>
        <w:tc>
          <w:tcPr>
            <w:tcW w:w="907" w:type="dxa"/>
            <w:noWrap/>
            <w:hideMark/>
          </w:tcPr>
          <w:p w14:paraId="49704C5D" w14:textId="77777777" w:rsidR="000F1C75" w:rsidRPr="007C2F16" w:rsidRDefault="000F1C75" w:rsidP="000F1C7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
        </w:tc>
        <w:tc>
          <w:tcPr>
            <w:tcW w:w="907" w:type="dxa"/>
            <w:noWrap/>
            <w:hideMark/>
          </w:tcPr>
          <w:p w14:paraId="742E7787" w14:textId="77777777" w:rsidR="000F1C75" w:rsidRPr="007C2F16" w:rsidRDefault="000F1C75" w:rsidP="000F1C7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p>
        </w:tc>
        <w:tc>
          <w:tcPr>
            <w:tcW w:w="907" w:type="dxa"/>
            <w:noWrap/>
            <w:hideMark/>
          </w:tcPr>
          <w:p w14:paraId="35AC7DE4" w14:textId="77777777" w:rsidR="000F1C75" w:rsidRPr="007C2F16" w:rsidRDefault="000F1C75" w:rsidP="000F1C7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p>
        </w:tc>
        <w:tc>
          <w:tcPr>
            <w:tcW w:w="907" w:type="dxa"/>
            <w:noWrap/>
            <w:hideMark/>
          </w:tcPr>
          <w:p w14:paraId="35665371" w14:textId="77777777" w:rsidR="000F1C75" w:rsidRPr="007C2F16" w:rsidRDefault="000F1C75" w:rsidP="000F1C7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p>
        </w:tc>
        <w:tc>
          <w:tcPr>
            <w:tcW w:w="907" w:type="dxa"/>
            <w:noWrap/>
            <w:hideMark/>
          </w:tcPr>
          <w:p w14:paraId="319BF80F" w14:textId="77777777" w:rsidR="000F1C75" w:rsidRPr="007C2F16" w:rsidRDefault="000F1C75" w:rsidP="000F1C7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p>
        </w:tc>
        <w:tc>
          <w:tcPr>
            <w:tcW w:w="907" w:type="dxa"/>
            <w:noWrap/>
            <w:hideMark/>
          </w:tcPr>
          <w:p w14:paraId="47882167" w14:textId="77777777" w:rsidR="000F1C75" w:rsidRPr="007C2F16" w:rsidRDefault="000F1C75" w:rsidP="000F1C7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p>
        </w:tc>
        <w:tc>
          <w:tcPr>
            <w:tcW w:w="907" w:type="dxa"/>
            <w:noWrap/>
            <w:hideMark/>
          </w:tcPr>
          <w:p w14:paraId="4C7650F9" w14:textId="77777777" w:rsidR="000F1C75" w:rsidRPr="007C2F16" w:rsidRDefault="000F1C75" w:rsidP="000F1C7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p>
        </w:tc>
      </w:tr>
    </w:tbl>
    <w:p w14:paraId="7F23970E" w14:textId="77777777" w:rsidR="000F1C75" w:rsidRDefault="000F1C75" w:rsidP="000F1C75">
      <w:pPr>
        <w:rPr>
          <w:i/>
          <w:iCs/>
        </w:rPr>
      </w:pPr>
      <w:r>
        <w:rPr>
          <w:i/>
          <w:iCs/>
        </w:rPr>
        <w:t xml:space="preserve">Zdroj: Vlastní zpracování na základě programových dokumentů OP a </w:t>
      </w:r>
      <w:r w:rsidRPr="007C2F16">
        <w:rPr>
          <w:i/>
          <w:iCs/>
        </w:rPr>
        <w:t>Čtvrtletní zprávy o implementaci ESI fondů v ČR za I. čtvrtletí 2020</w:t>
      </w:r>
    </w:p>
    <w:p w14:paraId="1366F7E3" w14:textId="77777777" w:rsidR="000F1C75" w:rsidRDefault="000F1C75" w:rsidP="000F1C75">
      <w:pPr>
        <w:rPr>
          <w:i/>
          <w:iCs/>
        </w:rPr>
      </w:pPr>
      <w:r>
        <w:rPr>
          <w:i/>
          <w:iCs/>
        </w:rPr>
        <w:t>*interní indikátor, není uveden v programovém dokumentu OP PIK.</w:t>
      </w:r>
    </w:p>
    <w:p w14:paraId="7040866B" w14:textId="77777777" w:rsidR="000F1C75" w:rsidRPr="007C2F16" w:rsidRDefault="000F1C75" w:rsidP="000F1C75"/>
    <w:p w14:paraId="7671B798" w14:textId="77777777" w:rsidR="000F1C75" w:rsidRDefault="000F1C75" w:rsidP="000F1C75">
      <w:r>
        <w:t>Z tabulky výše je zřejmé, že TP v OP PIK využívá nanejvýš průměrný počet indikátorů výsledku. V programu jsou monitorovány dva hlavní indikátory výsledku, stejně jako v případě programů IROP, OPVVV, OPZ, OPD nebo OPPPR (v OP PIK jsou navíc využívány další dva interní indikátory</w:t>
      </w:r>
      <w:r w:rsidR="0087252E">
        <w:t xml:space="preserve"> </w:t>
      </w:r>
      <w:r>
        <w:t>–</w:t>
      </w:r>
      <w:r w:rsidR="0087252E">
        <w:t xml:space="preserve"> </w:t>
      </w:r>
      <w:r>
        <w:t>evaluátor ale nemá informaci o tom, zda jsou takové indikátory využívány také v jiných operačních programech). Jde o indikátory, které jsou využívány často také jinými programy</w:t>
      </w:r>
      <w:r w:rsidR="00A07DC7">
        <w:t xml:space="preserve"> </w:t>
      </w:r>
      <w:r>
        <w:t>–</w:t>
      </w:r>
      <w:r w:rsidR="00A07DC7">
        <w:t xml:space="preserve"> </w:t>
      </w:r>
      <w:r>
        <w:t xml:space="preserve">především jde </w:t>
      </w:r>
      <w:r w:rsidR="0087252E">
        <w:br/>
      </w:r>
      <w:r>
        <w:t>o indikátor stabilizace zaměstnanců implementační struktury (82510) a úspěšnosti projektových žádostí. Ostatní operační programy využívají větší počet indikátorů, s výjimkou OPR, který nevyužívá žádný indikátor. S ohledem na jejich specifičnost nebyly do analýzy zahrnuty přeshraniční OP.</w:t>
      </w:r>
    </w:p>
    <w:p w14:paraId="039D44D3" w14:textId="77777777" w:rsidR="000F1C75" w:rsidRDefault="000F1C75" w:rsidP="000F1C75">
      <w:r>
        <w:t xml:space="preserve">Na rozdíl od některých dalších OP (OPTP, OPŽP a také PRV s výrazně nižší absolutní i relativní alokací na TP) není v OP PIK využit žádný indikátor specificky zaměřený na efektivitu propagačních </w:t>
      </w:r>
      <w:r w:rsidR="0087252E">
        <w:br/>
      </w:r>
      <w:r>
        <w:t>a komunikačních aktivit, tedy informovanost cílových skupin o projektech/programu.</w:t>
      </w:r>
    </w:p>
    <w:p w14:paraId="4365F6D8" w14:textId="77777777" w:rsidR="000F1C75" w:rsidRDefault="000F1C75" w:rsidP="000F1C75"/>
    <w:p w14:paraId="39BB8C0B" w14:textId="77777777" w:rsidR="000F1C75" w:rsidRDefault="000F1C75" w:rsidP="000F1C75">
      <w:pPr>
        <w:pStyle w:val="Nadpis6"/>
      </w:pPr>
      <w:r>
        <w:t>Relevance monitorovacích indikátorů ve vztahu k cílům TP</w:t>
      </w:r>
    </w:p>
    <w:p w14:paraId="6AF85816" w14:textId="77777777" w:rsidR="000F1C75" w:rsidRDefault="000F1C75" w:rsidP="000F1C75">
      <w:r>
        <w:t>Každý se stanovených specifických cílů je monitorován jedním hlavním a jedním interním monitorovacím indikátorem na úrovni výsledku.</w:t>
      </w:r>
    </w:p>
    <w:p w14:paraId="545838E1" w14:textId="77777777" w:rsidR="000F1C75" w:rsidRDefault="000F1C75" w:rsidP="000F1C75">
      <w:pPr>
        <w:rPr>
          <w:u w:val="single"/>
        </w:rPr>
      </w:pPr>
      <w:bookmarkStart w:id="88" w:name="_Hlk46236664"/>
      <w:r w:rsidRPr="00C42030">
        <w:rPr>
          <w:u w:val="single"/>
        </w:rPr>
        <w:t>Specifick</w:t>
      </w:r>
      <w:r>
        <w:rPr>
          <w:u w:val="single"/>
        </w:rPr>
        <w:t xml:space="preserve">ý cíl 5.1: </w:t>
      </w:r>
      <w:r w:rsidRPr="00C42030">
        <w:rPr>
          <w:u w:val="single"/>
        </w:rPr>
        <w:t>Zajištění efektivního řízení a administrace operačního programu</w:t>
      </w:r>
      <w:bookmarkEnd w:id="88"/>
    </w:p>
    <w:p w14:paraId="578AF75D" w14:textId="77777777" w:rsidR="000F1C75" w:rsidRDefault="000F1C75" w:rsidP="000F1C75">
      <w:r>
        <w:t>Pro specifický cíl byly stanoveny indikátory:</w:t>
      </w:r>
    </w:p>
    <w:p w14:paraId="09408CA5" w14:textId="77777777" w:rsidR="000F1C75" w:rsidRDefault="000F1C75" w:rsidP="000F1C75">
      <w:pPr>
        <w:pStyle w:val="Odstavecseseznamem"/>
        <w:numPr>
          <w:ilvl w:val="0"/>
          <w:numId w:val="14"/>
        </w:numPr>
        <w:spacing w:after="160" w:line="259" w:lineRule="auto"/>
        <w:jc w:val="left"/>
      </w:pPr>
      <w:bookmarkStart w:id="89" w:name="_Hlk46236730"/>
      <w:r w:rsidRPr="00C42030">
        <w:t>Míra</w:t>
      </w:r>
      <w:r>
        <w:t xml:space="preserve"> stabilizace zaměstnanců implementační struktury (v %)</w:t>
      </w:r>
      <w:r w:rsidR="00927DC4">
        <w:t>.</w:t>
      </w:r>
    </w:p>
    <w:p w14:paraId="0C6051F6" w14:textId="77777777" w:rsidR="000F1C75" w:rsidRDefault="000F1C75" w:rsidP="000F1C75">
      <w:pPr>
        <w:pStyle w:val="Odstavecseseznamem"/>
        <w:numPr>
          <w:ilvl w:val="0"/>
          <w:numId w:val="14"/>
        </w:numPr>
        <w:spacing w:after="160" w:line="259" w:lineRule="auto"/>
        <w:jc w:val="left"/>
      </w:pPr>
      <w:r>
        <w:t>Počet trvale zaměstnaných pracovníků implementační struktury (FTE)</w:t>
      </w:r>
      <w:bookmarkEnd w:id="89"/>
      <w:r w:rsidR="00927DC4">
        <w:t>.</w:t>
      </w:r>
    </w:p>
    <w:p w14:paraId="663510CC" w14:textId="77777777" w:rsidR="000F1C75" w:rsidRDefault="000F1C75" w:rsidP="000F1C75">
      <w:r>
        <w:t xml:space="preserve">Kvantifikace tohoto specifického cíle se proto zaměřuje především na personální kapacitu TP a její stabilitu. Je zřejmé, že dostatečná kapacita TP je nezbytnou podmínkou pro zajištění efektivního řízení a administrace OP, jde ale spíše o výchozí podmínku, nikoliv indikátor, který by popisoval, zda je cíl skutečně naplňován. Hlavní indikátor výsledku provázaný s daným SC monitoruje stabilitu personální kapacity. Stabilní implementační struktura s dostatečně nízkou fluktuací (tedy dostatečný podíl pracovníků, kteří v řídící struktuře OP pracují alespoň 3 roky) představuje určitý proxy indikátor, který může částečně poskytovat informace o efektivitě řízení a administrace OP. Intervenční logika TP </w:t>
      </w:r>
      <w:r>
        <w:lastRenderedPageBreak/>
        <w:t>vychází z předpokladu, že pracovníci s delší dobou působení na ŘO jsou kvalifikovanější a disponují zkušenostmi s řízením a podporují tak efektivitu řízení a administrace OP.</w:t>
      </w:r>
    </w:p>
    <w:p w14:paraId="1CD2586C" w14:textId="53C21423" w:rsidR="000F1C75" w:rsidRDefault="0083559D" w:rsidP="000F1C75">
      <w:bookmarkStart w:id="90" w:name="_Hlk46237000"/>
      <w:r>
        <w:t>Vzhledem k tomu</w:t>
      </w:r>
      <w:r w:rsidR="000F1C75">
        <w:t>, že Národní číselník indikátorů ani jiné OP žádný monitorovací indikátor, který by bezprostředně měřil efektivitu řízení a administrace, neformulují</w:t>
      </w:r>
      <w:r>
        <w:t>, nebyl žádný takový indikátor, který by efektivitu řízení a administrace programu kvantifikoval a bezprostředně měřil</w:t>
      </w:r>
      <w:r w:rsidR="00927DC4">
        <w:t>,</w:t>
      </w:r>
      <w:r>
        <w:t xml:space="preserve"> formulován </w:t>
      </w:r>
      <w:r w:rsidR="00927DC4">
        <w:br/>
      </w:r>
      <w:r>
        <w:t>ani v</w:t>
      </w:r>
      <w:r w:rsidR="00E52B39">
        <w:t> </w:t>
      </w:r>
      <w:r>
        <w:t>OP</w:t>
      </w:r>
      <w:r w:rsidR="00E52B39">
        <w:t xml:space="preserve"> </w:t>
      </w:r>
      <w:r>
        <w:t>PIK</w:t>
      </w:r>
      <w:r w:rsidR="000F1C75">
        <w:t xml:space="preserve">. </w:t>
      </w:r>
      <w:bookmarkEnd w:id="90"/>
    </w:p>
    <w:p w14:paraId="4C96F9CE" w14:textId="77777777" w:rsidR="000F1C75" w:rsidRDefault="000F1C75" w:rsidP="000F1C75">
      <w:r>
        <w:t>Plnění cíle v</w:t>
      </w:r>
      <w:r w:rsidR="0083559D">
        <w:t> této</w:t>
      </w:r>
      <w:r>
        <w:t> situaci, kdy nelze aplikovat jednoznačně definovanou metriku (indikátor, který by odpovídal kritériím SMART) je proto nutné analyzovat ad-hoc analýzou (evaluací). Monitorovací systém neposkytuje dostatek informací pro bezprostřední měření naplňování cíle. Případná analýza efektivity řízení a administrace by se proto musela spoléhat na ad-hoc formulovanou metodiku měření, která by mohla využívat (mimo výsledků monitoringu indikátoru stabilizace zaměstnanců) následující data:</w:t>
      </w:r>
    </w:p>
    <w:p w14:paraId="56FA341E" w14:textId="71B8096C" w:rsidR="000F1C75" w:rsidRDefault="000F1C75" w:rsidP="000F1C75">
      <w:pPr>
        <w:pStyle w:val="Odstavecseseznamem"/>
        <w:numPr>
          <w:ilvl w:val="0"/>
          <w:numId w:val="14"/>
        </w:numPr>
        <w:spacing w:after="160" w:line="259" w:lineRule="auto"/>
        <w:jc w:val="left"/>
      </w:pPr>
      <w:r>
        <w:t>Kvantifikace dob zpracování jednotlivých úkonů souvisejících s řízením a administrací programu a (především) jejich dlouhodobý trend (částečně analyzováno v následujících EO)</w:t>
      </w:r>
      <w:r w:rsidR="00927DC4">
        <w:t>.</w:t>
      </w:r>
    </w:p>
    <w:p w14:paraId="57AE4C65" w14:textId="3C4E776F" w:rsidR="000F1C75" w:rsidRDefault="000F1C75" w:rsidP="000F1C75">
      <w:pPr>
        <w:pStyle w:val="Odstavecseseznamem"/>
        <w:numPr>
          <w:ilvl w:val="0"/>
          <w:numId w:val="14"/>
        </w:numPr>
        <w:spacing w:after="160" w:line="259" w:lineRule="auto"/>
        <w:jc w:val="left"/>
      </w:pPr>
      <w:bookmarkStart w:id="91" w:name="_Hlk46237069"/>
      <w:r>
        <w:t>Výsledky realizovaných externích kontrol</w:t>
      </w:r>
      <w:r w:rsidR="0083559D">
        <w:t xml:space="preserve"> a auditů řízení programu ze strany relevantních subjektů – Ministerstvo financí, NKÚ, Evropská komise, atd.</w:t>
      </w:r>
      <w:r>
        <w:t xml:space="preserve"> (chybovost)</w:t>
      </w:r>
      <w:r w:rsidR="00927DC4">
        <w:t>.</w:t>
      </w:r>
    </w:p>
    <w:p w14:paraId="54B5B54D" w14:textId="77777777" w:rsidR="000F1C75" w:rsidRDefault="000F1C75" w:rsidP="000F1C75">
      <w:pPr>
        <w:pStyle w:val="Odstavecseseznamem"/>
        <w:numPr>
          <w:ilvl w:val="0"/>
          <w:numId w:val="14"/>
        </w:numPr>
        <w:spacing w:after="160" w:line="259" w:lineRule="auto"/>
        <w:jc w:val="left"/>
      </w:pPr>
      <w:r>
        <w:t>Primární data ve vztahu k</w:t>
      </w:r>
      <w:r w:rsidR="00927DC4">
        <w:t>e</w:t>
      </w:r>
      <w:r>
        <w:t> spokojenosti žadatelů/příjemců s řízením a administrací programu</w:t>
      </w:r>
      <w:bookmarkEnd w:id="91"/>
      <w:r w:rsidR="00927DC4">
        <w:t>.</w:t>
      </w:r>
    </w:p>
    <w:p w14:paraId="59F9396A" w14:textId="77777777" w:rsidR="000F1C75" w:rsidRDefault="000F1C75" w:rsidP="000F1C75">
      <w:pPr>
        <w:pStyle w:val="Odstavecseseznamem"/>
        <w:numPr>
          <w:ilvl w:val="0"/>
          <w:numId w:val="14"/>
        </w:numPr>
        <w:spacing w:after="160" w:line="259" w:lineRule="auto"/>
        <w:jc w:val="left"/>
      </w:pPr>
      <w:r>
        <w:t>Primární data ve vztahu k</w:t>
      </w:r>
      <w:r w:rsidR="00927DC4">
        <w:t>e</w:t>
      </w:r>
      <w:r>
        <w:t> spokojenosti zaměstnanců ŘO (alternativa k indikátoru 82110, který nebyl zaveden)</w:t>
      </w:r>
      <w:r w:rsidR="00927DC4">
        <w:t>.</w:t>
      </w:r>
    </w:p>
    <w:p w14:paraId="491C8DAB" w14:textId="77777777" w:rsidR="000F1C75" w:rsidRDefault="000F1C75" w:rsidP="000F1C75">
      <w:pPr>
        <w:pStyle w:val="Odstavecseseznamem"/>
        <w:numPr>
          <w:ilvl w:val="0"/>
          <w:numId w:val="14"/>
        </w:numPr>
        <w:spacing w:after="160" w:line="259" w:lineRule="auto"/>
        <w:jc w:val="left"/>
      </w:pPr>
      <w:r>
        <w:t>Atd.</w:t>
      </w:r>
    </w:p>
    <w:p w14:paraId="6773C41E" w14:textId="77777777" w:rsidR="000F1C75" w:rsidRDefault="000F1C75" w:rsidP="000F1C75">
      <w:r>
        <w:t>Analýza tohoto typu by byla také velmi vhodným podkladem pro nastavení TP a obecněji procesů řízení a administrace budoucího OP.</w:t>
      </w:r>
    </w:p>
    <w:p w14:paraId="5F379B6C" w14:textId="77777777" w:rsidR="000F1C75" w:rsidRDefault="000F1C75" w:rsidP="000F1C75"/>
    <w:p w14:paraId="735266FB" w14:textId="77777777" w:rsidR="000F1C75" w:rsidRDefault="000F1C75" w:rsidP="000F1C75">
      <w:r>
        <w:t xml:space="preserve">Indikátory výstupu jsou primárně formulovány na úrovni IP (a jsou tak podrobněji analyzovány v následujících EO), mají ale částečnou vypovídající hodnotu také při měření míry, do které je dosahováno </w:t>
      </w:r>
      <w:r w:rsidR="00927DC4">
        <w:t xml:space="preserve">pomocí </w:t>
      </w:r>
      <w:r>
        <w:t>formulovaných očekávaných výsledků. Analýza relevance indikátorů ve vztahu k očekávaným výsledkům je proto zpracována níže:</w:t>
      </w:r>
    </w:p>
    <w:p w14:paraId="3B45A8D7" w14:textId="76A55916" w:rsidR="000F1C75" w:rsidRDefault="000F1C75" w:rsidP="000F1C75">
      <w:pPr>
        <w:pStyle w:val="Titulek"/>
      </w:pPr>
      <w:bookmarkStart w:id="92" w:name="_Toc45657606"/>
      <w:bookmarkStart w:id="93" w:name="_Toc50456778"/>
      <w:r>
        <w:lastRenderedPageBreak/>
        <w:t xml:space="preserve">Obrázek </w:t>
      </w:r>
      <w:r w:rsidR="00C050DB">
        <w:fldChar w:fldCharType="begin"/>
      </w:r>
      <w:r w:rsidR="00C050DB">
        <w:instrText xml:space="preserve"> SEQ Obrázek \* ARABIC </w:instrText>
      </w:r>
      <w:r w:rsidR="00C050DB">
        <w:fldChar w:fldCharType="separate"/>
      </w:r>
      <w:r w:rsidR="00E96F43">
        <w:rPr>
          <w:noProof/>
        </w:rPr>
        <w:t>1</w:t>
      </w:r>
      <w:r w:rsidR="00C050DB">
        <w:rPr>
          <w:noProof/>
        </w:rPr>
        <w:fldChar w:fldCharType="end"/>
      </w:r>
      <w:r>
        <w:rPr>
          <w:noProof/>
          <w:lang w:eastAsia="cs-CZ"/>
        </w:rPr>
        <w:drawing>
          <wp:anchor distT="0" distB="0" distL="114300" distR="114300" simplePos="0" relativeHeight="251658752" behindDoc="1" locked="0" layoutInCell="1" allowOverlap="1" wp14:anchorId="38E6524B" wp14:editId="76EFC6DB">
            <wp:simplePos x="0" y="0"/>
            <wp:positionH relativeFrom="column">
              <wp:posOffset>-671195</wp:posOffset>
            </wp:positionH>
            <wp:positionV relativeFrom="paragraph">
              <wp:posOffset>414020</wp:posOffset>
            </wp:positionV>
            <wp:extent cx="7078980" cy="5048250"/>
            <wp:effectExtent l="0" t="0" r="7620" b="0"/>
            <wp:wrapTight wrapText="bothSides">
              <wp:wrapPolygon edited="0">
                <wp:start x="0" y="0"/>
                <wp:lineTo x="0" y="21518"/>
                <wp:lineTo x="21565" y="21518"/>
                <wp:lineTo x="21565" y="0"/>
                <wp:lineTo x="0" y="0"/>
              </wp:wrapPolygon>
            </wp:wrapTight>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78980" cy="5048250"/>
                    </a:xfrm>
                    <a:prstGeom prst="rect">
                      <a:avLst/>
                    </a:prstGeom>
                    <a:noFill/>
                    <a:ln>
                      <a:noFill/>
                    </a:ln>
                  </pic:spPr>
                </pic:pic>
              </a:graphicData>
            </a:graphic>
          </wp:anchor>
        </w:drawing>
      </w:r>
      <w:r>
        <w:t>: Propojení cílů a výsledků TP s indikátory, SC 5.1</w:t>
      </w:r>
      <w:bookmarkEnd w:id="92"/>
      <w:bookmarkEnd w:id="93"/>
    </w:p>
    <w:p w14:paraId="7A6B0B1B" w14:textId="77777777" w:rsidR="000F1C75" w:rsidRPr="006F5A57" w:rsidRDefault="000F1C75" w:rsidP="000F1C75">
      <w:pPr>
        <w:rPr>
          <w:i/>
          <w:iCs/>
        </w:rPr>
      </w:pPr>
      <w:r>
        <w:rPr>
          <w:i/>
          <w:iCs/>
        </w:rPr>
        <w:t xml:space="preserve">Zdroj: Vlastní zpracování </w:t>
      </w:r>
    </w:p>
    <w:p w14:paraId="77960430" w14:textId="77777777" w:rsidR="000F1C75" w:rsidRDefault="000F1C75" w:rsidP="000F1C75"/>
    <w:p w14:paraId="512BAF88" w14:textId="77777777" w:rsidR="000F1C75" w:rsidRDefault="000F1C75" w:rsidP="000F1C75">
      <w:r>
        <w:t xml:space="preserve">Z diagramu výše je patrné, že plnění většiny očekávaných výsledků je možné, alespoň v omezenější míře, monitorovat prostřednictvím indikátorů výstupů. Ty jsou ovšem agregovány na úrovni IP </w:t>
      </w:r>
      <w:r w:rsidR="00927DC4">
        <w:br/>
      </w:r>
      <w:r>
        <w:t>a nemají schopnost zachytit, zda skutečně dochází k naplňování daného výsledku</w:t>
      </w:r>
      <w:r w:rsidR="00927DC4">
        <w:t xml:space="preserve"> </w:t>
      </w:r>
      <w:r>
        <w:t>–</w:t>
      </w:r>
      <w:r w:rsidR="00927DC4">
        <w:t xml:space="preserve"> </w:t>
      </w:r>
      <w:r>
        <w:t>zachycují pouze informaci, zda jsou implementovány aktivity, které by k naplnění daného výsledku měly vést.</w:t>
      </w:r>
    </w:p>
    <w:p w14:paraId="13F9C542" w14:textId="77777777" w:rsidR="000F1C75" w:rsidRDefault="000F1C75" w:rsidP="000F1C75"/>
    <w:p w14:paraId="70112813" w14:textId="77777777" w:rsidR="000F1C75" w:rsidRDefault="000F1C75" w:rsidP="000F1C75">
      <w:pPr>
        <w:rPr>
          <w:u w:val="single"/>
        </w:rPr>
      </w:pPr>
      <w:r w:rsidRPr="00C42030">
        <w:rPr>
          <w:u w:val="single"/>
        </w:rPr>
        <w:t>S</w:t>
      </w:r>
      <w:bookmarkStart w:id="94" w:name="_Hlk46237105"/>
      <w:r w:rsidRPr="00C42030">
        <w:rPr>
          <w:u w:val="single"/>
        </w:rPr>
        <w:t>pecifick</w:t>
      </w:r>
      <w:r>
        <w:rPr>
          <w:u w:val="single"/>
        </w:rPr>
        <w:t xml:space="preserve">ý cíl 5.2: </w:t>
      </w:r>
      <w:r w:rsidRPr="00733D52">
        <w:rPr>
          <w:u w:val="single"/>
        </w:rPr>
        <w:t>Zajištění informovanosti, publicity a absorpční kapacity operačního programu</w:t>
      </w:r>
      <w:bookmarkEnd w:id="94"/>
    </w:p>
    <w:p w14:paraId="5D3B5C75" w14:textId="77777777" w:rsidR="000F1C75" w:rsidRDefault="000F1C75" w:rsidP="000F1C75">
      <w:r>
        <w:t xml:space="preserve">Pro specifický cíl byly formulovány (resp. zvoleny z NČI) následující indikátory: </w:t>
      </w:r>
    </w:p>
    <w:p w14:paraId="4956E293" w14:textId="77777777" w:rsidR="000F1C75" w:rsidRDefault="000F1C75" w:rsidP="000F1C75">
      <w:pPr>
        <w:pStyle w:val="Odstavecseseznamem"/>
        <w:numPr>
          <w:ilvl w:val="0"/>
          <w:numId w:val="14"/>
        </w:numPr>
        <w:spacing w:after="160" w:line="259" w:lineRule="auto"/>
        <w:jc w:val="left"/>
      </w:pPr>
      <w:bookmarkStart w:id="95" w:name="_Hlk46237161"/>
      <w:r>
        <w:t>Míra úspěšnosti projektových žádostí (v %)</w:t>
      </w:r>
      <w:r w:rsidR="00F24755">
        <w:t xml:space="preserve"> </w:t>
      </w:r>
      <w:r>
        <w:t>–</w:t>
      </w:r>
      <w:r w:rsidR="00F24755">
        <w:t xml:space="preserve"> </w:t>
      </w:r>
      <w:r>
        <w:t>hlavní indikátor</w:t>
      </w:r>
      <w:r w:rsidR="00927DC4">
        <w:t>.</w:t>
      </w:r>
    </w:p>
    <w:p w14:paraId="253EF4B9" w14:textId="77777777" w:rsidR="000F1C75" w:rsidRDefault="000F1C75" w:rsidP="000F1C75">
      <w:pPr>
        <w:pStyle w:val="Odstavecseseznamem"/>
        <w:numPr>
          <w:ilvl w:val="0"/>
          <w:numId w:val="14"/>
        </w:numPr>
        <w:spacing w:after="160" w:line="259" w:lineRule="auto"/>
        <w:jc w:val="left"/>
      </w:pPr>
      <w:r>
        <w:t>Míra čerpání prostředků programu (v %)</w:t>
      </w:r>
      <w:r w:rsidR="00F24755">
        <w:t xml:space="preserve"> </w:t>
      </w:r>
      <w:r>
        <w:t>–</w:t>
      </w:r>
      <w:r w:rsidR="00F24755">
        <w:t xml:space="preserve"> </w:t>
      </w:r>
      <w:r>
        <w:t>interní indikátor.</w:t>
      </w:r>
      <w:bookmarkEnd w:id="95"/>
    </w:p>
    <w:p w14:paraId="7B3F3671" w14:textId="77777777" w:rsidR="000F1C75" w:rsidRDefault="000F1C75" w:rsidP="000F1C75">
      <w:r>
        <w:t xml:space="preserve">Kvantifikace specifického cíle se tedy zaměřuje na kvalitu předložených žádostí o podporu </w:t>
      </w:r>
      <w:r w:rsidR="00927DC4">
        <w:br/>
      </w:r>
      <w:r>
        <w:t xml:space="preserve">a absorpční kapacitu programu. Implicitně předpokládá, že v důsledku aktivit zaměřených </w:t>
      </w:r>
      <w:r w:rsidR="00927DC4">
        <w:br/>
      </w:r>
      <w:r>
        <w:t>na informovanost cílové skupiny</w:t>
      </w:r>
      <w:r w:rsidR="00F24755">
        <w:t xml:space="preserve"> </w:t>
      </w:r>
      <w:r>
        <w:t>–</w:t>
      </w:r>
      <w:r w:rsidR="00F24755">
        <w:t xml:space="preserve"> </w:t>
      </w:r>
      <w:r>
        <w:t xml:space="preserve">tedy (potenciálních) žadatelů budou předkládané žádosti kvalitněji </w:t>
      </w:r>
      <w:r>
        <w:lastRenderedPageBreak/>
        <w:t xml:space="preserve">zpracované, a tedy nebudou vyřazovány v prvním kole hodnocení (hodnocení formálních náležitostí/přijatelnosti). Tyto indikátory tedy alespoň zčásti kvantifikují </w:t>
      </w:r>
      <w:bookmarkStart w:id="96" w:name="_Hlk46237286"/>
      <w:r>
        <w:t>především část cíle zajištění informovanosti a absorpční kapacity programu.</w:t>
      </w:r>
      <w:bookmarkEnd w:id="96"/>
      <w:r>
        <w:t xml:space="preserve"> Co se týče cíle zajištění publicity programu, ten není ve zvolených indikátorech ani omezeně reflektován. Absorpční kapacita OP sice alespoň zčásti závisí na realizovaných aktivitách v oblasti publicity, nejde ale o jedinou podmínku absorpce a tato kauzální vazba je velmi nepřímá (dostatečná absorpční kapacita vyjadřuje skutečnost, že množina žadatelů </w:t>
      </w:r>
      <w:r w:rsidR="00927DC4">
        <w:br/>
      </w:r>
      <w:r>
        <w:t>o podporu je dostatečná k vyčerpání alokace programu</w:t>
      </w:r>
      <w:r w:rsidR="00F24755">
        <w:t xml:space="preserve"> </w:t>
      </w:r>
      <w:r>
        <w:t>–</w:t>
      </w:r>
      <w:r w:rsidR="00F24755">
        <w:t xml:space="preserve"> </w:t>
      </w:r>
      <w:r>
        <w:t xml:space="preserve">z toho ale nelze přímo usuzovat, zda cílová skupina jako celek je o existenci programu a jeho účelu i přínosech pro cílovou skupinu dostatečně informovaná). Deficit monitorovacího systému TP v oblasti publicity se, mimo jiné, projevuje také tím, že (jak je zřejmé z tabulky výše) monitoring, na rozdíl od některých jiných OP, nezahrnuje indikátory výsledku </w:t>
      </w:r>
      <w:bookmarkStart w:id="97" w:name="_Hlk46237564"/>
      <w:r>
        <w:t>80110 a 80120</w:t>
      </w:r>
      <w:bookmarkEnd w:id="97"/>
      <w:r>
        <w:t>, které se právě na operacionalizaci výsledků TP v oblasti publicity zaměřují (kvantifikace hodnot indikátoru probíhají s dvouletou periodicitou prostřednictvím dotazníkového šetření).</w:t>
      </w:r>
    </w:p>
    <w:p w14:paraId="43189A11" w14:textId="265236DE" w:rsidR="000F1C75" w:rsidRDefault="000F1C75" w:rsidP="000F1C75">
      <w:r>
        <w:t>I v případě SC 5.2 je</w:t>
      </w:r>
      <w:r w:rsidR="00927DC4">
        <w:t xml:space="preserve"> tedy</w:t>
      </w:r>
      <w:r>
        <w:t xml:space="preserve"> nutné uvést, že monitorovací systém neposkytuje dostatečné informace k vyhodnocení efektivnosti, tedy skutečnosti, zda je SC naplňován. I v tomto případě je proto vhodné realizovat ad-hoc analýzy zaměřené na vyhodnocení</w:t>
      </w:r>
      <w:r w:rsidR="1AA88917">
        <w:t>,</w:t>
      </w:r>
      <w:r>
        <w:t xml:space="preserve"> zda a jakým způsobem implementace IP v SC 5.2 naplňuje formulovaný cíl. Základem takového hodnocení by přitom byl sběr primárních dat </w:t>
      </w:r>
      <w:r w:rsidR="00927DC4">
        <w:br/>
      </w:r>
      <w:r>
        <w:t>od potenciálních žadatelů o znalosti programu jako takového (tedy obdoba indikátorů 80110/80120) a od žadatelů o kvalitě informovanosti o podmínkách OP a procesu žádosti o podporu.</w:t>
      </w:r>
    </w:p>
    <w:p w14:paraId="21DB5253" w14:textId="77777777" w:rsidR="000F1C75" w:rsidRDefault="000F1C75" w:rsidP="000F1C75"/>
    <w:p w14:paraId="75F1ECF3" w14:textId="77777777" w:rsidR="000F1C75" w:rsidRDefault="000F1C75" w:rsidP="000F1C75">
      <w:r>
        <w:t>Analýza relevance indikátorů ve vztahu k očekávaným výsledkům je zpracována obdobně jako v případě SC 5.1 v grafu níže:</w:t>
      </w:r>
    </w:p>
    <w:p w14:paraId="5D1C2C53" w14:textId="5175364F" w:rsidR="000F1C75" w:rsidRDefault="000F1C75" w:rsidP="000F1C75">
      <w:pPr>
        <w:pStyle w:val="Titulek"/>
      </w:pPr>
      <w:bookmarkStart w:id="98" w:name="_Toc45657607"/>
      <w:bookmarkStart w:id="99" w:name="_Toc50456779"/>
      <w:r>
        <w:lastRenderedPageBreak/>
        <w:t xml:space="preserve">Obrázek </w:t>
      </w:r>
      <w:r w:rsidR="00C050DB">
        <w:fldChar w:fldCharType="begin"/>
      </w:r>
      <w:r w:rsidR="00C050DB">
        <w:instrText xml:space="preserve"> SEQ Obrázek \* ARABIC </w:instrText>
      </w:r>
      <w:r w:rsidR="00C050DB">
        <w:fldChar w:fldCharType="separate"/>
      </w:r>
      <w:r w:rsidR="00E96F43">
        <w:rPr>
          <w:noProof/>
        </w:rPr>
        <w:t>2</w:t>
      </w:r>
      <w:r w:rsidR="00C050DB">
        <w:rPr>
          <w:noProof/>
        </w:rPr>
        <w:fldChar w:fldCharType="end"/>
      </w:r>
      <w:r>
        <w:t>: Propojení cílů a výsledků TP s indikátory, SC 5.2</w:t>
      </w:r>
      <w:bookmarkEnd w:id="98"/>
      <w:bookmarkEnd w:id="99"/>
    </w:p>
    <w:p w14:paraId="1CDD4458" w14:textId="77777777" w:rsidR="000F1C75" w:rsidRDefault="000F1C75" w:rsidP="000F1C75">
      <w:r>
        <w:rPr>
          <w:noProof/>
          <w:lang w:eastAsia="cs-CZ"/>
        </w:rPr>
        <w:drawing>
          <wp:anchor distT="0" distB="0" distL="114300" distR="114300" simplePos="0" relativeHeight="251665920" behindDoc="0" locked="0" layoutInCell="1" allowOverlap="1" wp14:anchorId="67ACC7ED" wp14:editId="6A7EBF6A">
            <wp:simplePos x="0" y="0"/>
            <wp:positionH relativeFrom="column">
              <wp:posOffset>-503555</wp:posOffset>
            </wp:positionH>
            <wp:positionV relativeFrom="paragraph">
              <wp:posOffset>0</wp:posOffset>
            </wp:positionV>
            <wp:extent cx="6732905" cy="4602480"/>
            <wp:effectExtent l="0" t="0" r="0" b="7620"/>
            <wp:wrapSquare wrapText="bothSides"/>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32905" cy="4602480"/>
                    </a:xfrm>
                    <a:prstGeom prst="rect">
                      <a:avLst/>
                    </a:prstGeom>
                    <a:noFill/>
                    <a:ln>
                      <a:noFill/>
                    </a:ln>
                  </pic:spPr>
                </pic:pic>
              </a:graphicData>
            </a:graphic>
          </wp:anchor>
        </w:drawing>
      </w:r>
    </w:p>
    <w:p w14:paraId="6F93B5CA" w14:textId="77777777" w:rsidR="000F1C75" w:rsidRPr="006F5A57" w:rsidRDefault="000F1C75" w:rsidP="000F1C75">
      <w:pPr>
        <w:rPr>
          <w:i/>
          <w:iCs/>
        </w:rPr>
      </w:pPr>
      <w:r>
        <w:rPr>
          <w:i/>
          <w:iCs/>
        </w:rPr>
        <w:t xml:space="preserve">Zdroj: Vlastní zpracování </w:t>
      </w:r>
    </w:p>
    <w:p w14:paraId="10B1EDB6" w14:textId="77777777" w:rsidR="000F1C75" w:rsidRDefault="000F1C75" w:rsidP="000F1C75"/>
    <w:p w14:paraId="14F9252E" w14:textId="77777777" w:rsidR="000F1C75" w:rsidRDefault="000F1C75" w:rsidP="000F1C75">
      <w:r>
        <w:t>Z </w:t>
      </w:r>
      <w:r w:rsidR="563E135A">
        <w:t xml:space="preserve">diagramu </w:t>
      </w:r>
      <w:r>
        <w:t>je zřejmé, že všechny očekávané výsledky jsou monitorovány na úrovni výstupů. Zároveň je také zřejmé, že jednotlivé očekávané výsledky mají silnější vazbu na úrovni indikátorů výsledků–část z nich de facto představuje dílčí formulaci Specifického cíle a jeho kauzalit.</w:t>
      </w:r>
    </w:p>
    <w:p w14:paraId="351402D2" w14:textId="77777777" w:rsidR="000F1C75" w:rsidRDefault="000F1C75" w:rsidP="000F1C75"/>
    <w:p w14:paraId="5BBCF31A" w14:textId="77777777" w:rsidR="000F1C75" w:rsidRDefault="000F1C75" w:rsidP="000F1C75">
      <w:pPr>
        <w:pStyle w:val="Nadpis6"/>
      </w:pPr>
      <w:r>
        <w:t>Nastavení cílových hodnot</w:t>
      </w:r>
    </w:p>
    <w:p w14:paraId="7AC70ADA" w14:textId="77777777" w:rsidR="000F1C75" w:rsidRDefault="000F1C75" w:rsidP="000F1C75">
      <w:r>
        <w:t xml:space="preserve">Cílové hodnoty byly nastaveny na základě zkušeností s předchozího PO. V některých případech ale došlo, dle pracovníků ŘO, po vzájemných konzultacích s NOK i EK ke (spíše arbitrárnímu) zvýšení cílové hodnoty, a tedy ambice TP. To se týká indikátoru stabilizace zaměstnanců implementační struktury, jejíž výchozí hodnota (v roce 2014) činila 53 %, cílová hodnota daného indikátoru ovšem byla arbitrárně zvýšena o 12 p. b. Skutečné plnění tohoto indikátoru je na výrazně nižší úrovni </w:t>
      </w:r>
      <w:r w:rsidR="00927DC4">
        <w:br/>
      </w:r>
      <w:r>
        <w:t>a prozatím nedosahuje ani výchozí hodnoty (s výjimkou v roku 2018). Cílová hodnota daného indikátoru tedy spíše nebyla nastavena adekvátně a prozatím je spíše méně pravděpodobné, že bude dosažena.</w:t>
      </w:r>
    </w:p>
    <w:p w14:paraId="40F8484E" w14:textId="77777777" w:rsidR="000F1C75" w:rsidRDefault="000F1C75" w:rsidP="000F1C75">
      <w:r>
        <w:lastRenderedPageBreak/>
        <w:t>Na úrovni indikátorů výstupu došlo, jak již bylo uvedeno, ke změnám cílových hodnot u dvou hlavních indikátorů</w:t>
      </w:r>
      <w:r w:rsidR="0040067C">
        <w:t xml:space="preserve"> </w:t>
      </w:r>
      <w:r>
        <w:t>–</w:t>
      </w:r>
      <w:r w:rsidR="0040067C">
        <w:t xml:space="preserve"> </w:t>
      </w:r>
      <w:r>
        <w:t>tedy takových, které jsou uvedeny v programovém dokumentu a změna cílové hodnoty tak musela být předmětem revize programu. Významné z pohledu stanovení cílových hodnot bylo především snížení cílové hodnoty počtu uskutečněných kontrol na místě o třetinu</w:t>
      </w:r>
      <w:r w:rsidR="0040067C">
        <w:t xml:space="preserve"> </w:t>
      </w:r>
      <w:r>
        <w:t>–</w:t>
      </w:r>
      <w:r w:rsidR="0040067C">
        <w:t xml:space="preserve"> </w:t>
      </w:r>
      <w:r>
        <w:t xml:space="preserve">tedy z původních 2400 na 1600. Důvodem tohoto snížení byla skutečnost, že administrace kontroly na místě zabírá </w:t>
      </w:r>
      <w:r w:rsidR="00927DC4">
        <w:br/>
      </w:r>
      <w:r>
        <w:t>(dle pracovníků ŘO mimo jiné také z důvodu změn metodických požadavků) výrazně vyšší čas, než bylo při kalkulaci cílové hodnoty předpokládáno. V tomto smyslu tedy nebyla původní cílová hodnota nastavena adekvátně. Po její revizi (snížení na 1600) lze, na základě dosavadních zkušeností s implementací, očekávat její dosažení</w:t>
      </w:r>
      <w:r w:rsidR="0040067C">
        <w:t xml:space="preserve"> </w:t>
      </w:r>
      <w:r>
        <w:t>–</w:t>
      </w:r>
      <w:r w:rsidR="0040067C">
        <w:t xml:space="preserve"> </w:t>
      </w:r>
      <w:r>
        <w:t>ovšem za předpokladu zvýšení počtu realizovaných kontrol za rok v následujícím období.</w:t>
      </w:r>
    </w:p>
    <w:p w14:paraId="0FFA9C99" w14:textId="77777777" w:rsidR="000F1C75" w:rsidRPr="000F1C75" w:rsidRDefault="000F1C75" w:rsidP="000F1C75">
      <w:pPr>
        <w:rPr>
          <w:lang w:val="fr-FR" w:eastAsia="cs-CZ"/>
        </w:rPr>
      </w:pPr>
      <w:r>
        <w:t xml:space="preserve">S ohledem na nízký pokrok v implementaci některých IP je také spíše málo pravděpodobné, že bude dosaženo cílových hodnot interních indikátorů vztažených k nákupu materiálů, zboží a služeb. </w:t>
      </w:r>
      <w:r w:rsidR="00927DC4">
        <w:br/>
      </w:r>
      <w:r>
        <w:t>U ostatních monitorovacích indikátorů lze cílové hodnoty považovat za spíše adekvátně nastavené.</w:t>
      </w:r>
    </w:p>
    <w:p w14:paraId="1C565F45" w14:textId="77777777" w:rsidR="005C425E" w:rsidRDefault="005C425E" w:rsidP="00C173BC">
      <w:pPr>
        <w:pStyle w:val="Nadpis1"/>
        <w:rPr>
          <w:snapToGrid w:val="0"/>
          <w:lang w:val="fr-FR"/>
        </w:rPr>
      </w:pPr>
      <w:bookmarkStart w:id="100" w:name="_Toc50456789"/>
      <w:r>
        <w:rPr>
          <w:snapToGrid w:val="0"/>
          <w:lang w:val="fr-FR"/>
        </w:rPr>
        <w:lastRenderedPageBreak/>
        <w:t>Doplňující informace k EO 9</w:t>
      </w:r>
      <w:bookmarkEnd w:id="100"/>
    </w:p>
    <w:p w14:paraId="38918AB2" w14:textId="77777777" w:rsidR="000F1C75" w:rsidRDefault="000F1C75" w:rsidP="000F1C75">
      <w:pPr>
        <w:pStyle w:val="Nadpis6"/>
        <w:rPr>
          <w:rFonts w:eastAsiaTheme="majorEastAsia"/>
        </w:rPr>
      </w:pPr>
      <w:r>
        <w:rPr>
          <w:rFonts w:eastAsiaTheme="majorEastAsia"/>
        </w:rPr>
        <w:t>Čerpání limitů výdajů interními projekty TP</w:t>
      </w:r>
    </w:p>
    <w:p w14:paraId="4282A415" w14:textId="785F59C0" w:rsidR="000F1C75" w:rsidRDefault="000F1C75" w:rsidP="000F1C75">
      <w:pPr>
        <w:rPr>
          <w:rFonts w:cstheme="minorHAnsi"/>
        </w:rPr>
      </w:pPr>
      <w:r>
        <w:t xml:space="preserve">Alokace na technickou pomoc OP PIK činí 2,9 % z celkové alokace programu, tj. 147,8 mil. EUR </w:t>
      </w:r>
      <w:r w:rsidR="00927DC4">
        <w:br/>
      </w:r>
      <w:r>
        <w:t>(</w:t>
      </w:r>
      <w:r>
        <w:rPr>
          <w:rFonts w:cstheme="minorHAnsi"/>
        </w:rPr>
        <w:t>125 600 816 EUR z ERDF a 15% spolufinancování ze státního rozpočtu). Podíl TP na celkové alokaci programu vycházel ze zkušeností s TP OP</w:t>
      </w:r>
      <w:r w:rsidR="00E52B39">
        <w:rPr>
          <w:rFonts w:cstheme="minorHAnsi"/>
        </w:rPr>
        <w:t xml:space="preserve"> </w:t>
      </w:r>
      <w:r>
        <w:rPr>
          <w:rFonts w:cstheme="minorHAnsi"/>
        </w:rPr>
        <w:t xml:space="preserve">PI (detailně viz EO 5). </w:t>
      </w:r>
    </w:p>
    <w:p w14:paraId="28DD962B" w14:textId="3B0FADBA" w:rsidR="000F1C75" w:rsidRDefault="000F1C75" w:rsidP="000F1C75">
      <w:pPr>
        <w:rPr>
          <w:rFonts w:ascii="Calibri" w:eastAsia="Times New Roman" w:hAnsi="Calibri" w:cs="Calibri"/>
          <w:color w:val="000000"/>
          <w:lang w:eastAsia="cs-CZ"/>
        </w:rPr>
      </w:pPr>
      <w:r>
        <w:rPr>
          <w:rFonts w:cstheme="minorHAnsi"/>
        </w:rPr>
        <w:t>Čerpání této alokace je stejně jako v</w:t>
      </w:r>
      <w:r w:rsidR="00E52B39">
        <w:rPr>
          <w:rFonts w:cstheme="minorHAnsi"/>
        </w:rPr>
        <w:t> </w:t>
      </w:r>
      <w:r>
        <w:rPr>
          <w:rFonts w:cstheme="minorHAnsi"/>
        </w:rPr>
        <w:t>OP</w:t>
      </w:r>
      <w:r w:rsidR="00E52B39">
        <w:rPr>
          <w:rFonts w:cstheme="minorHAnsi"/>
        </w:rPr>
        <w:t xml:space="preserve"> </w:t>
      </w:r>
      <w:r>
        <w:rPr>
          <w:rFonts w:cstheme="minorHAnsi"/>
        </w:rPr>
        <w:t>PI zajišťováno skrze IP. Oproti předchozímu programovacímu období však výrazně klesl počet připravovaných IP. Pro období 2016</w:t>
      </w:r>
      <w:r w:rsidR="00927DC4">
        <w:rPr>
          <w:rFonts w:cstheme="minorHAnsi"/>
        </w:rPr>
        <w:t xml:space="preserve"> </w:t>
      </w:r>
      <w:r>
        <w:rPr>
          <w:rFonts w:cstheme="minorHAnsi"/>
        </w:rPr>
        <w:t>-</w:t>
      </w:r>
      <w:r w:rsidR="00927DC4">
        <w:rPr>
          <w:rFonts w:cstheme="minorHAnsi"/>
        </w:rPr>
        <w:t xml:space="preserve"> </w:t>
      </w:r>
      <w:r>
        <w:rPr>
          <w:rFonts w:cstheme="minorHAnsi"/>
        </w:rPr>
        <w:t xml:space="preserve">2018 jich bylo připraveno 17 (viz tabulka níže), pro další 3leté období je v realizaci 21 projektů. Stanovení limitů výdajů pro tyto projekty však nevychází z ex ante analýzy, ale limity byly určeny na základě odhadů a zkušeností z předchozího programovacího období. Výjimkou jsou pouze projekty zaměřené na osobní náklady </w:t>
      </w:r>
      <w:r w:rsidR="00927DC4">
        <w:rPr>
          <w:rFonts w:cstheme="minorHAnsi"/>
        </w:rPr>
        <w:br/>
      </w:r>
      <w:r>
        <w:rPr>
          <w:rFonts w:cstheme="minorHAnsi"/>
        </w:rPr>
        <w:t xml:space="preserve">a provozní výdaje, kde finanční limity vycházely z kalkulací těchto nákladů v předchozích letech. Proto jsou tyto IP právě těmi, u nichž se podařilo vyčerpat většinu stanoveného limitu, a to v případě IP MPO_Osobní náklady 74,4 %, u ZS_Provozní výdaje 92,5 % až 99,7 % projektů ZS_Osobní náklady. </w:t>
      </w:r>
      <w:r w:rsidR="0012794A">
        <w:rPr>
          <w:rFonts w:cstheme="minorHAnsi"/>
        </w:rPr>
        <w:br/>
      </w:r>
      <w:r>
        <w:rPr>
          <w:rFonts w:cstheme="minorHAnsi"/>
        </w:rPr>
        <w:t>U ostatních projektů byly limity výdajů výrazně nadhodnoceny a skutečné čerpání se oproti plánovanému pohybuje 4,2 % (</w:t>
      </w:r>
      <w:r>
        <w:rPr>
          <w:rFonts w:ascii="Calibri" w:eastAsia="Times New Roman" w:hAnsi="Calibri" w:cs="Calibri"/>
          <w:color w:val="000000"/>
          <w:lang w:eastAsia="cs-CZ"/>
        </w:rPr>
        <w:t>MPO_Platformy, kulaté stoly, pracovní skupiny) a 62,5 % (</w:t>
      </w:r>
      <w:r>
        <w:rPr>
          <w:rFonts w:ascii="Calibri" w:eastAsia="Times New Roman" w:hAnsi="Calibri" w:cs="Calibri"/>
          <w:bCs/>
          <w:color w:val="000000"/>
          <w:lang w:eastAsia="cs-CZ"/>
        </w:rPr>
        <w:t>ZS_</w:t>
      </w:r>
      <w:r>
        <w:rPr>
          <w:rFonts w:ascii="Calibri" w:eastAsia="Times New Roman" w:hAnsi="Calibri" w:cs="Calibri"/>
          <w:color w:val="000000"/>
          <w:lang w:eastAsia="cs-CZ"/>
        </w:rPr>
        <w:t>Kancelářská a provozní technika). Vyšší míru čerpání prokázaly IP ZS, které průměrně vyčerpaly 63 %. Nejnižší míra čerpání činila 32,7 % u projektu ZS_Externí služby. Naopak průměrné čerpání u IP ŘO činí 32,4 % a nejnižší čerpání 4,2 % u IP MPO_Platformy, kulaté stoly, pracovní skupiny. Z realizovaných řízených rozhovorů vyplynulo, že nedočerpání limitů výdajů souvisí s výběrovými řízeními, která se buď protáhla do období 2019</w:t>
      </w:r>
      <w:r w:rsidR="0012794A">
        <w:rPr>
          <w:rFonts w:ascii="Calibri" w:eastAsia="Times New Roman" w:hAnsi="Calibri" w:cs="Calibri"/>
          <w:color w:val="000000"/>
          <w:lang w:eastAsia="cs-CZ"/>
        </w:rPr>
        <w:t xml:space="preserve"> </w:t>
      </w:r>
      <w:r>
        <w:rPr>
          <w:rFonts w:ascii="Calibri" w:eastAsia="Times New Roman" w:hAnsi="Calibri" w:cs="Calibri"/>
          <w:color w:val="000000"/>
          <w:lang w:eastAsia="cs-CZ"/>
        </w:rPr>
        <w:t>-</w:t>
      </w:r>
      <w:r w:rsidR="0012794A">
        <w:rPr>
          <w:rFonts w:ascii="Calibri" w:eastAsia="Times New Roman" w:hAnsi="Calibri" w:cs="Calibri"/>
          <w:color w:val="000000"/>
          <w:lang w:eastAsia="cs-CZ"/>
        </w:rPr>
        <w:t xml:space="preserve"> </w:t>
      </w:r>
      <w:r>
        <w:rPr>
          <w:rFonts w:ascii="Calibri" w:eastAsia="Times New Roman" w:hAnsi="Calibri" w:cs="Calibri"/>
          <w:color w:val="000000"/>
          <w:lang w:eastAsia="cs-CZ"/>
        </w:rPr>
        <w:t>2021 a náklady tedy budou čerpány v dalších, návazných projektech, nebo se nepodařilo vybrat dodavatele a VZ musel být vypisována znovu. Tento příklad se týká např. IP ZS_Publicita. V důsledku plánovaného VŘ byl dokonce limit výdajů v průběhu realizace projektu navýšen, nicméně nedošlo k jeho vyčerpání právě díky problémům spojených s VZ.</w:t>
      </w:r>
    </w:p>
    <w:p w14:paraId="57D6AF9C" w14:textId="5BF0F98C" w:rsidR="000F1C75" w:rsidRDefault="000F1C75" w:rsidP="000F1C75">
      <w:pPr>
        <w:pStyle w:val="Titulek"/>
        <w:rPr>
          <w:color w:val="1F497D" w:themeColor="text2"/>
        </w:rPr>
      </w:pPr>
      <w:bookmarkStart w:id="101" w:name="_Toc45657574"/>
      <w:bookmarkStart w:id="102" w:name="_Toc50456751"/>
      <w:bookmarkStart w:id="103" w:name="_Hlk46238328"/>
      <w:r>
        <w:t xml:space="preserve">Tabulka </w:t>
      </w:r>
      <w:r w:rsidR="00C050DB">
        <w:fldChar w:fldCharType="begin"/>
      </w:r>
      <w:r w:rsidR="00C050DB">
        <w:instrText xml:space="preserve"> SEQ Tabulka \* ARABIC </w:instrText>
      </w:r>
      <w:r w:rsidR="00C050DB">
        <w:fldChar w:fldCharType="separate"/>
      </w:r>
      <w:r w:rsidR="00E96F43">
        <w:rPr>
          <w:noProof/>
        </w:rPr>
        <w:t>18</w:t>
      </w:r>
      <w:r w:rsidR="00C050DB">
        <w:rPr>
          <w:noProof/>
        </w:rPr>
        <w:fldChar w:fldCharType="end"/>
      </w:r>
      <w:r>
        <w:t>: IP pro období 2016</w:t>
      </w:r>
      <w:r w:rsidR="0012794A">
        <w:t xml:space="preserve"> </w:t>
      </w:r>
      <w:r>
        <w:t>-</w:t>
      </w:r>
      <w:r w:rsidR="0012794A">
        <w:t xml:space="preserve"> </w:t>
      </w:r>
      <w:r>
        <w:t>2018 realizované ŘO a ZS</w:t>
      </w:r>
      <w:bookmarkEnd w:id="101"/>
      <w:bookmarkEnd w:id="102"/>
    </w:p>
    <w:tbl>
      <w:tblPr>
        <w:tblStyle w:val="Styl1"/>
        <w:tblW w:w="5000" w:type="pct"/>
        <w:tblLook w:val="04A0" w:firstRow="1" w:lastRow="0" w:firstColumn="1" w:lastColumn="0" w:noHBand="0" w:noVBand="1"/>
      </w:tblPr>
      <w:tblGrid>
        <w:gridCol w:w="5319"/>
        <w:gridCol w:w="1430"/>
        <w:gridCol w:w="1321"/>
        <w:gridCol w:w="1002"/>
      </w:tblGrid>
      <w:tr w:rsidR="000F1C75" w:rsidRPr="004766F2" w14:paraId="3D8AF4AD" w14:textId="77777777" w:rsidTr="000F1C75">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2931" w:type="pct"/>
            <w:noWrap/>
            <w:hideMark/>
          </w:tcPr>
          <w:p w14:paraId="621BD228" w14:textId="77777777" w:rsidR="000F1C75" w:rsidRPr="004766F2" w:rsidRDefault="000F1C75" w:rsidP="000F1C75">
            <w:pPr>
              <w:spacing w:after="0"/>
              <w:rPr>
                <w:rFonts w:ascii="Times New Roman" w:eastAsia="Times New Roman" w:hAnsi="Times New Roman" w:cs="Times New Roman"/>
                <w:sz w:val="24"/>
                <w:szCs w:val="24"/>
                <w:lang w:eastAsia="cs-CZ"/>
              </w:rPr>
            </w:pPr>
            <w:bookmarkStart w:id="104" w:name="_Hlk46238305"/>
            <w:r w:rsidRPr="004766F2">
              <w:rPr>
                <w:rFonts w:ascii="Calibri" w:eastAsia="Times New Roman" w:hAnsi="Calibri" w:cs="Calibri"/>
                <w:lang w:eastAsia="cs-CZ"/>
              </w:rPr>
              <w:t>Projekt</w:t>
            </w:r>
          </w:p>
        </w:tc>
        <w:tc>
          <w:tcPr>
            <w:tcW w:w="788" w:type="pct"/>
            <w:noWrap/>
            <w:hideMark/>
          </w:tcPr>
          <w:p w14:paraId="605A243E" w14:textId="77777777" w:rsidR="000F1C75" w:rsidRPr="004766F2" w:rsidRDefault="000F1C75" w:rsidP="000F1C75">
            <w:pPr>
              <w:spacing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cs-CZ"/>
              </w:rPr>
            </w:pPr>
            <w:r w:rsidRPr="004766F2">
              <w:rPr>
                <w:rFonts w:ascii="Calibri" w:eastAsia="Times New Roman" w:hAnsi="Calibri" w:cs="Calibri"/>
                <w:lang w:eastAsia="cs-CZ"/>
              </w:rPr>
              <w:t>Rozpočet</w:t>
            </w:r>
          </w:p>
        </w:tc>
        <w:tc>
          <w:tcPr>
            <w:tcW w:w="728" w:type="pct"/>
            <w:noWrap/>
            <w:hideMark/>
          </w:tcPr>
          <w:p w14:paraId="7D2D44F2" w14:textId="77777777" w:rsidR="000F1C75" w:rsidRPr="004766F2" w:rsidRDefault="000F1C75" w:rsidP="000F1C75">
            <w:pPr>
              <w:spacing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cs-CZ"/>
              </w:rPr>
            </w:pPr>
            <w:r w:rsidRPr="004766F2">
              <w:rPr>
                <w:rFonts w:ascii="Calibri" w:eastAsia="Times New Roman" w:hAnsi="Calibri" w:cs="Calibri"/>
                <w:lang w:eastAsia="cs-CZ"/>
              </w:rPr>
              <w:t>Plnění</w:t>
            </w:r>
          </w:p>
        </w:tc>
        <w:tc>
          <w:tcPr>
            <w:tcW w:w="552" w:type="pct"/>
            <w:noWrap/>
            <w:hideMark/>
          </w:tcPr>
          <w:p w14:paraId="4CBB03BB" w14:textId="77777777" w:rsidR="000F1C75" w:rsidRPr="004766F2" w:rsidRDefault="000F1C75" w:rsidP="000F1C75">
            <w:pPr>
              <w:spacing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cs-CZ"/>
              </w:rPr>
            </w:pPr>
            <w:r w:rsidRPr="004766F2">
              <w:rPr>
                <w:rFonts w:ascii="Calibri" w:eastAsia="Times New Roman" w:hAnsi="Calibri" w:cs="Calibri"/>
                <w:lang w:eastAsia="cs-CZ"/>
              </w:rPr>
              <w:t>% plnění</w:t>
            </w:r>
          </w:p>
        </w:tc>
      </w:tr>
      <w:tr w:rsidR="000F1C75" w14:paraId="79A08100" w14:textId="77777777" w:rsidTr="000F1C7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31" w:type="pct"/>
            <w:noWrap/>
            <w:hideMark/>
          </w:tcPr>
          <w:p w14:paraId="16D95F3A" w14:textId="77777777" w:rsidR="000F1C75" w:rsidRDefault="000F1C75" w:rsidP="000F1C75">
            <w:pPr>
              <w:spacing w:after="0"/>
              <w:rPr>
                <w:rFonts w:ascii="Calibri" w:eastAsia="Times New Roman" w:hAnsi="Calibri" w:cs="Calibri"/>
                <w:color w:val="000000"/>
                <w:lang w:eastAsia="cs-CZ"/>
              </w:rPr>
            </w:pPr>
            <w:r>
              <w:rPr>
                <w:rFonts w:ascii="Calibri" w:eastAsia="Times New Roman" w:hAnsi="Calibri" w:cs="Calibri"/>
                <w:color w:val="000000"/>
                <w:lang w:eastAsia="cs-CZ"/>
              </w:rPr>
              <w:t>MPO_Externí služby</w:t>
            </w:r>
          </w:p>
        </w:tc>
        <w:tc>
          <w:tcPr>
            <w:tcW w:w="788" w:type="pct"/>
            <w:noWrap/>
            <w:hideMark/>
          </w:tcPr>
          <w:p w14:paraId="2C26E766" w14:textId="77777777" w:rsidR="000F1C75"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lang w:eastAsia="cs-CZ"/>
              </w:rPr>
            </w:pPr>
            <w:r>
              <w:rPr>
                <w:rFonts w:ascii="Calibri" w:eastAsia="Times New Roman" w:hAnsi="Calibri" w:cs="Calibri"/>
                <w:bCs/>
                <w:lang w:eastAsia="cs-CZ"/>
              </w:rPr>
              <w:t>90 000 000</w:t>
            </w:r>
          </w:p>
        </w:tc>
        <w:tc>
          <w:tcPr>
            <w:tcW w:w="728" w:type="pct"/>
            <w:noWrap/>
            <w:hideMark/>
          </w:tcPr>
          <w:p w14:paraId="6B87F7CA" w14:textId="77777777" w:rsidR="000F1C75"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lang w:eastAsia="cs-CZ"/>
              </w:rPr>
            </w:pPr>
            <w:r>
              <w:rPr>
                <w:rFonts w:ascii="Calibri" w:eastAsia="Times New Roman" w:hAnsi="Calibri" w:cs="Calibri"/>
                <w:bCs/>
                <w:lang w:eastAsia="cs-CZ"/>
              </w:rPr>
              <w:t>8 217 811</w:t>
            </w:r>
          </w:p>
        </w:tc>
        <w:tc>
          <w:tcPr>
            <w:tcW w:w="552" w:type="pct"/>
            <w:noWrap/>
            <w:hideMark/>
          </w:tcPr>
          <w:p w14:paraId="5A39E203" w14:textId="77777777" w:rsidR="000F1C75"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cs-CZ"/>
              </w:rPr>
            </w:pPr>
            <w:r>
              <w:rPr>
                <w:rFonts w:ascii="Calibri" w:hAnsi="Calibri" w:cs="Calibri"/>
                <w:color w:val="000000"/>
              </w:rPr>
              <w:t>9,1</w:t>
            </w:r>
          </w:p>
        </w:tc>
      </w:tr>
      <w:tr w:rsidR="000F1C75" w14:paraId="17D19B31" w14:textId="77777777" w:rsidTr="000F1C75">
        <w:trPr>
          <w:trHeight w:val="288"/>
        </w:trPr>
        <w:tc>
          <w:tcPr>
            <w:cnfStyle w:val="001000000000" w:firstRow="0" w:lastRow="0" w:firstColumn="1" w:lastColumn="0" w:oddVBand="0" w:evenVBand="0" w:oddHBand="0" w:evenHBand="0" w:firstRowFirstColumn="0" w:firstRowLastColumn="0" w:lastRowFirstColumn="0" w:lastRowLastColumn="0"/>
            <w:tcW w:w="2931" w:type="pct"/>
            <w:noWrap/>
            <w:hideMark/>
          </w:tcPr>
          <w:p w14:paraId="1D81DD21" w14:textId="77777777" w:rsidR="000F1C75" w:rsidRDefault="000F1C75" w:rsidP="000F1C75">
            <w:pPr>
              <w:spacing w:after="0"/>
              <w:rPr>
                <w:rFonts w:ascii="Calibri" w:eastAsia="Times New Roman" w:hAnsi="Calibri" w:cs="Calibri"/>
                <w:color w:val="000000"/>
                <w:lang w:eastAsia="cs-CZ"/>
              </w:rPr>
            </w:pPr>
            <w:r>
              <w:rPr>
                <w:rFonts w:ascii="Calibri" w:eastAsia="Times New Roman" w:hAnsi="Calibri" w:cs="Calibri"/>
                <w:color w:val="000000"/>
                <w:lang w:eastAsia="cs-CZ"/>
              </w:rPr>
              <w:t>MPO_Hodnocení, studie, analýzy</w:t>
            </w:r>
          </w:p>
        </w:tc>
        <w:tc>
          <w:tcPr>
            <w:tcW w:w="788" w:type="pct"/>
            <w:noWrap/>
            <w:hideMark/>
          </w:tcPr>
          <w:p w14:paraId="1A0D05D8" w14:textId="77777777" w:rsidR="000F1C75"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lang w:eastAsia="cs-CZ"/>
              </w:rPr>
            </w:pPr>
            <w:r>
              <w:rPr>
                <w:rFonts w:ascii="Calibri" w:eastAsia="Times New Roman" w:hAnsi="Calibri" w:cs="Calibri"/>
                <w:bCs/>
                <w:lang w:eastAsia="cs-CZ"/>
              </w:rPr>
              <w:t>12 000 000</w:t>
            </w:r>
          </w:p>
        </w:tc>
        <w:tc>
          <w:tcPr>
            <w:tcW w:w="728" w:type="pct"/>
            <w:noWrap/>
            <w:hideMark/>
          </w:tcPr>
          <w:p w14:paraId="00A5F48F" w14:textId="77777777" w:rsidR="000F1C75"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lang w:eastAsia="cs-CZ"/>
              </w:rPr>
            </w:pPr>
            <w:r>
              <w:rPr>
                <w:rFonts w:ascii="Calibri" w:eastAsia="Times New Roman" w:hAnsi="Calibri" w:cs="Calibri"/>
                <w:bCs/>
                <w:lang w:eastAsia="cs-CZ"/>
              </w:rPr>
              <w:t>3 545 399</w:t>
            </w:r>
          </w:p>
        </w:tc>
        <w:tc>
          <w:tcPr>
            <w:tcW w:w="552" w:type="pct"/>
            <w:noWrap/>
            <w:hideMark/>
          </w:tcPr>
          <w:p w14:paraId="79A3B131" w14:textId="77777777" w:rsidR="000F1C75"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cs-CZ"/>
              </w:rPr>
            </w:pPr>
            <w:r>
              <w:rPr>
                <w:rFonts w:ascii="Calibri" w:hAnsi="Calibri" w:cs="Calibri"/>
                <w:color w:val="000000"/>
              </w:rPr>
              <w:t>29,5</w:t>
            </w:r>
          </w:p>
        </w:tc>
      </w:tr>
      <w:tr w:rsidR="000F1C75" w14:paraId="37B9C503" w14:textId="77777777" w:rsidTr="000F1C7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31" w:type="pct"/>
            <w:noWrap/>
            <w:hideMark/>
          </w:tcPr>
          <w:p w14:paraId="5F3B6584" w14:textId="77777777" w:rsidR="000F1C75" w:rsidRDefault="000F1C75" w:rsidP="000F1C75">
            <w:pPr>
              <w:spacing w:after="0"/>
              <w:rPr>
                <w:rFonts w:ascii="Calibri" w:eastAsia="Times New Roman" w:hAnsi="Calibri" w:cs="Calibri"/>
                <w:color w:val="000000"/>
                <w:lang w:eastAsia="cs-CZ"/>
              </w:rPr>
            </w:pPr>
            <w:r>
              <w:rPr>
                <w:rFonts w:ascii="Calibri" w:eastAsia="Times New Roman" w:hAnsi="Calibri" w:cs="Calibri"/>
                <w:color w:val="000000"/>
                <w:lang w:eastAsia="cs-CZ"/>
              </w:rPr>
              <w:t>MPO_Kancelářská a provozní technika</w:t>
            </w:r>
          </w:p>
        </w:tc>
        <w:tc>
          <w:tcPr>
            <w:tcW w:w="788" w:type="pct"/>
            <w:noWrap/>
            <w:hideMark/>
          </w:tcPr>
          <w:p w14:paraId="04B25412" w14:textId="77777777" w:rsidR="000F1C75"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lang w:eastAsia="cs-CZ"/>
              </w:rPr>
            </w:pPr>
            <w:r>
              <w:rPr>
                <w:rFonts w:ascii="Calibri" w:eastAsia="Times New Roman" w:hAnsi="Calibri" w:cs="Calibri"/>
                <w:bCs/>
                <w:lang w:eastAsia="cs-CZ"/>
              </w:rPr>
              <w:t>18 000 000</w:t>
            </w:r>
          </w:p>
        </w:tc>
        <w:tc>
          <w:tcPr>
            <w:tcW w:w="728" w:type="pct"/>
            <w:noWrap/>
            <w:hideMark/>
          </w:tcPr>
          <w:p w14:paraId="484FE538" w14:textId="77777777" w:rsidR="000F1C75"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lang w:eastAsia="cs-CZ"/>
              </w:rPr>
            </w:pPr>
            <w:r>
              <w:rPr>
                <w:rFonts w:ascii="Calibri" w:eastAsia="Times New Roman" w:hAnsi="Calibri" w:cs="Calibri"/>
                <w:bCs/>
                <w:lang w:eastAsia="cs-CZ"/>
              </w:rPr>
              <w:t>5 097 310</w:t>
            </w:r>
          </w:p>
        </w:tc>
        <w:tc>
          <w:tcPr>
            <w:tcW w:w="552" w:type="pct"/>
            <w:noWrap/>
            <w:hideMark/>
          </w:tcPr>
          <w:p w14:paraId="3C197567" w14:textId="77777777" w:rsidR="000F1C75"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cs-CZ"/>
              </w:rPr>
            </w:pPr>
            <w:r>
              <w:rPr>
                <w:rFonts w:ascii="Calibri" w:hAnsi="Calibri" w:cs="Calibri"/>
                <w:color w:val="000000"/>
              </w:rPr>
              <w:t>28,3</w:t>
            </w:r>
          </w:p>
        </w:tc>
      </w:tr>
      <w:tr w:rsidR="000F1C75" w14:paraId="4210CAB2" w14:textId="77777777" w:rsidTr="000F1C75">
        <w:trPr>
          <w:trHeight w:val="288"/>
        </w:trPr>
        <w:tc>
          <w:tcPr>
            <w:cnfStyle w:val="001000000000" w:firstRow="0" w:lastRow="0" w:firstColumn="1" w:lastColumn="0" w:oddVBand="0" w:evenVBand="0" w:oddHBand="0" w:evenHBand="0" w:firstRowFirstColumn="0" w:firstRowLastColumn="0" w:lastRowFirstColumn="0" w:lastRowLastColumn="0"/>
            <w:tcW w:w="2931" w:type="pct"/>
            <w:noWrap/>
            <w:hideMark/>
          </w:tcPr>
          <w:p w14:paraId="6CC7E0B3" w14:textId="77777777" w:rsidR="000F1C75" w:rsidRDefault="000F1C75" w:rsidP="000F1C75">
            <w:pPr>
              <w:spacing w:after="0"/>
              <w:rPr>
                <w:rFonts w:ascii="Calibri" w:eastAsia="Times New Roman" w:hAnsi="Calibri" w:cs="Calibri"/>
                <w:color w:val="000000"/>
                <w:lang w:eastAsia="cs-CZ"/>
              </w:rPr>
            </w:pPr>
            <w:r>
              <w:rPr>
                <w:rFonts w:ascii="Calibri" w:eastAsia="Times New Roman" w:hAnsi="Calibri" w:cs="Calibri"/>
                <w:color w:val="000000"/>
                <w:lang w:eastAsia="cs-CZ"/>
              </w:rPr>
              <w:t>MPO_Monitorovací výbor</w:t>
            </w:r>
          </w:p>
        </w:tc>
        <w:tc>
          <w:tcPr>
            <w:tcW w:w="788" w:type="pct"/>
            <w:noWrap/>
            <w:hideMark/>
          </w:tcPr>
          <w:p w14:paraId="4B042059" w14:textId="77777777" w:rsidR="000F1C75"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lang w:eastAsia="cs-CZ"/>
              </w:rPr>
            </w:pPr>
            <w:r>
              <w:rPr>
                <w:rFonts w:ascii="Calibri" w:eastAsia="Times New Roman" w:hAnsi="Calibri" w:cs="Calibri"/>
                <w:bCs/>
                <w:lang w:eastAsia="cs-CZ"/>
              </w:rPr>
              <w:t>4 000 000</w:t>
            </w:r>
          </w:p>
        </w:tc>
        <w:tc>
          <w:tcPr>
            <w:tcW w:w="728" w:type="pct"/>
            <w:noWrap/>
            <w:hideMark/>
          </w:tcPr>
          <w:p w14:paraId="7859D0C4" w14:textId="77777777" w:rsidR="000F1C75"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lang w:eastAsia="cs-CZ"/>
              </w:rPr>
            </w:pPr>
            <w:r>
              <w:rPr>
                <w:rFonts w:ascii="Calibri" w:eastAsia="Times New Roman" w:hAnsi="Calibri" w:cs="Calibri"/>
                <w:bCs/>
                <w:lang w:eastAsia="cs-CZ"/>
              </w:rPr>
              <w:t>1 606 022</w:t>
            </w:r>
          </w:p>
        </w:tc>
        <w:tc>
          <w:tcPr>
            <w:tcW w:w="552" w:type="pct"/>
            <w:noWrap/>
            <w:hideMark/>
          </w:tcPr>
          <w:p w14:paraId="28AAF8A0" w14:textId="77777777" w:rsidR="000F1C75"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cs-CZ"/>
              </w:rPr>
            </w:pPr>
            <w:r>
              <w:rPr>
                <w:rFonts w:ascii="Calibri" w:hAnsi="Calibri" w:cs="Calibri"/>
                <w:color w:val="000000"/>
              </w:rPr>
              <w:t>40,2</w:t>
            </w:r>
          </w:p>
        </w:tc>
      </w:tr>
      <w:tr w:rsidR="000F1C75" w14:paraId="7BD5C236" w14:textId="77777777" w:rsidTr="000F1C7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31" w:type="pct"/>
            <w:noWrap/>
            <w:hideMark/>
          </w:tcPr>
          <w:p w14:paraId="193CEDD3" w14:textId="77777777" w:rsidR="000F1C75" w:rsidRDefault="000F1C75" w:rsidP="000F1C75">
            <w:pPr>
              <w:spacing w:after="0"/>
              <w:rPr>
                <w:rFonts w:ascii="Calibri" w:eastAsia="Times New Roman" w:hAnsi="Calibri" w:cs="Calibri"/>
                <w:color w:val="000000"/>
                <w:lang w:eastAsia="cs-CZ"/>
              </w:rPr>
            </w:pPr>
            <w:r>
              <w:rPr>
                <w:rFonts w:ascii="Calibri" w:eastAsia="Times New Roman" w:hAnsi="Calibri" w:cs="Calibri"/>
                <w:color w:val="000000"/>
                <w:lang w:eastAsia="cs-CZ"/>
              </w:rPr>
              <w:t>MPO_Osobní náklady</w:t>
            </w:r>
          </w:p>
        </w:tc>
        <w:tc>
          <w:tcPr>
            <w:tcW w:w="788" w:type="pct"/>
            <w:noWrap/>
            <w:hideMark/>
          </w:tcPr>
          <w:p w14:paraId="517C855A" w14:textId="77777777" w:rsidR="000F1C75"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lang w:eastAsia="cs-CZ"/>
              </w:rPr>
            </w:pPr>
            <w:r>
              <w:rPr>
                <w:rFonts w:ascii="Calibri" w:eastAsia="Times New Roman" w:hAnsi="Calibri" w:cs="Calibri"/>
                <w:bCs/>
                <w:lang w:eastAsia="cs-CZ"/>
              </w:rPr>
              <w:t>700 000 000</w:t>
            </w:r>
          </w:p>
        </w:tc>
        <w:tc>
          <w:tcPr>
            <w:tcW w:w="728" w:type="pct"/>
            <w:noWrap/>
            <w:hideMark/>
          </w:tcPr>
          <w:p w14:paraId="3114B566" w14:textId="77777777" w:rsidR="000F1C75"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lang w:eastAsia="cs-CZ"/>
              </w:rPr>
            </w:pPr>
            <w:r>
              <w:rPr>
                <w:rFonts w:ascii="Calibri" w:eastAsia="Times New Roman" w:hAnsi="Calibri" w:cs="Calibri"/>
                <w:bCs/>
                <w:lang w:eastAsia="cs-CZ"/>
              </w:rPr>
              <w:t>520 818 622</w:t>
            </w:r>
          </w:p>
        </w:tc>
        <w:tc>
          <w:tcPr>
            <w:tcW w:w="552" w:type="pct"/>
            <w:noWrap/>
            <w:hideMark/>
          </w:tcPr>
          <w:p w14:paraId="027FCC85" w14:textId="77777777" w:rsidR="000F1C75"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lang w:eastAsia="cs-CZ"/>
              </w:rPr>
            </w:pPr>
            <w:r>
              <w:rPr>
                <w:rFonts w:ascii="Calibri" w:hAnsi="Calibri" w:cs="Calibri"/>
                <w:bCs/>
                <w:color w:val="000000"/>
              </w:rPr>
              <w:t>74,4</w:t>
            </w:r>
          </w:p>
        </w:tc>
      </w:tr>
      <w:tr w:rsidR="000F1C75" w14:paraId="28AD57BF" w14:textId="77777777" w:rsidTr="000F1C75">
        <w:trPr>
          <w:trHeight w:val="288"/>
        </w:trPr>
        <w:tc>
          <w:tcPr>
            <w:cnfStyle w:val="001000000000" w:firstRow="0" w:lastRow="0" w:firstColumn="1" w:lastColumn="0" w:oddVBand="0" w:evenVBand="0" w:oddHBand="0" w:evenHBand="0" w:firstRowFirstColumn="0" w:firstRowLastColumn="0" w:lastRowFirstColumn="0" w:lastRowLastColumn="0"/>
            <w:tcW w:w="2931" w:type="pct"/>
            <w:noWrap/>
            <w:hideMark/>
          </w:tcPr>
          <w:p w14:paraId="52887ECA" w14:textId="77777777" w:rsidR="000F1C75" w:rsidRDefault="000F1C75" w:rsidP="000F1C75">
            <w:pPr>
              <w:spacing w:after="0"/>
              <w:rPr>
                <w:rFonts w:ascii="Calibri" w:eastAsia="Times New Roman" w:hAnsi="Calibri" w:cs="Calibri"/>
                <w:color w:val="000000"/>
                <w:lang w:eastAsia="cs-CZ"/>
              </w:rPr>
            </w:pPr>
            <w:r>
              <w:rPr>
                <w:rFonts w:ascii="Calibri" w:eastAsia="Times New Roman" w:hAnsi="Calibri" w:cs="Calibri"/>
                <w:color w:val="000000"/>
                <w:lang w:eastAsia="cs-CZ"/>
              </w:rPr>
              <w:t xml:space="preserve">MPO_Platformy, kulaté stoly, pracovní skupiny </w:t>
            </w:r>
          </w:p>
        </w:tc>
        <w:tc>
          <w:tcPr>
            <w:tcW w:w="788" w:type="pct"/>
            <w:noWrap/>
            <w:hideMark/>
          </w:tcPr>
          <w:p w14:paraId="5974EED0" w14:textId="77777777" w:rsidR="000F1C75"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lang w:eastAsia="cs-CZ"/>
              </w:rPr>
            </w:pPr>
            <w:r>
              <w:rPr>
                <w:rFonts w:ascii="Calibri" w:eastAsia="Times New Roman" w:hAnsi="Calibri" w:cs="Calibri"/>
                <w:bCs/>
                <w:lang w:eastAsia="cs-CZ"/>
              </w:rPr>
              <w:t>3 000 000</w:t>
            </w:r>
          </w:p>
        </w:tc>
        <w:tc>
          <w:tcPr>
            <w:tcW w:w="728" w:type="pct"/>
            <w:noWrap/>
            <w:hideMark/>
          </w:tcPr>
          <w:p w14:paraId="75FA7CD2" w14:textId="77777777" w:rsidR="000F1C75"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lang w:eastAsia="cs-CZ"/>
              </w:rPr>
            </w:pPr>
            <w:r>
              <w:rPr>
                <w:rFonts w:ascii="Calibri" w:eastAsia="Times New Roman" w:hAnsi="Calibri" w:cs="Calibri"/>
                <w:bCs/>
                <w:lang w:eastAsia="cs-CZ"/>
              </w:rPr>
              <w:t>126 149</w:t>
            </w:r>
          </w:p>
        </w:tc>
        <w:tc>
          <w:tcPr>
            <w:tcW w:w="552" w:type="pct"/>
            <w:noWrap/>
            <w:hideMark/>
          </w:tcPr>
          <w:p w14:paraId="25938DA2" w14:textId="77777777" w:rsidR="000F1C75"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cs-CZ"/>
              </w:rPr>
            </w:pPr>
            <w:r>
              <w:rPr>
                <w:rFonts w:ascii="Calibri" w:hAnsi="Calibri" w:cs="Calibri"/>
                <w:color w:val="000000"/>
              </w:rPr>
              <w:t>4,2</w:t>
            </w:r>
          </w:p>
        </w:tc>
      </w:tr>
      <w:tr w:rsidR="000F1C75" w14:paraId="60A6EE1D" w14:textId="77777777" w:rsidTr="000F1C7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31" w:type="pct"/>
            <w:noWrap/>
            <w:hideMark/>
          </w:tcPr>
          <w:p w14:paraId="1D0BF056" w14:textId="77777777" w:rsidR="000F1C75" w:rsidRDefault="000F1C75" w:rsidP="000F1C75">
            <w:pPr>
              <w:spacing w:after="0"/>
              <w:rPr>
                <w:rFonts w:ascii="Calibri" w:eastAsia="Times New Roman" w:hAnsi="Calibri" w:cs="Calibri"/>
                <w:color w:val="000000"/>
                <w:lang w:eastAsia="cs-CZ"/>
              </w:rPr>
            </w:pPr>
            <w:r>
              <w:rPr>
                <w:rFonts w:ascii="Calibri" w:eastAsia="Times New Roman" w:hAnsi="Calibri" w:cs="Calibri"/>
                <w:color w:val="000000"/>
                <w:lang w:eastAsia="cs-CZ"/>
              </w:rPr>
              <w:t>MPO_Provozní výdaje</w:t>
            </w:r>
          </w:p>
        </w:tc>
        <w:tc>
          <w:tcPr>
            <w:tcW w:w="788" w:type="pct"/>
            <w:noWrap/>
            <w:hideMark/>
          </w:tcPr>
          <w:p w14:paraId="6E0FE4B0" w14:textId="77777777" w:rsidR="000F1C75"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lang w:eastAsia="cs-CZ"/>
              </w:rPr>
            </w:pPr>
            <w:r>
              <w:rPr>
                <w:rFonts w:ascii="Calibri" w:eastAsia="Times New Roman" w:hAnsi="Calibri" w:cs="Calibri"/>
                <w:bCs/>
                <w:lang w:eastAsia="cs-CZ"/>
              </w:rPr>
              <w:t>15 000 000</w:t>
            </w:r>
          </w:p>
        </w:tc>
        <w:tc>
          <w:tcPr>
            <w:tcW w:w="728" w:type="pct"/>
            <w:noWrap/>
            <w:hideMark/>
          </w:tcPr>
          <w:p w14:paraId="72C51EC8" w14:textId="77777777" w:rsidR="000F1C75"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lang w:eastAsia="cs-CZ"/>
              </w:rPr>
            </w:pPr>
            <w:r>
              <w:rPr>
                <w:rFonts w:ascii="Calibri" w:eastAsia="Times New Roman" w:hAnsi="Calibri" w:cs="Calibri"/>
                <w:bCs/>
                <w:lang w:eastAsia="cs-CZ"/>
              </w:rPr>
              <w:t>6 718 275</w:t>
            </w:r>
          </w:p>
        </w:tc>
        <w:tc>
          <w:tcPr>
            <w:tcW w:w="552" w:type="pct"/>
            <w:noWrap/>
            <w:hideMark/>
          </w:tcPr>
          <w:p w14:paraId="0F3ADFC3" w14:textId="77777777" w:rsidR="000F1C75"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cs-CZ"/>
              </w:rPr>
            </w:pPr>
            <w:r>
              <w:rPr>
                <w:rFonts w:ascii="Calibri" w:hAnsi="Calibri" w:cs="Calibri"/>
                <w:color w:val="000000"/>
              </w:rPr>
              <w:t>44,8</w:t>
            </w:r>
          </w:p>
        </w:tc>
      </w:tr>
      <w:tr w:rsidR="000F1C75" w14:paraId="11973A62" w14:textId="77777777" w:rsidTr="000F1C75">
        <w:trPr>
          <w:trHeight w:val="288"/>
        </w:trPr>
        <w:tc>
          <w:tcPr>
            <w:cnfStyle w:val="001000000000" w:firstRow="0" w:lastRow="0" w:firstColumn="1" w:lastColumn="0" w:oddVBand="0" w:evenVBand="0" w:oddHBand="0" w:evenHBand="0" w:firstRowFirstColumn="0" w:firstRowLastColumn="0" w:lastRowFirstColumn="0" w:lastRowLastColumn="0"/>
            <w:tcW w:w="2931" w:type="pct"/>
            <w:noWrap/>
            <w:hideMark/>
          </w:tcPr>
          <w:p w14:paraId="7F09CA2A" w14:textId="77777777" w:rsidR="000F1C75" w:rsidRDefault="000F1C75" w:rsidP="000F1C75">
            <w:pPr>
              <w:spacing w:after="0"/>
              <w:rPr>
                <w:rFonts w:ascii="Calibri" w:eastAsia="Times New Roman" w:hAnsi="Calibri" w:cs="Calibri"/>
                <w:color w:val="000000"/>
                <w:lang w:eastAsia="cs-CZ"/>
              </w:rPr>
            </w:pPr>
            <w:r>
              <w:rPr>
                <w:rFonts w:ascii="Calibri" w:eastAsia="Times New Roman" w:hAnsi="Calibri" w:cs="Calibri"/>
                <w:color w:val="000000"/>
                <w:lang w:eastAsia="cs-CZ"/>
              </w:rPr>
              <w:t>MPO_Publicita</w:t>
            </w:r>
          </w:p>
        </w:tc>
        <w:tc>
          <w:tcPr>
            <w:tcW w:w="788" w:type="pct"/>
            <w:noWrap/>
            <w:hideMark/>
          </w:tcPr>
          <w:p w14:paraId="359DA239" w14:textId="77777777" w:rsidR="000F1C75"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lang w:eastAsia="cs-CZ"/>
              </w:rPr>
            </w:pPr>
            <w:r>
              <w:rPr>
                <w:rFonts w:ascii="Calibri" w:eastAsia="Times New Roman" w:hAnsi="Calibri" w:cs="Calibri"/>
                <w:bCs/>
                <w:lang w:eastAsia="cs-CZ"/>
              </w:rPr>
              <w:t>81 000 000</w:t>
            </w:r>
          </w:p>
        </w:tc>
        <w:tc>
          <w:tcPr>
            <w:tcW w:w="728" w:type="pct"/>
            <w:noWrap/>
            <w:hideMark/>
          </w:tcPr>
          <w:p w14:paraId="7B652D02" w14:textId="77777777" w:rsidR="000F1C75"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lang w:eastAsia="cs-CZ"/>
              </w:rPr>
            </w:pPr>
            <w:r>
              <w:rPr>
                <w:rFonts w:ascii="Calibri" w:eastAsia="Times New Roman" w:hAnsi="Calibri" w:cs="Calibri"/>
                <w:bCs/>
                <w:lang w:eastAsia="cs-CZ"/>
              </w:rPr>
              <w:t>7 051 998</w:t>
            </w:r>
          </w:p>
        </w:tc>
        <w:tc>
          <w:tcPr>
            <w:tcW w:w="552" w:type="pct"/>
            <w:noWrap/>
            <w:hideMark/>
          </w:tcPr>
          <w:p w14:paraId="737CB0CA" w14:textId="77777777" w:rsidR="000F1C75"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cs-CZ"/>
              </w:rPr>
            </w:pPr>
            <w:r>
              <w:rPr>
                <w:rFonts w:ascii="Calibri" w:hAnsi="Calibri" w:cs="Calibri"/>
                <w:color w:val="000000"/>
              </w:rPr>
              <w:t>8,7</w:t>
            </w:r>
          </w:p>
        </w:tc>
      </w:tr>
      <w:tr w:rsidR="000F1C75" w14:paraId="30651E09" w14:textId="77777777" w:rsidTr="000F1C7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31" w:type="pct"/>
            <w:noWrap/>
            <w:hideMark/>
          </w:tcPr>
          <w:p w14:paraId="71A784F6" w14:textId="77777777" w:rsidR="000F1C75" w:rsidRDefault="000F1C75" w:rsidP="000F1C75">
            <w:pPr>
              <w:spacing w:after="0"/>
              <w:rPr>
                <w:rFonts w:ascii="Calibri" w:eastAsia="Times New Roman" w:hAnsi="Calibri" w:cs="Calibri"/>
                <w:color w:val="000000"/>
                <w:lang w:eastAsia="cs-CZ"/>
              </w:rPr>
            </w:pPr>
            <w:r>
              <w:rPr>
                <w:rFonts w:ascii="Calibri" w:eastAsia="Times New Roman" w:hAnsi="Calibri" w:cs="Calibri"/>
                <w:color w:val="000000"/>
                <w:lang w:eastAsia="cs-CZ"/>
              </w:rPr>
              <w:t>MPO_Vzdělávání implementační struktury</w:t>
            </w:r>
          </w:p>
        </w:tc>
        <w:tc>
          <w:tcPr>
            <w:tcW w:w="788" w:type="pct"/>
            <w:noWrap/>
            <w:hideMark/>
          </w:tcPr>
          <w:p w14:paraId="42A4B685" w14:textId="77777777" w:rsidR="000F1C75"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lang w:eastAsia="cs-CZ"/>
              </w:rPr>
            </w:pPr>
            <w:r>
              <w:rPr>
                <w:rFonts w:ascii="Calibri" w:eastAsia="Times New Roman" w:hAnsi="Calibri" w:cs="Calibri"/>
                <w:bCs/>
                <w:lang w:eastAsia="cs-CZ"/>
              </w:rPr>
              <w:t>9 000 000</w:t>
            </w:r>
          </w:p>
        </w:tc>
        <w:tc>
          <w:tcPr>
            <w:tcW w:w="728" w:type="pct"/>
            <w:noWrap/>
            <w:hideMark/>
          </w:tcPr>
          <w:p w14:paraId="43FAEE8C" w14:textId="77777777" w:rsidR="000F1C75"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lang w:eastAsia="cs-CZ"/>
              </w:rPr>
            </w:pPr>
            <w:r>
              <w:rPr>
                <w:rFonts w:ascii="Calibri" w:eastAsia="Times New Roman" w:hAnsi="Calibri" w:cs="Calibri"/>
                <w:bCs/>
                <w:lang w:eastAsia="cs-CZ"/>
              </w:rPr>
              <w:t>4 735 382</w:t>
            </w:r>
          </w:p>
        </w:tc>
        <w:tc>
          <w:tcPr>
            <w:tcW w:w="552" w:type="pct"/>
            <w:noWrap/>
            <w:hideMark/>
          </w:tcPr>
          <w:p w14:paraId="0C9E4FB9" w14:textId="77777777" w:rsidR="000F1C75"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lang w:eastAsia="cs-CZ"/>
              </w:rPr>
            </w:pPr>
            <w:r>
              <w:rPr>
                <w:rFonts w:ascii="Calibri" w:hAnsi="Calibri" w:cs="Calibri"/>
                <w:bCs/>
                <w:color w:val="000000"/>
              </w:rPr>
              <w:t>52,6</w:t>
            </w:r>
          </w:p>
        </w:tc>
      </w:tr>
      <w:tr w:rsidR="000F1C75" w14:paraId="2D670E13" w14:textId="77777777" w:rsidTr="000F1C75">
        <w:trPr>
          <w:trHeight w:val="288"/>
        </w:trPr>
        <w:tc>
          <w:tcPr>
            <w:cnfStyle w:val="001000000000" w:firstRow="0" w:lastRow="0" w:firstColumn="1" w:lastColumn="0" w:oddVBand="0" w:evenVBand="0" w:oddHBand="0" w:evenHBand="0" w:firstRowFirstColumn="0" w:firstRowLastColumn="0" w:lastRowFirstColumn="0" w:lastRowLastColumn="0"/>
            <w:tcW w:w="2931" w:type="pct"/>
            <w:noWrap/>
            <w:hideMark/>
          </w:tcPr>
          <w:p w14:paraId="323E1118" w14:textId="77777777" w:rsidR="000F1C75" w:rsidRDefault="000F1C75" w:rsidP="000F1C75">
            <w:pPr>
              <w:spacing w:after="0"/>
              <w:rPr>
                <w:rFonts w:ascii="Calibri" w:eastAsia="Times New Roman" w:hAnsi="Calibri" w:cs="Calibri"/>
                <w:color w:val="000000"/>
                <w:lang w:eastAsia="cs-CZ"/>
              </w:rPr>
            </w:pPr>
            <w:r>
              <w:rPr>
                <w:rFonts w:ascii="Calibri" w:eastAsia="Times New Roman" w:hAnsi="Calibri" w:cs="Calibri"/>
                <w:color w:val="000000"/>
                <w:lang w:eastAsia="cs-CZ"/>
              </w:rPr>
              <w:t>ZS_Externí služby</w:t>
            </w:r>
          </w:p>
        </w:tc>
        <w:tc>
          <w:tcPr>
            <w:tcW w:w="788" w:type="pct"/>
            <w:noWrap/>
            <w:hideMark/>
          </w:tcPr>
          <w:p w14:paraId="122286AF" w14:textId="77777777" w:rsidR="000F1C75"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lang w:eastAsia="cs-CZ"/>
              </w:rPr>
            </w:pPr>
            <w:r>
              <w:rPr>
                <w:rFonts w:ascii="Calibri" w:eastAsia="Times New Roman" w:hAnsi="Calibri" w:cs="Calibri"/>
                <w:bCs/>
                <w:lang w:eastAsia="cs-CZ"/>
              </w:rPr>
              <w:t>5 550 000</w:t>
            </w:r>
          </w:p>
        </w:tc>
        <w:tc>
          <w:tcPr>
            <w:tcW w:w="728" w:type="pct"/>
            <w:noWrap/>
            <w:hideMark/>
          </w:tcPr>
          <w:p w14:paraId="5195AD8E" w14:textId="77777777" w:rsidR="000F1C75"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lang w:eastAsia="cs-CZ"/>
              </w:rPr>
            </w:pPr>
            <w:r>
              <w:rPr>
                <w:rFonts w:ascii="Calibri" w:eastAsia="Times New Roman" w:hAnsi="Calibri" w:cs="Calibri"/>
                <w:bCs/>
                <w:lang w:eastAsia="cs-CZ"/>
              </w:rPr>
              <w:t>1 813 140</w:t>
            </w:r>
          </w:p>
        </w:tc>
        <w:tc>
          <w:tcPr>
            <w:tcW w:w="552" w:type="pct"/>
            <w:noWrap/>
            <w:hideMark/>
          </w:tcPr>
          <w:p w14:paraId="76301373" w14:textId="77777777" w:rsidR="000F1C75"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cs-CZ"/>
              </w:rPr>
            </w:pPr>
            <w:r>
              <w:rPr>
                <w:rFonts w:ascii="Calibri" w:hAnsi="Calibri" w:cs="Calibri"/>
                <w:color w:val="000000"/>
              </w:rPr>
              <w:t>32,7</w:t>
            </w:r>
          </w:p>
        </w:tc>
      </w:tr>
      <w:tr w:rsidR="000F1C75" w14:paraId="3DB1A05A" w14:textId="77777777" w:rsidTr="000F1C7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31" w:type="pct"/>
            <w:noWrap/>
            <w:hideMark/>
          </w:tcPr>
          <w:p w14:paraId="6593CCEF" w14:textId="77777777" w:rsidR="000F1C75" w:rsidRDefault="000F1C75" w:rsidP="000F1C75">
            <w:pPr>
              <w:spacing w:after="0"/>
              <w:rPr>
                <w:rFonts w:ascii="Calibri" w:eastAsia="Times New Roman" w:hAnsi="Calibri" w:cs="Calibri"/>
                <w:color w:val="000000"/>
                <w:lang w:eastAsia="cs-CZ"/>
              </w:rPr>
            </w:pPr>
            <w:r>
              <w:rPr>
                <w:rFonts w:ascii="Calibri" w:eastAsia="Times New Roman" w:hAnsi="Calibri" w:cs="Calibri"/>
                <w:color w:val="000000"/>
                <w:lang w:eastAsia="cs-CZ"/>
              </w:rPr>
              <w:t>ZS_Kancelářská a provozní technika</w:t>
            </w:r>
          </w:p>
        </w:tc>
        <w:tc>
          <w:tcPr>
            <w:tcW w:w="788" w:type="pct"/>
            <w:noWrap/>
            <w:hideMark/>
          </w:tcPr>
          <w:p w14:paraId="7229EB73" w14:textId="77777777" w:rsidR="000F1C75"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lang w:eastAsia="cs-CZ"/>
              </w:rPr>
            </w:pPr>
            <w:r>
              <w:rPr>
                <w:rFonts w:ascii="Calibri" w:eastAsia="Times New Roman" w:hAnsi="Calibri" w:cs="Calibri"/>
                <w:bCs/>
                <w:lang w:eastAsia="cs-CZ"/>
              </w:rPr>
              <w:t>7 000 000</w:t>
            </w:r>
          </w:p>
        </w:tc>
        <w:tc>
          <w:tcPr>
            <w:tcW w:w="728" w:type="pct"/>
            <w:noWrap/>
            <w:hideMark/>
          </w:tcPr>
          <w:p w14:paraId="4D3A99EE" w14:textId="77777777" w:rsidR="000F1C75"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lang w:eastAsia="cs-CZ"/>
              </w:rPr>
            </w:pPr>
            <w:r>
              <w:rPr>
                <w:rFonts w:ascii="Calibri" w:eastAsia="Times New Roman" w:hAnsi="Calibri" w:cs="Calibri"/>
                <w:bCs/>
                <w:lang w:eastAsia="cs-CZ"/>
              </w:rPr>
              <w:t>4 309 096</w:t>
            </w:r>
          </w:p>
        </w:tc>
        <w:tc>
          <w:tcPr>
            <w:tcW w:w="552" w:type="pct"/>
            <w:noWrap/>
            <w:hideMark/>
          </w:tcPr>
          <w:p w14:paraId="5C3022BD" w14:textId="77777777" w:rsidR="000F1C75"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cs-CZ"/>
              </w:rPr>
            </w:pPr>
            <w:r>
              <w:rPr>
                <w:rFonts w:ascii="Calibri" w:eastAsia="Times New Roman" w:hAnsi="Calibri" w:cs="Calibri"/>
                <w:lang w:eastAsia="cs-CZ"/>
              </w:rPr>
              <w:t>61,6</w:t>
            </w:r>
          </w:p>
        </w:tc>
      </w:tr>
      <w:tr w:rsidR="000F1C75" w14:paraId="564BA43A" w14:textId="77777777" w:rsidTr="000F1C75">
        <w:trPr>
          <w:trHeight w:val="288"/>
        </w:trPr>
        <w:tc>
          <w:tcPr>
            <w:cnfStyle w:val="001000000000" w:firstRow="0" w:lastRow="0" w:firstColumn="1" w:lastColumn="0" w:oddVBand="0" w:evenVBand="0" w:oddHBand="0" w:evenHBand="0" w:firstRowFirstColumn="0" w:firstRowLastColumn="0" w:lastRowFirstColumn="0" w:lastRowLastColumn="0"/>
            <w:tcW w:w="2931" w:type="pct"/>
            <w:noWrap/>
            <w:hideMark/>
          </w:tcPr>
          <w:p w14:paraId="6261618D" w14:textId="77777777" w:rsidR="000F1C75" w:rsidRDefault="000F1C75" w:rsidP="000F1C75">
            <w:pPr>
              <w:spacing w:after="0"/>
              <w:rPr>
                <w:rFonts w:ascii="Calibri" w:eastAsia="Times New Roman" w:hAnsi="Calibri" w:cs="Calibri"/>
                <w:color w:val="000000"/>
                <w:lang w:eastAsia="cs-CZ"/>
              </w:rPr>
            </w:pPr>
            <w:r>
              <w:rPr>
                <w:rFonts w:ascii="Calibri" w:eastAsia="Times New Roman" w:hAnsi="Calibri" w:cs="Calibri"/>
                <w:color w:val="000000"/>
                <w:lang w:eastAsia="cs-CZ"/>
              </w:rPr>
              <w:t>ZS_Kancelářská a provozní technika II</w:t>
            </w:r>
          </w:p>
        </w:tc>
        <w:tc>
          <w:tcPr>
            <w:tcW w:w="788" w:type="pct"/>
            <w:noWrap/>
            <w:hideMark/>
          </w:tcPr>
          <w:p w14:paraId="4CE85BA7" w14:textId="77777777" w:rsidR="000F1C75"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lang w:eastAsia="cs-CZ"/>
              </w:rPr>
            </w:pPr>
            <w:r>
              <w:rPr>
                <w:rFonts w:ascii="Calibri" w:eastAsia="Times New Roman" w:hAnsi="Calibri" w:cs="Calibri"/>
                <w:bCs/>
                <w:lang w:eastAsia="cs-CZ"/>
              </w:rPr>
              <w:t>4 955 000</w:t>
            </w:r>
          </w:p>
        </w:tc>
        <w:tc>
          <w:tcPr>
            <w:tcW w:w="728" w:type="pct"/>
            <w:noWrap/>
            <w:hideMark/>
          </w:tcPr>
          <w:p w14:paraId="0910F20F" w14:textId="77777777" w:rsidR="000F1C75"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lang w:eastAsia="cs-CZ"/>
              </w:rPr>
            </w:pPr>
            <w:r>
              <w:rPr>
                <w:rFonts w:ascii="Calibri" w:eastAsia="Times New Roman" w:hAnsi="Calibri" w:cs="Calibri"/>
                <w:bCs/>
                <w:lang w:eastAsia="cs-CZ"/>
              </w:rPr>
              <w:t>3 109 065</w:t>
            </w:r>
          </w:p>
        </w:tc>
        <w:tc>
          <w:tcPr>
            <w:tcW w:w="552" w:type="pct"/>
            <w:noWrap/>
            <w:hideMark/>
          </w:tcPr>
          <w:p w14:paraId="6A22DB80" w14:textId="77777777" w:rsidR="000F1C75"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cs-CZ"/>
              </w:rPr>
            </w:pPr>
            <w:r>
              <w:rPr>
                <w:rFonts w:ascii="Calibri" w:eastAsia="Times New Roman" w:hAnsi="Calibri" w:cs="Calibri"/>
                <w:lang w:eastAsia="cs-CZ"/>
              </w:rPr>
              <w:t>62,7</w:t>
            </w:r>
          </w:p>
        </w:tc>
      </w:tr>
      <w:tr w:rsidR="000F1C75" w14:paraId="5D51E874" w14:textId="77777777" w:rsidTr="000F1C7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31" w:type="pct"/>
            <w:noWrap/>
            <w:hideMark/>
          </w:tcPr>
          <w:p w14:paraId="2EE82009" w14:textId="77777777" w:rsidR="000F1C75" w:rsidRDefault="000F1C75" w:rsidP="000F1C75">
            <w:pPr>
              <w:spacing w:after="0"/>
              <w:rPr>
                <w:rFonts w:ascii="Calibri" w:eastAsia="Times New Roman" w:hAnsi="Calibri" w:cs="Calibri"/>
                <w:color w:val="000000"/>
                <w:lang w:eastAsia="cs-CZ"/>
              </w:rPr>
            </w:pPr>
            <w:r>
              <w:rPr>
                <w:rFonts w:ascii="Calibri" w:eastAsia="Times New Roman" w:hAnsi="Calibri" w:cs="Calibri"/>
                <w:color w:val="000000"/>
                <w:lang w:eastAsia="cs-CZ"/>
              </w:rPr>
              <w:t>ZS_Osobní náklady 2016</w:t>
            </w:r>
          </w:p>
        </w:tc>
        <w:tc>
          <w:tcPr>
            <w:tcW w:w="788" w:type="pct"/>
            <w:noWrap/>
            <w:hideMark/>
          </w:tcPr>
          <w:p w14:paraId="1A21C061" w14:textId="77777777" w:rsidR="000F1C75"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lang w:eastAsia="cs-CZ"/>
              </w:rPr>
            </w:pPr>
            <w:r>
              <w:rPr>
                <w:rFonts w:ascii="Calibri" w:eastAsia="Times New Roman" w:hAnsi="Calibri" w:cs="Calibri"/>
                <w:bCs/>
                <w:lang w:eastAsia="cs-CZ"/>
              </w:rPr>
              <w:t>*93 400 177</w:t>
            </w:r>
          </w:p>
        </w:tc>
        <w:tc>
          <w:tcPr>
            <w:tcW w:w="728" w:type="pct"/>
            <w:noWrap/>
            <w:hideMark/>
          </w:tcPr>
          <w:p w14:paraId="1BDE0B2D" w14:textId="77777777" w:rsidR="000F1C75"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lang w:eastAsia="cs-CZ"/>
              </w:rPr>
            </w:pPr>
            <w:r>
              <w:t>92 704 213</w:t>
            </w:r>
          </w:p>
        </w:tc>
        <w:tc>
          <w:tcPr>
            <w:tcW w:w="552" w:type="pct"/>
            <w:noWrap/>
            <w:hideMark/>
          </w:tcPr>
          <w:p w14:paraId="305F9132" w14:textId="77777777" w:rsidR="000F1C75"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cs-CZ"/>
              </w:rPr>
            </w:pPr>
            <w:r>
              <w:rPr>
                <w:rFonts w:ascii="Calibri" w:hAnsi="Calibri" w:cs="Calibri"/>
                <w:color w:val="000000"/>
              </w:rPr>
              <w:t>99,3</w:t>
            </w:r>
          </w:p>
        </w:tc>
      </w:tr>
      <w:tr w:rsidR="000F1C75" w14:paraId="6573BFB9" w14:textId="77777777" w:rsidTr="000F1C75">
        <w:trPr>
          <w:trHeight w:val="288"/>
        </w:trPr>
        <w:tc>
          <w:tcPr>
            <w:cnfStyle w:val="001000000000" w:firstRow="0" w:lastRow="0" w:firstColumn="1" w:lastColumn="0" w:oddVBand="0" w:evenVBand="0" w:oddHBand="0" w:evenHBand="0" w:firstRowFirstColumn="0" w:firstRowLastColumn="0" w:lastRowFirstColumn="0" w:lastRowLastColumn="0"/>
            <w:tcW w:w="2931" w:type="pct"/>
            <w:noWrap/>
            <w:hideMark/>
          </w:tcPr>
          <w:p w14:paraId="2A4F9A4F" w14:textId="77777777" w:rsidR="000F1C75" w:rsidRDefault="000F1C75" w:rsidP="000F1C75">
            <w:pPr>
              <w:spacing w:after="0"/>
              <w:rPr>
                <w:rFonts w:ascii="Calibri" w:eastAsia="Times New Roman" w:hAnsi="Calibri" w:cs="Calibri"/>
                <w:color w:val="000000"/>
                <w:lang w:eastAsia="cs-CZ"/>
              </w:rPr>
            </w:pPr>
            <w:r>
              <w:rPr>
                <w:rFonts w:ascii="Calibri" w:eastAsia="Times New Roman" w:hAnsi="Calibri" w:cs="Calibri"/>
                <w:color w:val="000000"/>
                <w:lang w:eastAsia="cs-CZ"/>
              </w:rPr>
              <w:t>ZS_Osobní náklady 2017-2018</w:t>
            </w:r>
          </w:p>
        </w:tc>
        <w:tc>
          <w:tcPr>
            <w:tcW w:w="788" w:type="pct"/>
            <w:noWrap/>
            <w:hideMark/>
          </w:tcPr>
          <w:p w14:paraId="4ADF9F51" w14:textId="77777777" w:rsidR="000F1C75"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lang w:eastAsia="cs-CZ"/>
              </w:rPr>
            </w:pPr>
            <w:r>
              <w:rPr>
                <w:rFonts w:ascii="Calibri" w:eastAsia="Times New Roman" w:hAnsi="Calibri" w:cs="Calibri"/>
                <w:bCs/>
                <w:lang w:eastAsia="cs-CZ"/>
              </w:rPr>
              <w:t>*243 664 320</w:t>
            </w:r>
          </w:p>
        </w:tc>
        <w:tc>
          <w:tcPr>
            <w:tcW w:w="728" w:type="pct"/>
            <w:noWrap/>
            <w:hideMark/>
          </w:tcPr>
          <w:p w14:paraId="7FEFBF5D" w14:textId="77777777" w:rsidR="000F1C75"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lang w:eastAsia="cs-CZ"/>
              </w:rPr>
            </w:pPr>
            <w:r>
              <w:t>243 414 668</w:t>
            </w:r>
          </w:p>
        </w:tc>
        <w:tc>
          <w:tcPr>
            <w:tcW w:w="552" w:type="pct"/>
            <w:noWrap/>
            <w:hideMark/>
          </w:tcPr>
          <w:p w14:paraId="2B8D43EE" w14:textId="77777777" w:rsidR="000F1C75"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cs-CZ"/>
              </w:rPr>
            </w:pPr>
            <w:r>
              <w:rPr>
                <w:rFonts w:ascii="Calibri" w:hAnsi="Calibri" w:cs="Calibri"/>
                <w:color w:val="000000"/>
              </w:rPr>
              <w:t>99,9</w:t>
            </w:r>
          </w:p>
        </w:tc>
      </w:tr>
      <w:tr w:rsidR="000F1C75" w14:paraId="670059CB" w14:textId="77777777" w:rsidTr="000F1C7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31" w:type="pct"/>
            <w:noWrap/>
            <w:hideMark/>
          </w:tcPr>
          <w:p w14:paraId="248F1A3D" w14:textId="77777777" w:rsidR="000F1C75" w:rsidRDefault="000F1C75" w:rsidP="000F1C75">
            <w:pPr>
              <w:spacing w:after="0"/>
              <w:rPr>
                <w:rFonts w:ascii="Calibri" w:eastAsia="Times New Roman" w:hAnsi="Calibri" w:cs="Calibri"/>
                <w:color w:val="000000"/>
                <w:lang w:eastAsia="cs-CZ"/>
              </w:rPr>
            </w:pPr>
            <w:r>
              <w:rPr>
                <w:rFonts w:ascii="Calibri" w:eastAsia="Times New Roman" w:hAnsi="Calibri" w:cs="Calibri"/>
                <w:color w:val="000000"/>
                <w:lang w:eastAsia="cs-CZ"/>
              </w:rPr>
              <w:t>ZS_Provozní výdaje</w:t>
            </w:r>
          </w:p>
        </w:tc>
        <w:tc>
          <w:tcPr>
            <w:tcW w:w="788" w:type="pct"/>
            <w:noWrap/>
            <w:hideMark/>
          </w:tcPr>
          <w:p w14:paraId="20EE5D92" w14:textId="77777777" w:rsidR="000F1C75"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lang w:eastAsia="cs-CZ"/>
              </w:rPr>
            </w:pPr>
            <w:r>
              <w:rPr>
                <w:rFonts w:ascii="Calibri" w:eastAsia="Times New Roman" w:hAnsi="Calibri" w:cs="Calibri"/>
                <w:bCs/>
                <w:lang w:eastAsia="cs-CZ"/>
              </w:rPr>
              <w:t>41 429 000</w:t>
            </w:r>
          </w:p>
        </w:tc>
        <w:tc>
          <w:tcPr>
            <w:tcW w:w="728" w:type="pct"/>
            <w:noWrap/>
            <w:hideMark/>
          </w:tcPr>
          <w:p w14:paraId="7388617C" w14:textId="77777777" w:rsidR="000F1C75"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lang w:eastAsia="cs-CZ"/>
              </w:rPr>
            </w:pPr>
            <w:r>
              <w:rPr>
                <w:rFonts w:ascii="Calibri" w:eastAsia="Times New Roman" w:hAnsi="Calibri" w:cs="Calibri"/>
                <w:bCs/>
                <w:lang w:eastAsia="cs-CZ"/>
              </w:rPr>
              <w:t>38 334 662</w:t>
            </w:r>
          </w:p>
        </w:tc>
        <w:tc>
          <w:tcPr>
            <w:tcW w:w="552" w:type="pct"/>
            <w:noWrap/>
            <w:hideMark/>
          </w:tcPr>
          <w:p w14:paraId="5210BBC5" w14:textId="77777777" w:rsidR="000F1C75"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cs-CZ"/>
              </w:rPr>
            </w:pPr>
            <w:r>
              <w:rPr>
                <w:rFonts w:ascii="Calibri" w:hAnsi="Calibri" w:cs="Calibri"/>
                <w:color w:val="000000"/>
              </w:rPr>
              <w:t>92,5</w:t>
            </w:r>
          </w:p>
        </w:tc>
      </w:tr>
      <w:tr w:rsidR="000F1C75" w14:paraId="21A0A511" w14:textId="77777777" w:rsidTr="000F1C75">
        <w:trPr>
          <w:trHeight w:val="288"/>
        </w:trPr>
        <w:tc>
          <w:tcPr>
            <w:cnfStyle w:val="001000000000" w:firstRow="0" w:lastRow="0" w:firstColumn="1" w:lastColumn="0" w:oddVBand="0" w:evenVBand="0" w:oddHBand="0" w:evenHBand="0" w:firstRowFirstColumn="0" w:firstRowLastColumn="0" w:lastRowFirstColumn="0" w:lastRowLastColumn="0"/>
            <w:tcW w:w="2931" w:type="pct"/>
            <w:noWrap/>
            <w:hideMark/>
          </w:tcPr>
          <w:p w14:paraId="1381A9CC" w14:textId="77777777" w:rsidR="000F1C75" w:rsidRDefault="000F1C75" w:rsidP="000F1C75">
            <w:pPr>
              <w:spacing w:after="0"/>
              <w:rPr>
                <w:rFonts w:ascii="Calibri" w:eastAsia="Times New Roman" w:hAnsi="Calibri" w:cs="Calibri"/>
                <w:color w:val="000000"/>
                <w:lang w:eastAsia="cs-CZ"/>
              </w:rPr>
            </w:pPr>
            <w:r>
              <w:rPr>
                <w:rFonts w:ascii="Calibri" w:eastAsia="Times New Roman" w:hAnsi="Calibri" w:cs="Calibri"/>
                <w:color w:val="000000"/>
                <w:lang w:eastAsia="cs-CZ"/>
              </w:rPr>
              <w:t>ZS_Publicita</w:t>
            </w:r>
          </w:p>
        </w:tc>
        <w:tc>
          <w:tcPr>
            <w:tcW w:w="788" w:type="pct"/>
            <w:noWrap/>
            <w:hideMark/>
          </w:tcPr>
          <w:p w14:paraId="705BC3E9" w14:textId="77777777" w:rsidR="000F1C75"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lang w:eastAsia="cs-CZ"/>
              </w:rPr>
            </w:pPr>
            <w:r>
              <w:rPr>
                <w:rFonts w:ascii="Calibri" w:eastAsia="Times New Roman" w:hAnsi="Calibri" w:cs="Calibri"/>
                <w:bCs/>
                <w:lang w:eastAsia="cs-CZ"/>
              </w:rPr>
              <w:t>**2 553 000</w:t>
            </w:r>
          </w:p>
        </w:tc>
        <w:tc>
          <w:tcPr>
            <w:tcW w:w="728" w:type="pct"/>
            <w:noWrap/>
            <w:hideMark/>
          </w:tcPr>
          <w:p w14:paraId="0B77A275" w14:textId="77777777" w:rsidR="000F1C75"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lang w:eastAsia="cs-CZ"/>
              </w:rPr>
            </w:pPr>
            <w:r>
              <w:rPr>
                <w:rFonts w:ascii="Calibri" w:eastAsia="Times New Roman" w:hAnsi="Calibri" w:cs="Calibri"/>
                <w:bCs/>
                <w:lang w:eastAsia="cs-CZ"/>
              </w:rPr>
              <w:t>914 828</w:t>
            </w:r>
          </w:p>
        </w:tc>
        <w:tc>
          <w:tcPr>
            <w:tcW w:w="552" w:type="pct"/>
            <w:noWrap/>
            <w:hideMark/>
          </w:tcPr>
          <w:p w14:paraId="07A009B2" w14:textId="77777777" w:rsidR="000F1C75"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cs-CZ"/>
              </w:rPr>
            </w:pPr>
            <w:r>
              <w:rPr>
                <w:rFonts w:ascii="Calibri" w:hAnsi="Calibri" w:cs="Calibri"/>
                <w:color w:val="000000"/>
              </w:rPr>
              <w:t>35,8</w:t>
            </w:r>
          </w:p>
        </w:tc>
      </w:tr>
      <w:tr w:rsidR="000F1C75" w14:paraId="126D046E" w14:textId="77777777" w:rsidTr="000F1C7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31" w:type="pct"/>
            <w:noWrap/>
            <w:hideMark/>
          </w:tcPr>
          <w:p w14:paraId="2AE947E2" w14:textId="77777777" w:rsidR="000F1C75" w:rsidRDefault="000F1C75" w:rsidP="000F1C75">
            <w:pPr>
              <w:spacing w:after="0"/>
              <w:rPr>
                <w:rFonts w:ascii="Calibri" w:eastAsia="Times New Roman" w:hAnsi="Calibri" w:cs="Calibri"/>
                <w:color w:val="000000"/>
                <w:lang w:eastAsia="cs-CZ"/>
              </w:rPr>
            </w:pPr>
            <w:r>
              <w:rPr>
                <w:rFonts w:ascii="Calibri" w:eastAsia="Times New Roman" w:hAnsi="Calibri" w:cs="Calibri"/>
                <w:color w:val="000000"/>
                <w:lang w:eastAsia="cs-CZ"/>
              </w:rPr>
              <w:lastRenderedPageBreak/>
              <w:t>ZS_Vzdělávání implementační struktury</w:t>
            </w:r>
          </w:p>
        </w:tc>
        <w:tc>
          <w:tcPr>
            <w:tcW w:w="788" w:type="pct"/>
            <w:noWrap/>
            <w:hideMark/>
          </w:tcPr>
          <w:p w14:paraId="5277603F" w14:textId="77777777" w:rsidR="000F1C75"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lang w:eastAsia="cs-CZ"/>
              </w:rPr>
            </w:pPr>
            <w:r>
              <w:rPr>
                <w:rFonts w:ascii="Calibri" w:eastAsia="Times New Roman" w:hAnsi="Calibri" w:cs="Calibri"/>
                <w:bCs/>
                <w:lang w:eastAsia="cs-CZ"/>
              </w:rPr>
              <w:t>4 800 000</w:t>
            </w:r>
          </w:p>
        </w:tc>
        <w:tc>
          <w:tcPr>
            <w:tcW w:w="728" w:type="pct"/>
            <w:noWrap/>
            <w:hideMark/>
          </w:tcPr>
          <w:p w14:paraId="48B4451A" w14:textId="77777777" w:rsidR="000F1C75"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lang w:eastAsia="cs-CZ"/>
              </w:rPr>
            </w:pPr>
            <w:r>
              <w:rPr>
                <w:rFonts w:ascii="Calibri" w:eastAsia="Times New Roman" w:hAnsi="Calibri" w:cs="Calibri"/>
                <w:bCs/>
                <w:lang w:eastAsia="cs-CZ"/>
              </w:rPr>
              <w:t>2 653 134</w:t>
            </w:r>
          </w:p>
        </w:tc>
        <w:tc>
          <w:tcPr>
            <w:tcW w:w="552" w:type="pct"/>
            <w:noWrap/>
            <w:hideMark/>
          </w:tcPr>
          <w:p w14:paraId="46CBC5B8" w14:textId="77777777" w:rsidR="000F1C75"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cs-CZ"/>
              </w:rPr>
            </w:pPr>
            <w:r>
              <w:rPr>
                <w:rFonts w:ascii="Calibri" w:hAnsi="Calibri" w:cs="Calibri"/>
                <w:color w:val="000000"/>
              </w:rPr>
              <w:t>55,3</w:t>
            </w:r>
          </w:p>
        </w:tc>
      </w:tr>
    </w:tbl>
    <w:bookmarkEnd w:id="104"/>
    <w:p w14:paraId="7B4FA89A" w14:textId="77777777" w:rsidR="000F1C75" w:rsidRDefault="000F1C75" w:rsidP="000F1C75">
      <w:pPr>
        <w:rPr>
          <w:i/>
        </w:rPr>
      </w:pPr>
      <w:r>
        <w:rPr>
          <w:i/>
        </w:rPr>
        <w:t>Pozn.: * - rozpočet navýšen v průběhu realizace projektu v důsledku systemizace pracovních míst na ZS a zvyšování platových tříd; ** - rozpočet navýšen v průběhu realizace projektu v důsledku očekávaných výdajů vyplývajících z VZ</w:t>
      </w:r>
      <w:bookmarkEnd w:id="103"/>
    </w:p>
    <w:p w14:paraId="3A042870" w14:textId="785F6C59" w:rsidR="000F1C75" w:rsidRDefault="000F1C75" w:rsidP="000F1C75">
      <w:r>
        <w:t xml:space="preserve">Jedním z konstatování Kontrolního závěru NKÚ z kontrolní akce 19/01 Peněžní prostředky vynaložené na technickou pomoc z operačního programu Podnikání a inovace pro konkurenceschopnost je, že </w:t>
      </w:r>
      <w:r w:rsidR="0012794A">
        <w:br/>
      </w:r>
      <w:r>
        <w:t>„U projektů technické pomoci pro roky 2019 až 2021 již MPO určilo limit výdajů na základě informací a plánovaných opatření dostupných v době přípravy projektů pro léta 2019 až 2021 a s přihlédnutím ke skutečnému čerpání projektů technické pomoci realizovaných v letech 2016 až 2018</w:t>
      </w:r>
      <w:r>
        <w:rPr>
          <w:rStyle w:val="Znakapoznpodarou"/>
        </w:rPr>
        <w:footnoteReference w:id="13"/>
      </w:r>
      <w:r>
        <w:t>“</w:t>
      </w:r>
      <w:r w:rsidR="0012794A">
        <w:t>.</w:t>
      </w:r>
      <w:r>
        <w:t xml:space="preserve"> Při porovnání limitů výdajů IP v letech 2016</w:t>
      </w:r>
      <w:r w:rsidR="0012794A">
        <w:t xml:space="preserve"> </w:t>
      </w:r>
      <w:r>
        <w:t>-</w:t>
      </w:r>
      <w:r w:rsidR="0012794A">
        <w:t xml:space="preserve"> </w:t>
      </w:r>
      <w:r>
        <w:t>18 a 2019</w:t>
      </w:r>
      <w:r w:rsidR="0012794A">
        <w:t xml:space="preserve"> </w:t>
      </w:r>
      <w:r>
        <w:t>-</w:t>
      </w:r>
      <w:r w:rsidR="0012794A">
        <w:t xml:space="preserve"> </w:t>
      </w:r>
      <w:r>
        <w:t>21 však k tomuto závěru dojít nelze. Ačkoliv se limity výdajů IP měnily, neměnily se řádově tak, aby bylo možné předpokládat, že dojde k jejich vyčerpání v plné, plánované výši. Tomu nahrává nejen čerpání limitů výdajů IP z let 2016</w:t>
      </w:r>
      <w:r w:rsidR="0012794A">
        <w:t xml:space="preserve"> </w:t>
      </w:r>
      <w:r>
        <w:t>-</w:t>
      </w:r>
      <w:r w:rsidR="0012794A">
        <w:t xml:space="preserve"> </w:t>
      </w:r>
      <w:r>
        <w:t xml:space="preserve">18, </w:t>
      </w:r>
      <w:r w:rsidR="0012794A">
        <w:br/>
      </w:r>
      <w:r>
        <w:t>ale i z čerpání IP v TP OP</w:t>
      </w:r>
      <w:r w:rsidR="00E52B39">
        <w:t xml:space="preserve"> </w:t>
      </w:r>
      <w:r>
        <w:t xml:space="preserve">PI. Fakt může hrát i skutečnost, že náklady TP jsou z 15 % spolufinancovány ze státního rozpočtu a snahou vlády je mimo jiné úspora nákladů na straně ministerstev např. omezením počtu pracovních míst či výdajů jako takových, tj. byť MPO disponuje značnými zdroji </w:t>
      </w:r>
      <w:r w:rsidR="0012794A">
        <w:br/>
      </w:r>
      <w:r>
        <w:t xml:space="preserve">na TP z ERDF, nemůže je využít, neboť nemá k dispozici 15% spolufinancování ze státního rozpočtu. </w:t>
      </w:r>
    </w:p>
    <w:p w14:paraId="4C901A57" w14:textId="77777777" w:rsidR="000F1C75" w:rsidRDefault="000F1C75" w:rsidP="000F1C75">
      <w:r>
        <w:t>Tyto důvody by měly být motivací pro ŘO pro převod prostředků z PO5 Technická pomoc do jiných prioritních os tak, aby se tyto prostředky vyčerpaly. Vzhledem k tomu, že je tento proces administrativně i časově velmi náročný, bylo by vhodné učinit kroky k jeho zahájení co nejdříve.</w:t>
      </w:r>
    </w:p>
    <w:p w14:paraId="4F4F6AA6" w14:textId="6C7967CD" w:rsidR="000F1C75" w:rsidRDefault="000F1C75" w:rsidP="000F1C75">
      <w:pPr>
        <w:pStyle w:val="Titulek"/>
      </w:pPr>
      <w:bookmarkStart w:id="105" w:name="_Toc45657575"/>
      <w:bookmarkStart w:id="106" w:name="_Toc50456752"/>
      <w:r>
        <w:t xml:space="preserve">Tabulka </w:t>
      </w:r>
      <w:r w:rsidR="00C050DB">
        <w:fldChar w:fldCharType="begin"/>
      </w:r>
      <w:r w:rsidR="00C050DB">
        <w:instrText xml:space="preserve"> SEQ Tabulka \* ARABIC </w:instrText>
      </w:r>
      <w:r w:rsidR="00C050DB">
        <w:fldChar w:fldCharType="separate"/>
      </w:r>
      <w:r w:rsidR="00E96F43">
        <w:rPr>
          <w:noProof/>
        </w:rPr>
        <w:t>19</w:t>
      </w:r>
      <w:r w:rsidR="00C050DB">
        <w:rPr>
          <w:noProof/>
        </w:rPr>
        <w:fldChar w:fldCharType="end"/>
      </w:r>
      <w:r>
        <w:t>: IP pro období 2019-2021 realizované ŘO a ZS</w:t>
      </w:r>
      <w:bookmarkEnd w:id="105"/>
      <w:bookmarkEnd w:id="106"/>
    </w:p>
    <w:tbl>
      <w:tblPr>
        <w:tblStyle w:val="Styl1"/>
        <w:tblW w:w="5000" w:type="pct"/>
        <w:tblLook w:val="04A0" w:firstRow="1" w:lastRow="0" w:firstColumn="1" w:lastColumn="0" w:noHBand="0" w:noVBand="1"/>
      </w:tblPr>
      <w:tblGrid>
        <w:gridCol w:w="4482"/>
        <w:gridCol w:w="1312"/>
        <w:gridCol w:w="1090"/>
        <w:gridCol w:w="2188"/>
      </w:tblGrid>
      <w:tr w:rsidR="000F1C75" w:rsidRPr="004766F2" w14:paraId="1B15BE12" w14:textId="77777777" w:rsidTr="000F1C75">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2734" w:type="pct"/>
            <w:noWrap/>
            <w:hideMark/>
          </w:tcPr>
          <w:p w14:paraId="34BB437D" w14:textId="77777777" w:rsidR="000F1C75" w:rsidRPr="004766F2" w:rsidRDefault="000F1C75" w:rsidP="000F1C75">
            <w:pPr>
              <w:spacing w:after="0"/>
              <w:rPr>
                <w:rFonts w:ascii="Calibri" w:eastAsia="Times New Roman" w:hAnsi="Calibri" w:cs="Calibri"/>
                <w:lang w:eastAsia="cs-CZ"/>
              </w:rPr>
            </w:pPr>
            <w:r w:rsidRPr="004766F2">
              <w:rPr>
                <w:rFonts w:ascii="Calibri" w:eastAsia="Times New Roman" w:hAnsi="Calibri" w:cs="Calibri"/>
                <w:lang w:eastAsia="cs-CZ"/>
              </w:rPr>
              <w:t>Projekt</w:t>
            </w:r>
          </w:p>
        </w:tc>
        <w:tc>
          <w:tcPr>
            <w:tcW w:w="860" w:type="pct"/>
            <w:noWrap/>
            <w:hideMark/>
          </w:tcPr>
          <w:p w14:paraId="0F18DC71" w14:textId="77777777" w:rsidR="000F1C75" w:rsidRPr="004766F2" w:rsidRDefault="000F1C75" w:rsidP="000F1C75">
            <w:pPr>
              <w:spacing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cs-CZ"/>
              </w:rPr>
            </w:pPr>
            <w:r w:rsidRPr="004766F2">
              <w:rPr>
                <w:rFonts w:ascii="Calibri" w:eastAsia="Times New Roman" w:hAnsi="Calibri" w:cs="Calibri"/>
                <w:lang w:eastAsia="cs-CZ"/>
              </w:rPr>
              <w:t>Rozpočet</w:t>
            </w:r>
          </w:p>
        </w:tc>
        <w:tc>
          <w:tcPr>
            <w:tcW w:w="626" w:type="pct"/>
            <w:noWrap/>
            <w:hideMark/>
          </w:tcPr>
          <w:p w14:paraId="47CDA036" w14:textId="77777777" w:rsidR="000F1C75" w:rsidRPr="004766F2" w:rsidRDefault="000F1C75" w:rsidP="000F1C75">
            <w:pPr>
              <w:spacing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cs-CZ"/>
              </w:rPr>
            </w:pPr>
            <w:r w:rsidRPr="004766F2">
              <w:rPr>
                <w:rFonts w:ascii="Calibri" w:eastAsia="Times New Roman" w:hAnsi="Calibri" w:cs="Calibri"/>
                <w:lang w:eastAsia="cs-CZ"/>
              </w:rPr>
              <w:t>Plnění</w:t>
            </w:r>
          </w:p>
        </w:tc>
        <w:tc>
          <w:tcPr>
            <w:tcW w:w="779" w:type="pct"/>
            <w:noWrap/>
            <w:hideMark/>
          </w:tcPr>
          <w:p w14:paraId="36880432" w14:textId="77777777" w:rsidR="000F1C75" w:rsidRPr="004766F2" w:rsidRDefault="000F1C75" w:rsidP="000F1C75">
            <w:pPr>
              <w:spacing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cs-CZ"/>
              </w:rPr>
            </w:pPr>
            <w:r w:rsidRPr="004766F2">
              <w:rPr>
                <w:rFonts w:ascii="Calibri" w:eastAsia="Times New Roman" w:hAnsi="Calibri" w:cs="Calibri"/>
                <w:lang w:eastAsia="cs-CZ"/>
              </w:rPr>
              <w:t>% plnění k 30. 6. 2019</w:t>
            </w:r>
          </w:p>
        </w:tc>
      </w:tr>
      <w:tr w:rsidR="000F1C75" w14:paraId="41BBF155" w14:textId="77777777" w:rsidTr="000F1C7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34" w:type="pct"/>
            <w:noWrap/>
            <w:hideMark/>
          </w:tcPr>
          <w:p w14:paraId="2C296C17" w14:textId="77777777" w:rsidR="000F1C75" w:rsidRDefault="000F1C75" w:rsidP="000F1C75">
            <w:pPr>
              <w:spacing w:after="0"/>
              <w:rPr>
                <w:rFonts w:ascii="Calibri" w:eastAsia="Times New Roman" w:hAnsi="Calibri" w:cs="Calibri"/>
                <w:color w:val="000000"/>
                <w:lang w:eastAsia="cs-CZ"/>
              </w:rPr>
            </w:pPr>
            <w:r>
              <w:rPr>
                <w:rFonts w:ascii="Calibri" w:eastAsia="Times New Roman" w:hAnsi="Calibri" w:cs="Calibri"/>
                <w:color w:val="000000"/>
                <w:lang w:eastAsia="cs-CZ"/>
              </w:rPr>
              <w:t>MPO_Externí služby</w:t>
            </w:r>
          </w:p>
        </w:tc>
        <w:tc>
          <w:tcPr>
            <w:tcW w:w="860" w:type="pct"/>
            <w:noWrap/>
            <w:hideMark/>
          </w:tcPr>
          <w:p w14:paraId="4C2486FF" w14:textId="77777777" w:rsidR="000F1C75"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lang w:eastAsia="cs-CZ"/>
              </w:rPr>
            </w:pPr>
            <w:r>
              <w:rPr>
                <w:rFonts w:ascii="Calibri" w:eastAsia="Times New Roman" w:hAnsi="Calibri" w:cs="Calibri"/>
                <w:bCs/>
                <w:color w:val="000000"/>
                <w:lang w:eastAsia="cs-CZ"/>
              </w:rPr>
              <w:t>65 000 000</w:t>
            </w:r>
          </w:p>
        </w:tc>
        <w:tc>
          <w:tcPr>
            <w:tcW w:w="626" w:type="pct"/>
            <w:noWrap/>
            <w:hideMark/>
          </w:tcPr>
          <w:p w14:paraId="305BB9E8" w14:textId="77777777" w:rsidR="000F1C75"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lang w:eastAsia="cs-CZ"/>
              </w:rPr>
            </w:pPr>
            <w:r>
              <w:rPr>
                <w:rFonts w:ascii="Calibri" w:eastAsia="Times New Roman" w:hAnsi="Calibri" w:cs="Calibri"/>
                <w:bCs/>
                <w:color w:val="000000"/>
                <w:lang w:eastAsia="cs-CZ"/>
              </w:rPr>
              <w:t>411 539</w:t>
            </w:r>
          </w:p>
        </w:tc>
        <w:tc>
          <w:tcPr>
            <w:tcW w:w="779" w:type="pct"/>
            <w:noWrap/>
            <w:hideMark/>
          </w:tcPr>
          <w:p w14:paraId="49F7C7E1" w14:textId="77777777" w:rsidR="000F1C75"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cs-CZ"/>
              </w:rPr>
            </w:pPr>
            <w:r>
              <w:rPr>
                <w:rFonts w:ascii="Calibri" w:hAnsi="Calibri" w:cs="Calibri"/>
                <w:color w:val="000000"/>
              </w:rPr>
              <w:t>0,6</w:t>
            </w:r>
          </w:p>
        </w:tc>
      </w:tr>
      <w:tr w:rsidR="000F1C75" w14:paraId="05851EFB" w14:textId="77777777" w:rsidTr="000F1C75">
        <w:trPr>
          <w:trHeight w:val="288"/>
        </w:trPr>
        <w:tc>
          <w:tcPr>
            <w:cnfStyle w:val="001000000000" w:firstRow="0" w:lastRow="0" w:firstColumn="1" w:lastColumn="0" w:oddVBand="0" w:evenVBand="0" w:oddHBand="0" w:evenHBand="0" w:firstRowFirstColumn="0" w:firstRowLastColumn="0" w:lastRowFirstColumn="0" w:lastRowLastColumn="0"/>
            <w:tcW w:w="2734" w:type="pct"/>
            <w:noWrap/>
            <w:hideMark/>
          </w:tcPr>
          <w:p w14:paraId="6226279D" w14:textId="77777777" w:rsidR="000F1C75" w:rsidRDefault="000F1C75" w:rsidP="000F1C75">
            <w:pPr>
              <w:spacing w:after="0"/>
              <w:rPr>
                <w:rFonts w:ascii="Calibri" w:eastAsia="Times New Roman" w:hAnsi="Calibri" w:cs="Calibri"/>
                <w:color w:val="000000"/>
                <w:lang w:eastAsia="cs-CZ"/>
              </w:rPr>
            </w:pPr>
            <w:r>
              <w:rPr>
                <w:rFonts w:ascii="Calibri" w:eastAsia="Times New Roman" w:hAnsi="Calibri" w:cs="Calibri"/>
                <w:color w:val="000000"/>
                <w:lang w:eastAsia="cs-CZ"/>
              </w:rPr>
              <w:t>MPO_Hodnocení, studie, analýzy</w:t>
            </w:r>
          </w:p>
        </w:tc>
        <w:tc>
          <w:tcPr>
            <w:tcW w:w="860" w:type="pct"/>
            <w:noWrap/>
            <w:hideMark/>
          </w:tcPr>
          <w:p w14:paraId="6CCA94CA" w14:textId="77777777" w:rsidR="000F1C75"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lang w:eastAsia="cs-CZ"/>
              </w:rPr>
            </w:pPr>
            <w:r>
              <w:rPr>
                <w:rFonts w:ascii="Calibri" w:eastAsia="Times New Roman" w:hAnsi="Calibri" w:cs="Calibri"/>
                <w:bCs/>
                <w:color w:val="000000"/>
                <w:lang w:eastAsia="cs-CZ"/>
              </w:rPr>
              <w:t>20 000 000</w:t>
            </w:r>
          </w:p>
        </w:tc>
        <w:tc>
          <w:tcPr>
            <w:tcW w:w="626" w:type="pct"/>
            <w:noWrap/>
            <w:hideMark/>
          </w:tcPr>
          <w:p w14:paraId="32BAF2A9" w14:textId="77777777" w:rsidR="000F1C75"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lang w:eastAsia="cs-CZ"/>
              </w:rPr>
            </w:pPr>
            <w:r>
              <w:rPr>
                <w:rFonts w:ascii="Calibri" w:eastAsia="Times New Roman" w:hAnsi="Calibri" w:cs="Calibri"/>
                <w:bCs/>
                <w:color w:val="000000"/>
                <w:lang w:eastAsia="cs-CZ"/>
              </w:rPr>
              <w:t>1 222 174</w:t>
            </w:r>
          </w:p>
        </w:tc>
        <w:tc>
          <w:tcPr>
            <w:tcW w:w="779" w:type="pct"/>
            <w:noWrap/>
            <w:hideMark/>
          </w:tcPr>
          <w:p w14:paraId="48FBF8D0" w14:textId="77777777" w:rsidR="000F1C75"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cs-CZ"/>
              </w:rPr>
            </w:pPr>
            <w:r>
              <w:rPr>
                <w:rFonts w:ascii="Calibri" w:hAnsi="Calibri" w:cs="Calibri"/>
                <w:color w:val="000000"/>
              </w:rPr>
              <w:t>6,1</w:t>
            </w:r>
          </w:p>
        </w:tc>
      </w:tr>
      <w:tr w:rsidR="000F1C75" w14:paraId="4E982E44" w14:textId="77777777" w:rsidTr="000F1C7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34" w:type="pct"/>
            <w:noWrap/>
            <w:hideMark/>
          </w:tcPr>
          <w:p w14:paraId="5F02275F" w14:textId="77777777" w:rsidR="000F1C75" w:rsidRDefault="000F1C75" w:rsidP="000F1C75">
            <w:pPr>
              <w:spacing w:after="0"/>
              <w:rPr>
                <w:rFonts w:ascii="Calibri" w:eastAsia="Times New Roman" w:hAnsi="Calibri" w:cs="Calibri"/>
                <w:color w:val="000000"/>
                <w:lang w:eastAsia="cs-CZ"/>
              </w:rPr>
            </w:pPr>
            <w:r>
              <w:rPr>
                <w:rFonts w:ascii="Calibri" w:eastAsia="Times New Roman" w:hAnsi="Calibri" w:cs="Calibri"/>
                <w:color w:val="000000"/>
                <w:lang w:eastAsia="cs-CZ"/>
              </w:rPr>
              <w:t>MPO_Kancelářská a provozní technika</w:t>
            </w:r>
          </w:p>
        </w:tc>
        <w:tc>
          <w:tcPr>
            <w:tcW w:w="860" w:type="pct"/>
            <w:noWrap/>
            <w:hideMark/>
          </w:tcPr>
          <w:p w14:paraId="70AD5D72" w14:textId="77777777" w:rsidR="000F1C75"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lang w:eastAsia="cs-CZ"/>
              </w:rPr>
            </w:pPr>
            <w:r>
              <w:rPr>
                <w:rFonts w:ascii="Calibri" w:eastAsia="Times New Roman" w:hAnsi="Calibri" w:cs="Calibri"/>
                <w:bCs/>
                <w:color w:val="000000"/>
                <w:lang w:eastAsia="cs-CZ"/>
              </w:rPr>
              <w:t>18 000 000</w:t>
            </w:r>
          </w:p>
        </w:tc>
        <w:tc>
          <w:tcPr>
            <w:tcW w:w="626" w:type="pct"/>
            <w:noWrap/>
            <w:hideMark/>
          </w:tcPr>
          <w:p w14:paraId="45E6DADF" w14:textId="77777777" w:rsidR="000F1C75"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lang w:eastAsia="cs-CZ"/>
              </w:rPr>
            </w:pPr>
            <w:r>
              <w:rPr>
                <w:rFonts w:ascii="Calibri" w:eastAsia="Times New Roman" w:hAnsi="Calibri" w:cs="Calibri"/>
                <w:bCs/>
                <w:color w:val="000000"/>
                <w:lang w:eastAsia="cs-CZ"/>
              </w:rPr>
              <w:t>N/A</w:t>
            </w:r>
          </w:p>
        </w:tc>
        <w:tc>
          <w:tcPr>
            <w:tcW w:w="779" w:type="pct"/>
            <w:noWrap/>
            <w:hideMark/>
          </w:tcPr>
          <w:p w14:paraId="44676B9D" w14:textId="77777777" w:rsidR="000F1C75"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cs-CZ"/>
              </w:rPr>
            </w:pPr>
            <w:r>
              <w:rPr>
                <w:rFonts w:ascii="Calibri" w:eastAsia="Times New Roman" w:hAnsi="Calibri" w:cs="Calibri"/>
                <w:bCs/>
                <w:color w:val="000000"/>
                <w:lang w:eastAsia="cs-CZ"/>
              </w:rPr>
              <w:t>N/A</w:t>
            </w:r>
          </w:p>
        </w:tc>
      </w:tr>
      <w:tr w:rsidR="000F1C75" w14:paraId="43982C5E" w14:textId="77777777" w:rsidTr="000F1C75">
        <w:trPr>
          <w:trHeight w:val="288"/>
        </w:trPr>
        <w:tc>
          <w:tcPr>
            <w:cnfStyle w:val="001000000000" w:firstRow="0" w:lastRow="0" w:firstColumn="1" w:lastColumn="0" w:oddVBand="0" w:evenVBand="0" w:oddHBand="0" w:evenHBand="0" w:firstRowFirstColumn="0" w:firstRowLastColumn="0" w:lastRowFirstColumn="0" w:lastRowLastColumn="0"/>
            <w:tcW w:w="2734" w:type="pct"/>
            <w:noWrap/>
            <w:hideMark/>
          </w:tcPr>
          <w:p w14:paraId="3F33C470" w14:textId="77777777" w:rsidR="000F1C75" w:rsidRDefault="000F1C75" w:rsidP="000F1C75">
            <w:pPr>
              <w:spacing w:after="0"/>
              <w:rPr>
                <w:rFonts w:ascii="Calibri" w:eastAsia="Times New Roman" w:hAnsi="Calibri" w:cs="Calibri"/>
                <w:color w:val="000000"/>
                <w:lang w:eastAsia="cs-CZ"/>
              </w:rPr>
            </w:pPr>
            <w:r>
              <w:rPr>
                <w:rFonts w:ascii="Calibri" w:eastAsia="Times New Roman" w:hAnsi="Calibri" w:cs="Calibri"/>
                <w:color w:val="000000"/>
                <w:lang w:eastAsia="cs-CZ"/>
              </w:rPr>
              <w:t>MPO_Monitorovací výbor</w:t>
            </w:r>
          </w:p>
        </w:tc>
        <w:tc>
          <w:tcPr>
            <w:tcW w:w="860" w:type="pct"/>
            <w:noWrap/>
            <w:hideMark/>
          </w:tcPr>
          <w:p w14:paraId="4003DF71" w14:textId="77777777" w:rsidR="000F1C75"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lang w:eastAsia="cs-CZ"/>
              </w:rPr>
            </w:pPr>
            <w:r>
              <w:rPr>
                <w:rFonts w:ascii="Calibri" w:eastAsia="Times New Roman" w:hAnsi="Calibri" w:cs="Calibri"/>
                <w:bCs/>
                <w:color w:val="000000"/>
                <w:lang w:eastAsia="cs-CZ"/>
              </w:rPr>
              <w:t>2 250 000</w:t>
            </w:r>
          </w:p>
        </w:tc>
        <w:tc>
          <w:tcPr>
            <w:tcW w:w="626" w:type="pct"/>
            <w:noWrap/>
            <w:hideMark/>
          </w:tcPr>
          <w:p w14:paraId="6F9FDB53" w14:textId="77777777" w:rsidR="000F1C75"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lang w:eastAsia="cs-CZ"/>
              </w:rPr>
            </w:pPr>
            <w:r>
              <w:rPr>
                <w:rFonts w:ascii="Calibri" w:eastAsia="Times New Roman" w:hAnsi="Calibri" w:cs="Calibri"/>
                <w:bCs/>
                <w:color w:val="000000"/>
                <w:lang w:eastAsia="cs-CZ"/>
              </w:rPr>
              <w:t>N/A</w:t>
            </w:r>
          </w:p>
        </w:tc>
        <w:tc>
          <w:tcPr>
            <w:tcW w:w="779" w:type="pct"/>
            <w:noWrap/>
            <w:hideMark/>
          </w:tcPr>
          <w:p w14:paraId="62ADE0DB" w14:textId="77777777" w:rsidR="000F1C75"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cs-CZ"/>
              </w:rPr>
            </w:pPr>
            <w:r>
              <w:rPr>
                <w:rFonts w:ascii="Calibri" w:eastAsia="Times New Roman" w:hAnsi="Calibri" w:cs="Calibri"/>
                <w:bCs/>
                <w:color w:val="000000"/>
                <w:lang w:eastAsia="cs-CZ"/>
              </w:rPr>
              <w:t>N/A</w:t>
            </w:r>
          </w:p>
        </w:tc>
      </w:tr>
      <w:tr w:rsidR="000F1C75" w14:paraId="2E946945" w14:textId="77777777" w:rsidTr="000F1C7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34" w:type="pct"/>
            <w:noWrap/>
            <w:hideMark/>
          </w:tcPr>
          <w:p w14:paraId="3FEAE0D3" w14:textId="77777777" w:rsidR="000F1C75" w:rsidRDefault="000F1C75" w:rsidP="000F1C75">
            <w:pPr>
              <w:spacing w:after="0"/>
              <w:rPr>
                <w:rFonts w:ascii="Calibri" w:eastAsia="Times New Roman" w:hAnsi="Calibri" w:cs="Calibri"/>
                <w:color w:val="000000"/>
                <w:lang w:eastAsia="cs-CZ"/>
              </w:rPr>
            </w:pPr>
            <w:r>
              <w:rPr>
                <w:rFonts w:ascii="Calibri" w:eastAsia="Times New Roman" w:hAnsi="Calibri" w:cs="Calibri"/>
                <w:color w:val="000000"/>
                <w:lang w:eastAsia="cs-CZ"/>
              </w:rPr>
              <w:t>MPO_Osobní náklady</w:t>
            </w:r>
          </w:p>
        </w:tc>
        <w:tc>
          <w:tcPr>
            <w:tcW w:w="860" w:type="pct"/>
            <w:noWrap/>
            <w:hideMark/>
          </w:tcPr>
          <w:p w14:paraId="30BFCDDA" w14:textId="77777777" w:rsidR="000F1C75"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lang w:eastAsia="cs-CZ"/>
              </w:rPr>
            </w:pPr>
            <w:r>
              <w:rPr>
                <w:rFonts w:ascii="Calibri" w:eastAsia="Times New Roman" w:hAnsi="Calibri" w:cs="Calibri"/>
                <w:bCs/>
                <w:color w:val="000000"/>
                <w:lang w:eastAsia="cs-CZ"/>
              </w:rPr>
              <w:t>750 000 000</w:t>
            </w:r>
          </w:p>
        </w:tc>
        <w:tc>
          <w:tcPr>
            <w:tcW w:w="626" w:type="pct"/>
            <w:noWrap/>
            <w:hideMark/>
          </w:tcPr>
          <w:p w14:paraId="4948FDCF" w14:textId="77777777" w:rsidR="000F1C75"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lang w:eastAsia="cs-CZ"/>
              </w:rPr>
            </w:pPr>
            <w:r>
              <w:rPr>
                <w:rFonts w:ascii="Calibri" w:eastAsia="Times New Roman" w:hAnsi="Calibri" w:cs="Calibri"/>
                <w:bCs/>
                <w:color w:val="000000"/>
                <w:lang w:eastAsia="cs-CZ"/>
              </w:rPr>
              <w:t>N/A</w:t>
            </w:r>
          </w:p>
        </w:tc>
        <w:tc>
          <w:tcPr>
            <w:tcW w:w="779" w:type="pct"/>
            <w:noWrap/>
            <w:hideMark/>
          </w:tcPr>
          <w:p w14:paraId="103DD155" w14:textId="77777777" w:rsidR="000F1C75"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cs-CZ"/>
              </w:rPr>
            </w:pPr>
            <w:r>
              <w:rPr>
                <w:rFonts w:ascii="Calibri" w:eastAsia="Times New Roman" w:hAnsi="Calibri" w:cs="Calibri"/>
                <w:bCs/>
                <w:color w:val="000000"/>
                <w:lang w:eastAsia="cs-CZ"/>
              </w:rPr>
              <w:t>N/A</w:t>
            </w:r>
          </w:p>
        </w:tc>
      </w:tr>
      <w:tr w:rsidR="000F1C75" w14:paraId="77A2C45F" w14:textId="77777777" w:rsidTr="000F1C75">
        <w:trPr>
          <w:trHeight w:val="288"/>
        </w:trPr>
        <w:tc>
          <w:tcPr>
            <w:cnfStyle w:val="001000000000" w:firstRow="0" w:lastRow="0" w:firstColumn="1" w:lastColumn="0" w:oddVBand="0" w:evenVBand="0" w:oddHBand="0" w:evenHBand="0" w:firstRowFirstColumn="0" w:firstRowLastColumn="0" w:lastRowFirstColumn="0" w:lastRowLastColumn="0"/>
            <w:tcW w:w="2734" w:type="pct"/>
            <w:noWrap/>
            <w:hideMark/>
          </w:tcPr>
          <w:p w14:paraId="0E97492C" w14:textId="77777777" w:rsidR="000F1C75" w:rsidRDefault="000F1C75" w:rsidP="000F1C75">
            <w:pPr>
              <w:spacing w:after="0"/>
              <w:rPr>
                <w:rFonts w:ascii="Calibri" w:eastAsia="Times New Roman" w:hAnsi="Calibri" w:cs="Calibri"/>
                <w:color w:val="000000"/>
                <w:lang w:eastAsia="cs-CZ"/>
              </w:rPr>
            </w:pPr>
            <w:r>
              <w:rPr>
                <w:rFonts w:ascii="Calibri" w:eastAsia="Times New Roman" w:hAnsi="Calibri" w:cs="Calibri"/>
                <w:color w:val="000000"/>
                <w:lang w:eastAsia="cs-CZ"/>
              </w:rPr>
              <w:t xml:space="preserve">MPO_Platformy, kulaté stoly, pracovní skupiny </w:t>
            </w:r>
          </w:p>
        </w:tc>
        <w:tc>
          <w:tcPr>
            <w:tcW w:w="860" w:type="pct"/>
            <w:noWrap/>
            <w:hideMark/>
          </w:tcPr>
          <w:p w14:paraId="5CDECCF0" w14:textId="77777777" w:rsidR="000F1C75"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lang w:eastAsia="cs-CZ"/>
              </w:rPr>
            </w:pPr>
            <w:r>
              <w:rPr>
                <w:rFonts w:ascii="Calibri" w:eastAsia="Times New Roman" w:hAnsi="Calibri" w:cs="Calibri"/>
                <w:bCs/>
                <w:color w:val="000000"/>
                <w:lang w:eastAsia="cs-CZ"/>
              </w:rPr>
              <w:t>750 000</w:t>
            </w:r>
          </w:p>
        </w:tc>
        <w:tc>
          <w:tcPr>
            <w:tcW w:w="626" w:type="pct"/>
            <w:noWrap/>
            <w:hideMark/>
          </w:tcPr>
          <w:p w14:paraId="6A68F69D" w14:textId="77777777" w:rsidR="000F1C75"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lang w:eastAsia="cs-CZ"/>
              </w:rPr>
            </w:pPr>
            <w:r>
              <w:rPr>
                <w:rFonts w:ascii="Calibri" w:eastAsia="Times New Roman" w:hAnsi="Calibri" w:cs="Calibri"/>
                <w:bCs/>
                <w:color w:val="000000"/>
                <w:lang w:eastAsia="cs-CZ"/>
              </w:rPr>
              <w:t>69 250</w:t>
            </w:r>
          </w:p>
        </w:tc>
        <w:tc>
          <w:tcPr>
            <w:tcW w:w="779" w:type="pct"/>
            <w:noWrap/>
            <w:hideMark/>
          </w:tcPr>
          <w:p w14:paraId="57C9E6A9" w14:textId="77777777" w:rsidR="000F1C75"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cs-CZ"/>
              </w:rPr>
            </w:pPr>
            <w:r>
              <w:rPr>
                <w:rFonts w:ascii="Calibri" w:hAnsi="Calibri" w:cs="Calibri"/>
                <w:color w:val="000000"/>
              </w:rPr>
              <w:t>9,2</w:t>
            </w:r>
          </w:p>
        </w:tc>
      </w:tr>
      <w:tr w:rsidR="000F1C75" w14:paraId="20073E24" w14:textId="77777777" w:rsidTr="000F1C7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34" w:type="pct"/>
            <w:noWrap/>
            <w:hideMark/>
          </w:tcPr>
          <w:p w14:paraId="3A546EB1" w14:textId="77777777" w:rsidR="000F1C75" w:rsidRDefault="000F1C75" w:rsidP="000F1C75">
            <w:pPr>
              <w:spacing w:after="0"/>
              <w:rPr>
                <w:rFonts w:ascii="Calibri" w:eastAsia="Times New Roman" w:hAnsi="Calibri" w:cs="Calibri"/>
                <w:color w:val="000000"/>
                <w:lang w:eastAsia="cs-CZ"/>
              </w:rPr>
            </w:pPr>
            <w:r>
              <w:rPr>
                <w:rFonts w:ascii="Calibri" w:eastAsia="Times New Roman" w:hAnsi="Calibri" w:cs="Calibri"/>
                <w:color w:val="000000"/>
                <w:lang w:eastAsia="cs-CZ"/>
              </w:rPr>
              <w:t>MPO_Provozní výdaje</w:t>
            </w:r>
          </w:p>
        </w:tc>
        <w:tc>
          <w:tcPr>
            <w:tcW w:w="860" w:type="pct"/>
            <w:noWrap/>
            <w:hideMark/>
          </w:tcPr>
          <w:p w14:paraId="542751A5" w14:textId="77777777" w:rsidR="000F1C75"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lang w:eastAsia="cs-CZ"/>
              </w:rPr>
            </w:pPr>
            <w:r>
              <w:rPr>
                <w:rFonts w:ascii="Calibri" w:eastAsia="Times New Roman" w:hAnsi="Calibri" w:cs="Calibri"/>
                <w:bCs/>
                <w:color w:val="000000"/>
                <w:lang w:eastAsia="cs-CZ"/>
              </w:rPr>
              <w:t>18 000 000</w:t>
            </w:r>
          </w:p>
        </w:tc>
        <w:tc>
          <w:tcPr>
            <w:tcW w:w="626" w:type="pct"/>
            <w:noWrap/>
            <w:hideMark/>
          </w:tcPr>
          <w:p w14:paraId="0373FC83" w14:textId="77777777" w:rsidR="000F1C75"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lang w:eastAsia="cs-CZ"/>
              </w:rPr>
            </w:pPr>
            <w:r>
              <w:rPr>
                <w:rFonts w:ascii="Calibri" w:eastAsia="Times New Roman" w:hAnsi="Calibri" w:cs="Calibri"/>
                <w:bCs/>
                <w:color w:val="000000"/>
                <w:lang w:eastAsia="cs-CZ"/>
              </w:rPr>
              <w:t>726 164</w:t>
            </w:r>
          </w:p>
        </w:tc>
        <w:tc>
          <w:tcPr>
            <w:tcW w:w="779" w:type="pct"/>
            <w:noWrap/>
            <w:hideMark/>
          </w:tcPr>
          <w:p w14:paraId="13AAF1B4" w14:textId="77777777" w:rsidR="000F1C75"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cs-CZ"/>
              </w:rPr>
            </w:pPr>
            <w:r>
              <w:rPr>
                <w:rFonts w:ascii="Calibri" w:hAnsi="Calibri" w:cs="Calibri"/>
                <w:color w:val="000000"/>
              </w:rPr>
              <w:t>4,0</w:t>
            </w:r>
          </w:p>
        </w:tc>
      </w:tr>
      <w:tr w:rsidR="000F1C75" w14:paraId="24347532" w14:textId="77777777" w:rsidTr="000F1C75">
        <w:trPr>
          <w:trHeight w:val="288"/>
        </w:trPr>
        <w:tc>
          <w:tcPr>
            <w:cnfStyle w:val="001000000000" w:firstRow="0" w:lastRow="0" w:firstColumn="1" w:lastColumn="0" w:oddVBand="0" w:evenVBand="0" w:oddHBand="0" w:evenHBand="0" w:firstRowFirstColumn="0" w:firstRowLastColumn="0" w:lastRowFirstColumn="0" w:lastRowLastColumn="0"/>
            <w:tcW w:w="2734" w:type="pct"/>
            <w:noWrap/>
            <w:hideMark/>
          </w:tcPr>
          <w:p w14:paraId="50E7A3F3" w14:textId="77777777" w:rsidR="000F1C75" w:rsidRDefault="000F1C75" w:rsidP="000F1C75">
            <w:pPr>
              <w:spacing w:after="0"/>
              <w:rPr>
                <w:rFonts w:ascii="Calibri" w:eastAsia="Times New Roman" w:hAnsi="Calibri" w:cs="Calibri"/>
                <w:color w:val="000000"/>
                <w:lang w:eastAsia="cs-CZ"/>
              </w:rPr>
            </w:pPr>
            <w:r>
              <w:rPr>
                <w:rFonts w:ascii="Calibri" w:eastAsia="Times New Roman" w:hAnsi="Calibri" w:cs="Calibri"/>
                <w:color w:val="000000"/>
                <w:lang w:eastAsia="cs-CZ"/>
              </w:rPr>
              <w:t>MPO_Publicita</w:t>
            </w:r>
          </w:p>
        </w:tc>
        <w:tc>
          <w:tcPr>
            <w:tcW w:w="860" w:type="pct"/>
            <w:noWrap/>
            <w:hideMark/>
          </w:tcPr>
          <w:p w14:paraId="618975F2" w14:textId="77777777" w:rsidR="000F1C75"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lang w:eastAsia="cs-CZ"/>
              </w:rPr>
            </w:pPr>
            <w:r>
              <w:rPr>
                <w:rFonts w:ascii="Calibri" w:eastAsia="Times New Roman" w:hAnsi="Calibri" w:cs="Calibri"/>
                <w:bCs/>
                <w:color w:val="000000"/>
                <w:lang w:eastAsia="cs-CZ"/>
              </w:rPr>
              <w:t>60 000 000</w:t>
            </w:r>
          </w:p>
        </w:tc>
        <w:tc>
          <w:tcPr>
            <w:tcW w:w="626" w:type="pct"/>
            <w:noWrap/>
            <w:hideMark/>
          </w:tcPr>
          <w:p w14:paraId="717EA87E" w14:textId="77777777" w:rsidR="000F1C75"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lang w:eastAsia="cs-CZ"/>
              </w:rPr>
            </w:pPr>
            <w:r>
              <w:rPr>
                <w:rFonts w:ascii="Calibri" w:eastAsia="Times New Roman" w:hAnsi="Calibri" w:cs="Calibri"/>
                <w:bCs/>
                <w:color w:val="000000"/>
                <w:lang w:eastAsia="cs-CZ"/>
              </w:rPr>
              <w:t>682 080</w:t>
            </w:r>
          </w:p>
        </w:tc>
        <w:tc>
          <w:tcPr>
            <w:tcW w:w="779" w:type="pct"/>
            <w:noWrap/>
            <w:hideMark/>
          </w:tcPr>
          <w:p w14:paraId="2312D2FA" w14:textId="77777777" w:rsidR="000F1C75"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cs-CZ"/>
              </w:rPr>
            </w:pPr>
            <w:r>
              <w:rPr>
                <w:rFonts w:ascii="Calibri" w:hAnsi="Calibri" w:cs="Calibri"/>
                <w:color w:val="000000"/>
              </w:rPr>
              <w:t>1,1</w:t>
            </w:r>
          </w:p>
        </w:tc>
      </w:tr>
      <w:tr w:rsidR="000F1C75" w14:paraId="23C6923E" w14:textId="77777777" w:rsidTr="000F1C7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34" w:type="pct"/>
            <w:noWrap/>
            <w:hideMark/>
          </w:tcPr>
          <w:p w14:paraId="0B80D7BC" w14:textId="77777777" w:rsidR="000F1C75" w:rsidRDefault="000F1C75" w:rsidP="000F1C75">
            <w:pPr>
              <w:spacing w:after="0"/>
              <w:rPr>
                <w:rFonts w:ascii="Calibri" w:eastAsia="Times New Roman" w:hAnsi="Calibri" w:cs="Calibri"/>
                <w:color w:val="000000"/>
                <w:lang w:eastAsia="cs-CZ"/>
              </w:rPr>
            </w:pPr>
            <w:r>
              <w:rPr>
                <w:rFonts w:ascii="Calibri" w:eastAsia="Times New Roman" w:hAnsi="Calibri" w:cs="Calibri"/>
                <w:color w:val="000000"/>
                <w:lang w:eastAsia="cs-CZ"/>
              </w:rPr>
              <w:t xml:space="preserve">MPO_Vzdělávání </w:t>
            </w:r>
          </w:p>
        </w:tc>
        <w:tc>
          <w:tcPr>
            <w:tcW w:w="860" w:type="pct"/>
            <w:noWrap/>
            <w:hideMark/>
          </w:tcPr>
          <w:p w14:paraId="68E0EF3B" w14:textId="77777777" w:rsidR="000F1C75"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lang w:eastAsia="cs-CZ"/>
              </w:rPr>
            </w:pPr>
            <w:r>
              <w:rPr>
                <w:rFonts w:ascii="Calibri" w:eastAsia="Times New Roman" w:hAnsi="Calibri" w:cs="Calibri"/>
                <w:bCs/>
                <w:color w:val="000000"/>
                <w:lang w:eastAsia="cs-CZ"/>
              </w:rPr>
              <w:t>9 000 000</w:t>
            </w:r>
          </w:p>
        </w:tc>
        <w:tc>
          <w:tcPr>
            <w:tcW w:w="626" w:type="pct"/>
            <w:noWrap/>
            <w:hideMark/>
          </w:tcPr>
          <w:p w14:paraId="1846A385" w14:textId="77777777" w:rsidR="000F1C75"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lang w:eastAsia="cs-CZ"/>
              </w:rPr>
            </w:pPr>
            <w:r>
              <w:rPr>
                <w:rFonts w:ascii="Calibri" w:eastAsia="Times New Roman" w:hAnsi="Calibri" w:cs="Calibri"/>
                <w:bCs/>
                <w:color w:val="000000"/>
                <w:lang w:eastAsia="cs-CZ"/>
              </w:rPr>
              <w:t>1 065 687</w:t>
            </w:r>
          </w:p>
        </w:tc>
        <w:tc>
          <w:tcPr>
            <w:tcW w:w="779" w:type="pct"/>
            <w:noWrap/>
            <w:hideMark/>
          </w:tcPr>
          <w:p w14:paraId="68FBED2C" w14:textId="77777777" w:rsidR="000F1C75"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cs-CZ"/>
              </w:rPr>
            </w:pPr>
            <w:r>
              <w:rPr>
                <w:rFonts w:ascii="Calibri" w:hAnsi="Calibri" w:cs="Calibri"/>
                <w:color w:val="000000"/>
              </w:rPr>
              <w:t>11,8</w:t>
            </w:r>
          </w:p>
        </w:tc>
      </w:tr>
      <w:tr w:rsidR="000F1C75" w14:paraId="38134E15" w14:textId="77777777" w:rsidTr="000F1C75">
        <w:trPr>
          <w:trHeight w:val="288"/>
        </w:trPr>
        <w:tc>
          <w:tcPr>
            <w:cnfStyle w:val="001000000000" w:firstRow="0" w:lastRow="0" w:firstColumn="1" w:lastColumn="0" w:oddVBand="0" w:evenVBand="0" w:oddHBand="0" w:evenHBand="0" w:firstRowFirstColumn="0" w:firstRowLastColumn="0" w:lastRowFirstColumn="0" w:lastRowLastColumn="0"/>
            <w:tcW w:w="2734" w:type="pct"/>
            <w:noWrap/>
            <w:hideMark/>
          </w:tcPr>
          <w:p w14:paraId="13E52586" w14:textId="77777777" w:rsidR="000F1C75" w:rsidRDefault="000F1C75" w:rsidP="000F1C75">
            <w:pPr>
              <w:spacing w:after="0"/>
              <w:rPr>
                <w:rFonts w:ascii="Calibri" w:eastAsia="Times New Roman" w:hAnsi="Calibri" w:cs="Calibri"/>
                <w:color w:val="000000"/>
                <w:lang w:eastAsia="cs-CZ"/>
              </w:rPr>
            </w:pPr>
            <w:r>
              <w:rPr>
                <w:rFonts w:ascii="Calibri" w:eastAsia="Times New Roman" w:hAnsi="Calibri" w:cs="Calibri"/>
                <w:color w:val="000000"/>
                <w:lang w:eastAsia="cs-CZ"/>
              </w:rPr>
              <w:t>ZS_Externí služby</w:t>
            </w:r>
          </w:p>
        </w:tc>
        <w:tc>
          <w:tcPr>
            <w:tcW w:w="860" w:type="pct"/>
            <w:noWrap/>
            <w:hideMark/>
          </w:tcPr>
          <w:p w14:paraId="58DD46B7" w14:textId="77777777" w:rsidR="000F1C75"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lang w:eastAsia="cs-CZ"/>
              </w:rPr>
            </w:pPr>
            <w:r>
              <w:rPr>
                <w:rFonts w:ascii="Calibri" w:eastAsia="Times New Roman" w:hAnsi="Calibri" w:cs="Calibri"/>
                <w:bCs/>
                <w:color w:val="000000"/>
                <w:lang w:eastAsia="cs-CZ"/>
              </w:rPr>
              <w:t>7 470 000</w:t>
            </w:r>
          </w:p>
        </w:tc>
        <w:tc>
          <w:tcPr>
            <w:tcW w:w="626" w:type="pct"/>
            <w:noWrap/>
            <w:hideMark/>
          </w:tcPr>
          <w:p w14:paraId="3BEECDCC" w14:textId="77777777" w:rsidR="000F1C75"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lang w:eastAsia="cs-CZ"/>
              </w:rPr>
            </w:pPr>
            <w:r>
              <w:rPr>
                <w:rFonts w:ascii="Calibri" w:eastAsia="Times New Roman" w:hAnsi="Calibri" w:cs="Calibri"/>
                <w:bCs/>
                <w:color w:val="000000"/>
                <w:lang w:eastAsia="cs-CZ"/>
              </w:rPr>
              <w:t>605 688</w:t>
            </w:r>
          </w:p>
        </w:tc>
        <w:tc>
          <w:tcPr>
            <w:tcW w:w="779" w:type="pct"/>
            <w:noWrap/>
            <w:hideMark/>
          </w:tcPr>
          <w:p w14:paraId="5359D37D" w14:textId="77777777" w:rsidR="000F1C75"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cs-CZ"/>
              </w:rPr>
            </w:pPr>
            <w:r>
              <w:rPr>
                <w:rFonts w:ascii="Calibri" w:hAnsi="Calibri" w:cs="Calibri"/>
                <w:color w:val="000000"/>
              </w:rPr>
              <w:t>8,1</w:t>
            </w:r>
          </w:p>
        </w:tc>
      </w:tr>
      <w:tr w:rsidR="000F1C75" w14:paraId="69FBEFFC" w14:textId="77777777" w:rsidTr="000F1C7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34" w:type="pct"/>
            <w:noWrap/>
            <w:hideMark/>
          </w:tcPr>
          <w:p w14:paraId="57A75624" w14:textId="77777777" w:rsidR="000F1C75" w:rsidRDefault="000F1C75" w:rsidP="000F1C75">
            <w:pPr>
              <w:spacing w:after="0"/>
              <w:rPr>
                <w:rFonts w:ascii="Calibri" w:eastAsia="Times New Roman" w:hAnsi="Calibri" w:cs="Calibri"/>
                <w:color w:val="000000"/>
                <w:lang w:eastAsia="cs-CZ"/>
              </w:rPr>
            </w:pPr>
            <w:r>
              <w:rPr>
                <w:rFonts w:ascii="Calibri" w:eastAsia="Times New Roman" w:hAnsi="Calibri" w:cs="Calibri"/>
                <w:color w:val="000000"/>
                <w:lang w:eastAsia="cs-CZ"/>
              </w:rPr>
              <w:t>ZS_IT infrastruktura - investice</w:t>
            </w:r>
          </w:p>
        </w:tc>
        <w:tc>
          <w:tcPr>
            <w:tcW w:w="860" w:type="pct"/>
            <w:noWrap/>
            <w:hideMark/>
          </w:tcPr>
          <w:p w14:paraId="49A08D1A" w14:textId="77777777" w:rsidR="000F1C75"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lang w:eastAsia="cs-CZ"/>
              </w:rPr>
            </w:pPr>
            <w:r>
              <w:rPr>
                <w:rFonts w:ascii="Calibri" w:eastAsia="Times New Roman" w:hAnsi="Calibri" w:cs="Calibri"/>
                <w:bCs/>
                <w:color w:val="000000"/>
                <w:lang w:eastAsia="cs-CZ"/>
              </w:rPr>
              <w:t>6 000 000</w:t>
            </w:r>
          </w:p>
        </w:tc>
        <w:tc>
          <w:tcPr>
            <w:tcW w:w="626" w:type="pct"/>
            <w:noWrap/>
            <w:hideMark/>
          </w:tcPr>
          <w:p w14:paraId="2F51F91C" w14:textId="77777777" w:rsidR="000F1C75"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lang w:eastAsia="cs-CZ"/>
              </w:rPr>
            </w:pPr>
            <w:r>
              <w:rPr>
                <w:rFonts w:ascii="Calibri" w:eastAsia="Times New Roman" w:hAnsi="Calibri" w:cs="Calibri"/>
                <w:bCs/>
                <w:color w:val="000000"/>
                <w:lang w:eastAsia="cs-CZ"/>
              </w:rPr>
              <w:t>N/A</w:t>
            </w:r>
          </w:p>
        </w:tc>
        <w:tc>
          <w:tcPr>
            <w:tcW w:w="779" w:type="pct"/>
            <w:noWrap/>
            <w:hideMark/>
          </w:tcPr>
          <w:p w14:paraId="76CE78C4" w14:textId="77777777" w:rsidR="000F1C75"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cs-CZ"/>
              </w:rPr>
            </w:pPr>
            <w:r>
              <w:rPr>
                <w:rFonts w:ascii="Calibri" w:eastAsia="Times New Roman" w:hAnsi="Calibri" w:cs="Calibri"/>
                <w:bCs/>
                <w:color w:val="000000"/>
                <w:lang w:eastAsia="cs-CZ"/>
              </w:rPr>
              <w:t>N/A</w:t>
            </w:r>
          </w:p>
        </w:tc>
      </w:tr>
      <w:tr w:rsidR="000F1C75" w14:paraId="182DBCA9" w14:textId="77777777" w:rsidTr="000F1C75">
        <w:trPr>
          <w:trHeight w:val="288"/>
        </w:trPr>
        <w:tc>
          <w:tcPr>
            <w:cnfStyle w:val="001000000000" w:firstRow="0" w:lastRow="0" w:firstColumn="1" w:lastColumn="0" w:oddVBand="0" w:evenVBand="0" w:oddHBand="0" w:evenHBand="0" w:firstRowFirstColumn="0" w:firstRowLastColumn="0" w:lastRowFirstColumn="0" w:lastRowLastColumn="0"/>
            <w:tcW w:w="2734" w:type="pct"/>
            <w:noWrap/>
            <w:hideMark/>
          </w:tcPr>
          <w:p w14:paraId="01328F43" w14:textId="77777777" w:rsidR="000F1C75" w:rsidRDefault="000F1C75" w:rsidP="000F1C75">
            <w:pPr>
              <w:spacing w:after="0"/>
              <w:rPr>
                <w:rFonts w:ascii="Calibri" w:eastAsia="Times New Roman" w:hAnsi="Calibri" w:cs="Calibri"/>
                <w:color w:val="000000"/>
                <w:lang w:eastAsia="cs-CZ"/>
              </w:rPr>
            </w:pPr>
            <w:r>
              <w:rPr>
                <w:rFonts w:ascii="Calibri" w:eastAsia="Times New Roman" w:hAnsi="Calibri" w:cs="Calibri"/>
                <w:color w:val="000000"/>
                <w:lang w:eastAsia="cs-CZ"/>
              </w:rPr>
              <w:t>ZS_IT infrastruktura - provoz</w:t>
            </w:r>
          </w:p>
        </w:tc>
        <w:tc>
          <w:tcPr>
            <w:tcW w:w="860" w:type="pct"/>
            <w:noWrap/>
            <w:hideMark/>
          </w:tcPr>
          <w:p w14:paraId="0BAEA25C" w14:textId="77777777" w:rsidR="000F1C75"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lang w:eastAsia="cs-CZ"/>
              </w:rPr>
            </w:pPr>
            <w:r>
              <w:rPr>
                <w:rFonts w:ascii="Calibri" w:eastAsia="Times New Roman" w:hAnsi="Calibri" w:cs="Calibri"/>
                <w:bCs/>
                <w:color w:val="000000"/>
                <w:lang w:eastAsia="cs-CZ"/>
              </w:rPr>
              <w:t>12 000 000</w:t>
            </w:r>
          </w:p>
        </w:tc>
        <w:tc>
          <w:tcPr>
            <w:tcW w:w="626" w:type="pct"/>
            <w:noWrap/>
            <w:hideMark/>
          </w:tcPr>
          <w:p w14:paraId="45974C8F" w14:textId="77777777" w:rsidR="000F1C75"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lang w:eastAsia="cs-CZ"/>
              </w:rPr>
            </w:pPr>
            <w:r>
              <w:rPr>
                <w:rFonts w:ascii="Calibri" w:eastAsia="Times New Roman" w:hAnsi="Calibri" w:cs="Calibri"/>
                <w:bCs/>
                <w:color w:val="000000"/>
                <w:lang w:eastAsia="cs-CZ"/>
              </w:rPr>
              <w:t>N/A</w:t>
            </w:r>
          </w:p>
        </w:tc>
        <w:tc>
          <w:tcPr>
            <w:tcW w:w="779" w:type="pct"/>
            <w:noWrap/>
            <w:hideMark/>
          </w:tcPr>
          <w:p w14:paraId="5860E493" w14:textId="77777777" w:rsidR="000F1C75"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cs-CZ"/>
              </w:rPr>
            </w:pPr>
            <w:r>
              <w:rPr>
                <w:rFonts w:ascii="Calibri" w:eastAsia="Times New Roman" w:hAnsi="Calibri" w:cs="Calibri"/>
                <w:bCs/>
                <w:color w:val="000000"/>
                <w:lang w:eastAsia="cs-CZ"/>
              </w:rPr>
              <w:t>N/A</w:t>
            </w:r>
          </w:p>
        </w:tc>
      </w:tr>
      <w:tr w:rsidR="000F1C75" w14:paraId="3E762724" w14:textId="77777777" w:rsidTr="000F1C7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34" w:type="pct"/>
            <w:noWrap/>
            <w:hideMark/>
          </w:tcPr>
          <w:p w14:paraId="2DAB7065" w14:textId="77777777" w:rsidR="000F1C75" w:rsidRDefault="000F1C75" w:rsidP="000F1C75">
            <w:pPr>
              <w:spacing w:after="0"/>
              <w:rPr>
                <w:rFonts w:ascii="Calibri" w:eastAsia="Times New Roman" w:hAnsi="Calibri" w:cs="Calibri"/>
                <w:color w:val="000000"/>
                <w:lang w:eastAsia="cs-CZ"/>
              </w:rPr>
            </w:pPr>
            <w:r>
              <w:rPr>
                <w:rFonts w:ascii="Calibri" w:eastAsia="Times New Roman" w:hAnsi="Calibri" w:cs="Calibri"/>
                <w:color w:val="000000"/>
                <w:lang w:eastAsia="cs-CZ"/>
              </w:rPr>
              <w:t>ZS_Osobní náklady</w:t>
            </w:r>
          </w:p>
        </w:tc>
        <w:tc>
          <w:tcPr>
            <w:tcW w:w="860" w:type="pct"/>
            <w:noWrap/>
            <w:hideMark/>
          </w:tcPr>
          <w:p w14:paraId="250393BB" w14:textId="77777777" w:rsidR="000F1C75"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lang w:eastAsia="cs-CZ"/>
              </w:rPr>
            </w:pPr>
            <w:r>
              <w:rPr>
                <w:rFonts w:ascii="Calibri" w:eastAsia="Times New Roman" w:hAnsi="Calibri" w:cs="Calibri"/>
                <w:bCs/>
                <w:color w:val="000000"/>
                <w:lang w:eastAsia="cs-CZ"/>
              </w:rPr>
              <w:t>115 192 713</w:t>
            </w:r>
          </w:p>
        </w:tc>
        <w:tc>
          <w:tcPr>
            <w:tcW w:w="626" w:type="pct"/>
            <w:noWrap/>
            <w:hideMark/>
          </w:tcPr>
          <w:p w14:paraId="154739E3" w14:textId="77777777" w:rsidR="000F1C75"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lang w:eastAsia="cs-CZ"/>
              </w:rPr>
            </w:pPr>
            <w:r>
              <w:rPr>
                <w:rFonts w:ascii="Calibri" w:eastAsia="Times New Roman" w:hAnsi="Calibri" w:cs="Calibri"/>
                <w:bCs/>
                <w:color w:val="000000"/>
                <w:lang w:eastAsia="cs-CZ"/>
              </w:rPr>
              <w:t>N/A</w:t>
            </w:r>
          </w:p>
        </w:tc>
        <w:tc>
          <w:tcPr>
            <w:tcW w:w="779" w:type="pct"/>
            <w:noWrap/>
            <w:hideMark/>
          </w:tcPr>
          <w:p w14:paraId="688481D8" w14:textId="77777777" w:rsidR="000F1C75"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cs-CZ"/>
              </w:rPr>
            </w:pPr>
            <w:r>
              <w:rPr>
                <w:rFonts w:ascii="Calibri" w:eastAsia="Times New Roman" w:hAnsi="Calibri" w:cs="Calibri"/>
                <w:bCs/>
                <w:color w:val="000000"/>
                <w:lang w:eastAsia="cs-CZ"/>
              </w:rPr>
              <w:t>N/A</w:t>
            </w:r>
          </w:p>
        </w:tc>
      </w:tr>
      <w:tr w:rsidR="000F1C75" w14:paraId="4217E6E0" w14:textId="77777777" w:rsidTr="000F1C75">
        <w:trPr>
          <w:trHeight w:val="288"/>
        </w:trPr>
        <w:tc>
          <w:tcPr>
            <w:cnfStyle w:val="001000000000" w:firstRow="0" w:lastRow="0" w:firstColumn="1" w:lastColumn="0" w:oddVBand="0" w:evenVBand="0" w:oddHBand="0" w:evenHBand="0" w:firstRowFirstColumn="0" w:firstRowLastColumn="0" w:lastRowFirstColumn="0" w:lastRowLastColumn="0"/>
            <w:tcW w:w="2734" w:type="pct"/>
            <w:noWrap/>
            <w:hideMark/>
          </w:tcPr>
          <w:p w14:paraId="55C86A97" w14:textId="77777777" w:rsidR="000F1C75" w:rsidRDefault="000F1C75" w:rsidP="000F1C75">
            <w:pPr>
              <w:spacing w:after="0"/>
              <w:rPr>
                <w:rFonts w:ascii="Calibri" w:eastAsia="Times New Roman" w:hAnsi="Calibri" w:cs="Calibri"/>
                <w:color w:val="000000"/>
                <w:lang w:eastAsia="cs-CZ"/>
              </w:rPr>
            </w:pPr>
            <w:r>
              <w:rPr>
                <w:rFonts w:ascii="Calibri" w:eastAsia="Times New Roman" w:hAnsi="Calibri" w:cs="Calibri"/>
                <w:color w:val="000000"/>
                <w:lang w:eastAsia="cs-CZ"/>
              </w:rPr>
              <w:t>ZS_Provoz - dodávky</w:t>
            </w:r>
          </w:p>
        </w:tc>
        <w:tc>
          <w:tcPr>
            <w:tcW w:w="860" w:type="pct"/>
            <w:noWrap/>
            <w:hideMark/>
          </w:tcPr>
          <w:p w14:paraId="04AE0CE2" w14:textId="77777777" w:rsidR="000F1C75"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lang w:eastAsia="cs-CZ"/>
              </w:rPr>
            </w:pPr>
            <w:r>
              <w:rPr>
                <w:rFonts w:ascii="Calibri" w:eastAsia="Times New Roman" w:hAnsi="Calibri" w:cs="Calibri"/>
                <w:bCs/>
                <w:color w:val="000000"/>
                <w:lang w:eastAsia="cs-CZ"/>
              </w:rPr>
              <w:t>5 800 000</w:t>
            </w:r>
          </w:p>
        </w:tc>
        <w:tc>
          <w:tcPr>
            <w:tcW w:w="626" w:type="pct"/>
            <w:noWrap/>
            <w:hideMark/>
          </w:tcPr>
          <w:p w14:paraId="2430EE67" w14:textId="77777777" w:rsidR="000F1C75"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lang w:eastAsia="cs-CZ"/>
              </w:rPr>
            </w:pPr>
            <w:r>
              <w:rPr>
                <w:rFonts w:ascii="Calibri" w:eastAsia="Times New Roman" w:hAnsi="Calibri" w:cs="Calibri"/>
                <w:bCs/>
                <w:color w:val="000000"/>
                <w:lang w:eastAsia="cs-CZ"/>
              </w:rPr>
              <w:t>107 451</w:t>
            </w:r>
          </w:p>
        </w:tc>
        <w:tc>
          <w:tcPr>
            <w:tcW w:w="779" w:type="pct"/>
            <w:noWrap/>
            <w:hideMark/>
          </w:tcPr>
          <w:p w14:paraId="0436B705" w14:textId="77777777" w:rsidR="000F1C75"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cs-CZ"/>
              </w:rPr>
            </w:pPr>
            <w:r>
              <w:rPr>
                <w:rFonts w:ascii="Calibri" w:hAnsi="Calibri" w:cs="Calibri"/>
                <w:color w:val="000000"/>
              </w:rPr>
              <w:t>1,9</w:t>
            </w:r>
          </w:p>
        </w:tc>
      </w:tr>
      <w:tr w:rsidR="000F1C75" w14:paraId="22F0D03E" w14:textId="77777777" w:rsidTr="000F1C7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34" w:type="pct"/>
            <w:noWrap/>
            <w:hideMark/>
          </w:tcPr>
          <w:p w14:paraId="2A00F1B9" w14:textId="77777777" w:rsidR="000F1C75" w:rsidRDefault="000F1C75" w:rsidP="000F1C75">
            <w:pPr>
              <w:spacing w:after="0"/>
              <w:rPr>
                <w:rFonts w:ascii="Calibri" w:eastAsia="Times New Roman" w:hAnsi="Calibri" w:cs="Calibri"/>
                <w:color w:val="000000"/>
                <w:lang w:eastAsia="cs-CZ"/>
              </w:rPr>
            </w:pPr>
            <w:r>
              <w:rPr>
                <w:rFonts w:ascii="Calibri" w:eastAsia="Times New Roman" w:hAnsi="Calibri" w:cs="Calibri"/>
                <w:color w:val="000000"/>
                <w:lang w:eastAsia="cs-CZ"/>
              </w:rPr>
              <w:t>ZS_Provoz - nájem</w:t>
            </w:r>
          </w:p>
        </w:tc>
        <w:tc>
          <w:tcPr>
            <w:tcW w:w="860" w:type="pct"/>
            <w:noWrap/>
            <w:hideMark/>
          </w:tcPr>
          <w:p w14:paraId="01461197" w14:textId="77777777" w:rsidR="000F1C75"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lang w:eastAsia="cs-CZ"/>
              </w:rPr>
            </w:pPr>
            <w:r>
              <w:rPr>
                <w:rFonts w:ascii="Calibri" w:eastAsia="Times New Roman" w:hAnsi="Calibri" w:cs="Calibri"/>
                <w:bCs/>
                <w:color w:val="000000"/>
                <w:lang w:eastAsia="cs-CZ"/>
              </w:rPr>
              <w:t>50 160 000</w:t>
            </w:r>
          </w:p>
        </w:tc>
        <w:tc>
          <w:tcPr>
            <w:tcW w:w="626" w:type="pct"/>
            <w:noWrap/>
            <w:hideMark/>
          </w:tcPr>
          <w:p w14:paraId="781D76FD" w14:textId="77777777" w:rsidR="000F1C75"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lang w:eastAsia="cs-CZ"/>
              </w:rPr>
            </w:pPr>
            <w:r>
              <w:rPr>
                <w:rFonts w:ascii="Calibri" w:eastAsia="Times New Roman" w:hAnsi="Calibri" w:cs="Calibri"/>
                <w:bCs/>
                <w:color w:val="000000"/>
                <w:lang w:eastAsia="cs-CZ"/>
              </w:rPr>
              <w:t>4 713 119</w:t>
            </w:r>
          </w:p>
        </w:tc>
        <w:tc>
          <w:tcPr>
            <w:tcW w:w="779" w:type="pct"/>
            <w:noWrap/>
            <w:hideMark/>
          </w:tcPr>
          <w:p w14:paraId="1D6ABD67" w14:textId="77777777" w:rsidR="000F1C75"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cs-CZ"/>
              </w:rPr>
            </w:pPr>
            <w:r>
              <w:rPr>
                <w:rFonts w:ascii="Calibri" w:hAnsi="Calibri" w:cs="Calibri"/>
                <w:color w:val="000000"/>
              </w:rPr>
              <w:t>9,4</w:t>
            </w:r>
          </w:p>
        </w:tc>
      </w:tr>
      <w:tr w:rsidR="000F1C75" w14:paraId="2DD60C95" w14:textId="77777777" w:rsidTr="000F1C75">
        <w:trPr>
          <w:trHeight w:val="288"/>
        </w:trPr>
        <w:tc>
          <w:tcPr>
            <w:cnfStyle w:val="001000000000" w:firstRow="0" w:lastRow="0" w:firstColumn="1" w:lastColumn="0" w:oddVBand="0" w:evenVBand="0" w:oddHBand="0" w:evenHBand="0" w:firstRowFirstColumn="0" w:firstRowLastColumn="0" w:lastRowFirstColumn="0" w:lastRowLastColumn="0"/>
            <w:tcW w:w="2734" w:type="pct"/>
            <w:noWrap/>
            <w:hideMark/>
          </w:tcPr>
          <w:p w14:paraId="0B719A5E" w14:textId="77777777" w:rsidR="000F1C75" w:rsidRDefault="000F1C75" w:rsidP="000F1C75">
            <w:pPr>
              <w:spacing w:after="0"/>
              <w:rPr>
                <w:rFonts w:ascii="Calibri" w:eastAsia="Times New Roman" w:hAnsi="Calibri" w:cs="Calibri"/>
                <w:color w:val="000000"/>
                <w:lang w:eastAsia="cs-CZ"/>
              </w:rPr>
            </w:pPr>
            <w:r>
              <w:rPr>
                <w:rFonts w:ascii="Calibri" w:eastAsia="Times New Roman" w:hAnsi="Calibri" w:cs="Calibri"/>
                <w:color w:val="000000"/>
                <w:lang w:eastAsia="cs-CZ"/>
              </w:rPr>
              <w:lastRenderedPageBreak/>
              <w:t>ZS_Provoz - služby</w:t>
            </w:r>
          </w:p>
        </w:tc>
        <w:tc>
          <w:tcPr>
            <w:tcW w:w="860" w:type="pct"/>
            <w:noWrap/>
            <w:hideMark/>
          </w:tcPr>
          <w:p w14:paraId="203BB256" w14:textId="77777777" w:rsidR="000F1C75"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lang w:eastAsia="cs-CZ"/>
              </w:rPr>
            </w:pPr>
            <w:r>
              <w:rPr>
                <w:rFonts w:ascii="Calibri" w:eastAsia="Times New Roman" w:hAnsi="Calibri" w:cs="Calibri"/>
                <w:bCs/>
                <w:color w:val="000000"/>
                <w:lang w:eastAsia="cs-CZ"/>
              </w:rPr>
              <w:t>5 700 000</w:t>
            </w:r>
          </w:p>
        </w:tc>
        <w:tc>
          <w:tcPr>
            <w:tcW w:w="626" w:type="pct"/>
            <w:noWrap/>
            <w:hideMark/>
          </w:tcPr>
          <w:p w14:paraId="2D354AD6" w14:textId="77777777" w:rsidR="000F1C75"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lang w:eastAsia="cs-CZ"/>
              </w:rPr>
            </w:pPr>
            <w:r>
              <w:rPr>
                <w:rFonts w:ascii="Calibri" w:eastAsia="Times New Roman" w:hAnsi="Calibri" w:cs="Calibri"/>
                <w:bCs/>
                <w:color w:val="000000"/>
                <w:lang w:eastAsia="cs-CZ"/>
              </w:rPr>
              <w:t>695 634</w:t>
            </w:r>
          </w:p>
        </w:tc>
        <w:tc>
          <w:tcPr>
            <w:tcW w:w="779" w:type="pct"/>
            <w:noWrap/>
            <w:hideMark/>
          </w:tcPr>
          <w:p w14:paraId="7084B30E" w14:textId="77777777" w:rsidR="000F1C75"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cs-CZ"/>
              </w:rPr>
            </w:pPr>
            <w:r>
              <w:rPr>
                <w:rFonts w:ascii="Calibri" w:hAnsi="Calibri" w:cs="Calibri"/>
                <w:color w:val="000000"/>
              </w:rPr>
              <w:t>12,2</w:t>
            </w:r>
          </w:p>
        </w:tc>
      </w:tr>
      <w:tr w:rsidR="000F1C75" w14:paraId="678B751E" w14:textId="77777777" w:rsidTr="000F1C7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34" w:type="pct"/>
            <w:noWrap/>
            <w:hideMark/>
          </w:tcPr>
          <w:p w14:paraId="07AD8A92" w14:textId="77777777" w:rsidR="000F1C75" w:rsidRDefault="000F1C75" w:rsidP="000F1C75">
            <w:pPr>
              <w:spacing w:after="0"/>
              <w:rPr>
                <w:rFonts w:ascii="Calibri" w:eastAsia="Times New Roman" w:hAnsi="Calibri" w:cs="Calibri"/>
                <w:color w:val="000000"/>
                <w:lang w:eastAsia="cs-CZ"/>
              </w:rPr>
            </w:pPr>
            <w:r>
              <w:rPr>
                <w:rFonts w:ascii="Calibri" w:eastAsia="Times New Roman" w:hAnsi="Calibri" w:cs="Calibri"/>
                <w:color w:val="000000"/>
                <w:lang w:eastAsia="cs-CZ"/>
              </w:rPr>
              <w:t>ZS_Provoz autoparku a pojištění</w:t>
            </w:r>
          </w:p>
        </w:tc>
        <w:tc>
          <w:tcPr>
            <w:tcW w:w="860" w:type="pct"/>
            <w:noWrap/>
            <w:hideMark/>
          </w:tcPr>
          <w:p w14:paraId="27A9BFBC" w14:textId="77777777" w:rsidR="000F1C75"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lang w:eastAsia="cs-CZ"/>
              </w:rPr>
            </w:pPr>
            <w:r>
              <w:rPr>
                <w:rFonts w:ascii="Calibri" w:eastAsia="Times New Roman" w:hAnsi="Calibri" w:cs="Calibri"/>
                <w:bCs/>
                <w:color w:val="000000"/>
                <w:lang w:eastAsia="cs-CZ"/>
              </w:rPr>
              <w:t>4 170 000</w:t>
            </w:r>
          </w:p>
        </w:tc>
        <w:tc>
          <w:tcPr>
            <w:tcW w:w="626" w:type="pct"/>
            <w:noWrap/>
            <w:hideMark/>
          </w:tcPr>
          <w:p w14:paraId="362D47B8" w14:textId="77777777" w:rsidR="000F1C75"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lang w:eastAsia="cs-CZ"/>
              </w:rPr>
            </w:pPr>
            <w:r>
              <w:rPr>
                <w:rFonts w:ascii="Calibri" w:eastAsia="Times New Roman" w:hAnsi="Calibri" w:cs="Calibri"/>
                <w:bCs/>
                <w:color w:val="000000"/>
                <w:lang w:eastAsia="cs-CZ"/>
              </w:rPr>
              <w:t>504 070</w:t>
            </w:r>
          </w:p>
        </w:tc>
        <w:tc>
          <w:tcPr>
            <w:tcW w:w="779" w:type="pct"/>
            <w:noWrap/>
            <w:hideMark/>
          </w:tcPr>
          <w:p w14:paraId="02252F12" w14:textId="77777777" w:rsidR="000F1C75"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cs-CZ"/>
              </w:rPr>
            </w:pPr>
            <w:r>
              <w:rPr>
                <w:rFonts w:ascii="Calibri" w:hAnsi="Calibri" w:cs="Calibri"/>
                <w:color w:val="000000"/>
              </w:rPr>
              <w:t>12,1</w:t>
            </w:r>
          </w:p>
        </w:tc>
      </w:tr>
      <w:tr w:rsidR="000F1C75" w14:paraId="2AD084D3" w14:textId="77777777" w:rsidTr="000F1C75">
        <w:trPr>
          <w:trHeight w:val="288"/>
        </w:trPr>
        <w:tc>
          <w:tcPr>
            <w:cnfStyle w:val="001000000000" w:firstRow="0" w:lastRow="0" w:firstColumn="1" w:lastColumn="0" w:oddVBand="0" w:evenVBand="0" w:oddHBand="0" w:evenHBand="0" w:firstRowFirstColumn="0" w:firstRowLastColumn="0" w:lastRowFirstColumn="0" w:lastRowLastColumn="0"/>
            <w:tcW w:w="2734" w:type="pct"/>
            <w:noWrap/>
            <w:hideMark/>
          </w:tcPr>
          <w:p w14:paraId="6C18E6DA" w14:textId="77777777" w:rsidR="000F1C75" w:rsidRDefault="000F1C75" w:rsidP="000F1C75">
            <w:pPr>
              <w:spacing w:after="0"/>
              <w:rPr>
                <w:rFonts w:ascii="Calibri" w:eastAsia="Times New Roman" w:hAnsi="Calibri" w:cs="Calibri"/>
                <w:color w:val="000000"/>
                <w:lang w:eastAsia="cs-CZ"/>
              </w:rPr>
            </w:pPr>
            <w:r>
              <w:rPr>
                <w:rFonts w:ascii="Calibri" w:eastAsia="Times New Roman" w:hAnsi="Calibri" w:cs="Calibri"/>
                <w:color w:val="000000"/>
                <w:lang w:eastAsia="cs-CZ"/>
              </w:rPr>
              <w:t>ZS_Publicita</w:t>
            </w:r>
          </w:p>
        </w:tc>
        <w:tc>
          <w:tcPr>
            <w:tcW w:w="860" w:type="pct"/>
            <w:noWrap/>
            <w:hideMark/>
          </w:tcPr>
          <w:p w14:paraId="125D19B5" w14:textId="77777777" w:rsidR="000F1C75"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lang w:eastAsia="cs-CZ"/>
              </w:rPr>
            </w:pPr>
            <w:r>
              <w:rPr>
                <w:rFonts w:ascii="Calibri" w:eastAsia="Times New Roman" w:hAnsi="Calibri" w:cs="Calibri"/>
                <w:bCs/>
                <w:color w:val="000000"/>
                <w:lang w:eastAsia="cs-CZ"/>
              </w:rPr>
              <w:t>4 270 000</w:t>
            </w:r>
          </w:p>
        </w:tc>
        <w:tc>
          <w:tcPr>
            <w:tcW w:w="626" w:type="pct"/>
            <w:noWrap/>
            <w:hideMark/>
          </w:tcPr>
          <w:p w14:paraId="18AFE66F" w14:textId="77777777" w:rsidR="000F1C75"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lang w:eastAsia="cs-CZ"/>
              </w:rPr>
            </w:pPr>
            <w:r>
              <w:rPr>
                <w:rFonts w:ascii="Calibri" w:eastAsia="Times New Roman" w:hAnsi="Calibri" w:cs="Calibri"/>
                <w:bCs/>
                <w:color w:val="000000"/>
                <w:lang w:eastAsia="cs-CZ"/>
              </w:rPr>
              <w:t>912 321</w:t>
            </w:r>
          </w:p>
        </w:tc>
        <w:tc>
          <w:tcPr>
            <w:tcW w:w="779" w:type="pct"/>
            <w:noWrap/>
            <w:hideMark/>
          </w:tcPr>
          <w:p w14:paraId="2F27F436" w14:textId="77777777" w:rsidR="000F1C75"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cs-CZ"/>
              </w:rPr>
            </w:pPr>
            <w:r>
              <w:rPr>
                <w:rFonts w:ascii="Calibri" w:hAnsi="Calibri" w:cs="Calibri"/>
                <w:color w:val="000000"/>
              </w:rPr>
              <w:t>21,4</w:t>
            </w:r>
          </w:p>
        </w:tc>
      </w:tr>
      <w:tr w:rsidR="000F1C75" w14:paraId="3010392B" w14:textId="77777777" w:rsidTr="000F1C7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34" w:type="pct"/>
            <w:noWrap/>
            <w:hideMark/>
          </w:tcPr>
          <w:p w14:paraId="1C8457E3" w14:textId="77777777" w:rsidR="000F1C75" w:rsidRDefault="000F1C75" w:rsidP="000F1C75">
            <w:pPr>
              <w:spacing w:after="0"/>
              <w:rPr>
                <w:rFonts w:ascii="Calibri" w:eastAsia="Times New Roman" w:hAnsi="Calibri" w:cs="Calibri"/>
                <w:color w:val="000000"/>
                <w:lang w:eastAsia="cs-CZ"/>
              </w:rPr>
            </w:pPr>
            <w:r>
              <w:rPr>
                <w:rFonts w:ascii="Calibri" w:eastAsia="Times New Roman" w:hAnsi="Calibri" w:cs="Calibri"/>
                <w:color w:val="000000"/>
                <w:lang w:eastAsia="cs-CZ"/>
              </w:rPr>
              <w:t>ZS_Tuzemské pracovní cesty</w:t>
            </w:r>
          </w:p>
        </w:tc>
        <w:tc>
          <w:tcPr>
            <w:tcW w:w="860" w:type="pct"/>
            <w:noWrap/>
            <w:hideMark/>
          </w:tcPr>
          <w:p w14:paraId="1C2C7303" w14:textId="77777777" w:rsidR="000F1C75"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lang w:eastAsia="cs-CZ"/>
              </w:rPr>
            </w:pPr>
            <w:r>
              <w:rPr>
                <w:rFonts w:ascii="Calibri" w:eastAsia="Times New Roman" w:hAnsi="Calibri" w:cs="Calibri"/>
                <w:bCs/>
                <w:color w:val="000000"/>
                <w:lang w:eastAsia="cs-CZ"/>
              </w:rPr>
              <w:t>2 100 000</w:t>
            </w:r>
          </w:p>
        </w:tc>
        <w:tc>
          <w:tcPr>
            <w:tcW w:w="626" w:type="pct"/>
            <w:noWrap/>
            <w:hideMark/>
          </w:tcPr>
          <w:p w14:paraId="704501DE" w14:textId="77777777" w:rsidR="000F1C75"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lang w:eastAsia="cs-CZ"/>
              </w:rPr>
            </w:pPr>
            <w:r>
              <w:rPr>
                <w:rFonts w:ascii="Calibri" w:eastAsia="Times New Roman" w:hAnsi="Calibri" w:cs="Calibri"/>
                <w:bCs/>
                <w:color w:val="000000"/>
                <w:lang w:eastAsia="cs-CZ"/>
              </w:rPr>
              <w:t>94 009</w:t>
            </w:r>
          </w:p>
        </w:tc>
        <w:tc>
          <w:tcPr>
            <w:tcW w:w="779" w:type="pct"/>
            <w:noWrap/>
            <w:hideMark/>
          </w:tcPr>
          <w:p w14:paraId="2265A24D" w14:textId="77777777" w:rsidR="000F1C75"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cs-CZ"/>
              </w:rPr>
            </w:pPr>
            <w:r>
              <w:rPr>
                <w:rFonts w:ascii="Calibri" w:hAnsi="Calibri" w:cs="Calibri"/>
                <w:color w:val="000000"/>
              </w:rPr>
              <w:t>4,5</w:t>
            </w:r>
          </w:p>
        </w:tc>
      </w:tr>
      <w:tr w:rsidR="000F1C75" w14:paraId="02AC2443" w14:textId="77777777" w:rsidTr="000F1C75">
        <w:trPr>
          <w:trHeight w:val="288"/>
        </w:trPr>
        <w:tc>
          <w:tcPr>
            <w:cnfStyle w:val="001000000000" w:firstRow="0" w:lastRow="0" w:firstColumn="1" w:lastColumn="0" w:oddVBand="0" w:evenVBand="0" w:oddHBand="0" w:evenHBand="0" w:firstRowFirstColumn="0" w:firstRowLastColumn="0" w:lastRowFirstColumn="0" w:lastRowLastColumn="0"/>
            <w:tcW w:w="2734" w:type="pct"/>
            <w:noWrap/>
            <w:hideMark/>
          </w:tcPr>
          <w:p w14:paraId="796DEE40" w14:textId="77777777" w:rsidR="000F1C75" w:rsidRDefault="000F1C75" w:rsidP="000F1C75">
            <w:pPr>
              <w:spacing w:after="0"/>
              <w:rPr>
                <w:rFonts w:ascii="Calibri" w:eastAsia="Times New Roman" w:hAnsi="Calibri" w:cs="Calibri"/>
                <w:color w:val="000000"/>
                <w:lang w:eastAsia="cs-CZ"/>
              </w:rPr>
            </w:pPr>
            <w:r>
              <w:rPr>
                <w:rFonts w:ascii="Calibri" w:eastAsia="Times New Roman" w:hAnsi="Calibri" w:cs="Calibri"/>
                <w:color w:val="000000"/>
                <w:lang w:eastAsia="cs-CZ"/>
              </w:rPr>
              <w:t>ZS_Vzdělávání</w:t>
            </w:r>
          </w:p>
        </w:tc>
        <w:tc>
          <w:tcPr>
            <w:tcW w:w="860" w:type="pct"/>
            <w:noWrap/>
            <w:hideMark/>
          </w:tcPr>
          <w:p w14:paraId="0959FFF8" w14:textId="77777777" w:rsidR="000F1C75"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lang w:eastAsia="cs-CZ"/>
              </w:rPr>
            </w:pPr>
            <w:r>
              <w:rPr>
                <w:rFonts w:ascii="Calibri" w:eastAsia="Times New Roman" w:hAnsi="Calibri" w:cs="Calibri"/>
                <w:bCs/>
                <w:color w:val="000000"/>
                <w:lang w:eastAsia="cs-CZ"/>
              </w:rPr>
              <w:t>9 000 000</w:t>
            </w:r>
          </w:p>
        </w:tc>
        <w:tc>
          <w:tcPr>
            <w:tcW w:w="626" w:type="pct"/>
            <w:noWrap/>
            <w:hideMark/>
          </w:tcPr>
          <w:p w14:paraId="5CBD842A" w14:textId="77777777" w:rsidR="000F1C75"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lang w:eastAsia="cs-CZ"/>
              </w:rPr>
            </w:pPr>
            <w:r>
              <w:rPr>
                <w:rFonts w:ascii="Calibri" w:eastAsia="Times New Roman" w:hAnsi="Calibri" w:cs="Calibri"/>
                <w:bCs/>
                <w:color w:val="000000"/>
                <w:lang w:eastAsia="cs-CZ"/>
              </w:rPr>
              <w:t>463 709</w:t>
            </w:r>
          </w:p>
        </w:tc>
        <w:tc>
          <w:tcPr>
            <w:tcW w:w="779" w:type="pct"/>
            <w:noWrap/>
            <w:hideMark/>
          </w:tcPr>
          <w:p w14:paraId="6D842C80" w14:textId="77777777" w:rsidR="000F1C75" w:rsidRDefault="000F1C75" w:rsidP="000F1C75">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cs-CZ"/>
              </w:rPr>
            </w:pPr>
            <w:r>
              <w:rPr>
                <w:rFonts w:ascii="Calibri" w:hAnsi="Calibri" w:cs="Calibri"/>
                <w:color w:val="000000"/>
              </w:rPr>
              <w:t>5,2</w:t>
            </w:r>
          </w:p>
        </w:tc>
      </w:tr>
      <w:tr w:rsidR="000F1C75" w14:paraId="732B077E" w14:textId="77777777" w:rsidTr="000F1C7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34" w:type="pct"/>
            <w:noWrap/>
            <w:hideMark/>
          </w:tcPr>
          <w:p w14:paraId="20F7D843" w14:textId="77777777" w:rsidR="000F1C75" w:rsidRDefault="000F1C75" w:rsidP="000F1C75">
            <w:pPr>
              <w:spacing w:after="0"/>
              <w:rPr>
                <w:rFonts w:ascii="Calibri" w:eastAsia="Times New Roman" w:hAnsi="Calibri" w:cs="Calibri"/>
                <w:color w:val="000000"/>
                <w:lang w:eastAsia="cs-CZ"/>
              </w:rPr>
            </w:pPr>
            <w:r>
              <w:rPr>
                <w:rFonts w:ascii="Calibri" w:eastAsia="Times New Roman" w:hAnsi="Calibri" w:cs="Calibri"/>
                <w:color w:val="000000"/>
                <w:lang w:eastAsia="cs-CZ"/>
              </w:rPr>
              <w:t>ZS_Zahraniční pracovní cesty</w:t>
            </w:r>
          </w:p>
        </w:tc>
        <w:tc>
          <w:tcPr>
            <w:tcW w:w="860" w:type="pct"/>
            <w:noWrap/>
            <w:hideMark/>
          </w:tcPr>
          <w:p w14:paraId="5F30457A" w14:textId="77777777" w:rsidR="000F1C75"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lang w:eastAsia="cs-CZ"/>
              </w:rPr>
            </w:pPr>
            <w:r>
              <w:rPr>
                <w:rFonts w:ascii="Calibri" w:eastAsia="Times New Roman" w:hAnsi="Calibri" w:cs="Calibri"/>
                <w:bCs/>
                <w:color w:val="000000"/>
                <w:lang w:eastAsia="cs-CZ"/>
              </w:rPr>
              <w:t>3 000 000</w:t>
            </w:r>
          </w:p>
        </w:tc>
        <w:tc>
          <w:tcPr>
            <w:tcW w:w="626" w:type="pct"/>
            <w:noWrap/>
            <w:hideMark/>
          </w:tcPr>
          <w:p w14:paraId="59E64092" w14:textId="77777777" w:rsidR="000F1C75"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lang w:eastAsia="cs-CZ"/>
              </w:rPr>
            </w:pPr>
            <w:r>
              <w:rPr>
                <w:rFonts w:ascii="Calibri" w:eastAsia="Times New Roman" w:hAnsi="Calibri" w:cs="Calibri"/>
                <w:bCs/>
                <w:color w:val="000000"/>
                <w:lang w:eastAsia="cs-CZ"/>
              </w:rPr>
              <w:t>461 301</w:t>
            </w:r>
          </w:p>
        </w:tc>
        <w:tc>
          <w:tcPr>
            <w:tcW w:w="779" w:type="pct"/>
            <w:noWrap/>
            <w:hideMark/>
          </w:tcPr>
          <w:p w14:paraId="7148066A" w14:textId="77777777" w:rsidR="000F1C75" w:rsidRDefault="000F1C75" w:rsidP="000F1C75">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cs-CZ"/>
              </w:rPr>
            </w:pPr>
            <w:r>
              <w:rPr>
                <w:rFonts w:ascii="Calibri" w:hAnsi="Calibri" w:cs="Calibri"/>
                <w:color w:val="000000"/>
              </w:rPr>
              <w:t>15,4</w:t>
            </w:r>
          </w:p>
        </w:tc>
      </w:tr>
    </w:tbl>
    <w:p w14:paraId="54CB57B2" w14:textId="77777777" w:rsidR="000F1C75" w:rsidRDefault="000F1C75" w:rsidP="000F1C75"/>
    <w:p w14:paraId="17F0294C" w14:textId="77777777" w:rsidR="000F1C75" w:rsidRDefault="000F1C75" w:rsidP="000F1C75">
      <w:pPr>
        <w:pStyle w:val="Nadpis6"/>
        <w:rPr>
          <w:rFonts w:eastAsiaTheme="majorEastAsia"/>
        </w:rPr>
      </w:pPr>
      <w:r>
        <w:rPr>
          <w:rFonts w:eastAsiaTheme="majorEastAsia"/>
        </w:rPr>
        <w:t>Hodnocení a výběr IP</w:t>
      </w:r>
    </w:p>
    <w:p w14:paraId="736D1615" w14:textId="77777777" w:rsidR="000F1C75" w:rsidRDefault="000F1C75" w:rsidP="000F1C75">
      <w:r>
        <w:t>IP jsou hodnoceny dle kritérií pro hodnocení a výběr projektů k programu podpory Technická pomoc Operačního programu Podnikání a inovace pro konkurenceschopnost 2014</w:t>
      </w:r>
      <w:r w:rsidR="0012794A">
        <w:t xml:space="preserve"> </w:t>
      </w:r>
      <w:r>
        <w:t>–</w:t>
      </w:r>
      <w:r w:rsidR="0012794A">
        <w:t xml:space="preserve"> </w:t>
      </w:r>
      <w:r>
        <w:t>2020 prioritní osa 5, která jsou přílohou č. 3 výzvy I programu Technická pomoc.</w:t>
      </w:r>
    </w:p>
    <w:p w14:paraId="3AF51CCA" w14:textId="77777777" w:rsidR="000F1C75" w:rsidRDefault="000F1C75" w:rsidP="000F1C75">
      <w:r>
        <w:t xml:space="preserve">Cílem hodnocení je, aby schválené IP měly prokazatelný vliv </w:t>
      </w:r>
      <w:bookmarkStart w:id="107" w:name="_Hlk46238713"/>
      <w:r>
        <w:t>na plnění cílů TP OP PIK a splňovaly veškeré podmínky vyplývající z programové dokumentace.</w:t>
      </w:r>
      <w:bookmarkEnd w:id="107"/>
      <w:r>
        <w:t xml:space="preserve"> Hodnocení projektů je jednokolové, hodnoceny jsou formální náležitosti a přijatelnost každého interního projektu, přičemž je pouze hodnoceno, zda daný projekt kritérium splnil, či nesplnil. V případě, že alespoň jedno kritérium není splněno, není projekt podpořen. Bodové hodnocení projektů, resp. soutěž IP není z důvodu specifičnosti TP relevantní.</w:t>
      </w:r>
    </w:p>
    <w:p w14:paraId="685E4048" w14:textId="77777777" w:rsidR="000F1C75" w:rsidRDefault="000F1C75" w:rsidP="000F1C75">
      <w:r>
        <w:t>Formální náležitosti jsou hodnoceny pouze dvěma, jasně definovanými kritérii</w:t>
      </w:r>
      <w:r w:rsidR="006146E0">
        <w:t xml:space="preserve"> </w:t>
      </w:r>
      <w:r>
        <w:t>–</w:t>
      </w:r>
      <w:r w:rsidR="006146E0">
        <w:t xml:space="preserve"> </w:t>
      </w:r>
      <w:r>
        <w:t xml:space="preserve">žádost je podepsaná oprávněnou osobou a žádost má vyplněna všechna povinná pole a jsou doloženy všechny požadované přílohy. Obě kritéria jsou dobře zkontrolovatelná a nenabízejí prostor </w:t>
      </w:r>
      <w:r w:rsidR="0012794A">
        <w:br/>
      </w:r>
      <w:r>
        <w:t>pro netransparentní hodnocení.</w:t>
      </w:r>
    </w:p>
    <w:p w14:paraId="02D4EE44" w14:textId="77777777" w:rsidR="000F1C75" w:rsidRDefault="000F1C75" w:rsidP="000F1C75">
      <w:r>
        <w:t>Hodnocení přijatelnosti se skládá ze 4 hodnocených oblastí, které zahrnují celkem 7 hodnotících kritérií.</w:t>
      </w:r>
    </w:p>
    <w:p w14:paraId="3DC54D97" w14:textId="77777777" w:rsidR="000F1C75" w:rsidRPr="004766F2" w:rsidRDefault="000F1C75" w:rsidP="000F1C75">
      <w:pPr>
        <w:rPr>
          <w:b/>
          <w:bCs/>
        </w:rPr>
      </w:pPr>
      <w:r w:rsidRPr="004766F2">
        <w:rPr>
          <w:b/>
          <w:bCs/>
        </w:rPr>
        <w:t>Účelnost projektu</w:t>
      </w:r>
    </w:p>
    <w:p w14:paraId="553E7E1C" w14:textId="77777777" w:rsidR="000F1C75" w:rsidRDefault="000F1C75" w:rsidP="000F1C75">
      <w:r>
        <w:t xml:space="preserve">Účelnost projektu řeší, jestli je projekt v souladu s výzvou, příp. dalšími relevantními dokumenty </w:t>
      </w:r>
      <w:r w:rsidR="0012794A">
        <w:br/>
      </w:r>
      <w:r>
        <w:t xml:space="preserve">a strategiemi, a má neutrální či pozitivní vliv na horizontální priority. Soulad IP s výzvou je v žádostech o podporu často zřejmý ze samotného názvu, anotace nebo cíle projektu, detailně však specifikován nebývá. Vazba IP na konkrétní strategie uváděna také není. </w:t>
      </w:r>
    </w:p>
    <w:p w14:paraId="5978EA5D" w14:textId="77777777" w:rsidR="000F1C75" w:rsidRDefault="000F1C75" w:rsidP="000F1C75">
      <w:r>
        <w:t xml:space="preserve">Vliv projektu na horizontální principy je ve většině projektů (s výjimkou IP MPO_Osobní náklady) stanoven jako neutrální, tudíž není dále rozepisován. </w:t>
      </w:r>
    </w:p>
    <w:p w14:paraId="0EC3C4BC" w14:textId="77777777" w:rsidR="000F1C75" w:rsidRDefault="000F1C75" w:rsidP="000F1C75">
      <w:r>
        <w:t>Hodnocení IP v této hodnocené oblasti lze považovat za transparentní. Obě hodnotící kritéria projekty splňují.</w:t>
      </w:r>
    </w:p>
    <w:p w14:paraId="075F16B3" w14:textId="77777777" w:rsidR="000F1C75" w:rsidRPr="004766F2" w:rsidRDefault="000F1C75" w:rsidP="000F1C75">
      <w:pPr>
        <w:rPr>
          <w:b/>
          <w:bCs/>
        </w:rPr>
      </w:pPr>
      <w:r w:rsidRPr="004766F2">
        <w:rPr>
          <w:b/>
          <w:bCs/>
        </w:rPr>
        <w:t>Potřebnost projektu</w:t>
      </w:r>
    </w:p>
    <w:p w14:paraId="65F67F8E" w14:textId="77777777" w:rsidR="000F1C75" w:rsidRDefault="000F1C75" w:rsidP="000F1C75">
      <w:r>
        <w:t xml:space="preserve">Tuto hodnocenou oblast zastupuje hodnotící kritérium zaměřené na to, zda projekt svými aktivitami řeší potřeby cílových skupin. Hodnocení tohoto kritéria u IP je však značně problematické. V IP totiž nejsou specifikovány ani potřeby cílových skupin, ani to, jakým způsobem budou jednotlivé projekty tyto potřeby naplňovat. Každý z projektů má uvedenou pouze jednu cílovou skupinu, a to ŘO, ZS nebo zaměstnance těchto subjektů. Ačkoliv cílovými skupinami výzvy jsou i příjemci podpory </w:t>
      </w:r>
      <w:r w:rsidR="0012794A">
        <w:br/>
      </w:r>
      <w:r>
        <w:t xml:space="preserve">či odborná veřejnost, nejsou tyto cílové skupiny uvedeny ani v jedné žádosti o podporu, tj. není explicitně popsána vazba projektu, resp. jeho dopady na tyto cílové skupiny. </w:t>
      </w:r>
    </w:p>
    <w:p w14:paraId="3C886312" w14:textId="77777777" w:rsidR="000F1C75" w:rsidRDefault="000F1C75" w:rsidP="000F1C75">
      <w:r>
        <w:lastRenderedPageBreak/>
        <w:t xml:space="preserve">Problematičnost hodnocení je také v tom, že popis projektů je velmi stručný a obecný, a není tak možné zjistit např. v případě externích služeb, jaké služby budou v rámci projektu poptávány, zda je jejich zajištění pro realizaci TP OP PIK opravdu zásadní. To samé se týká projektů na kancelářskou </w:t>
      </w:r>
      <w:r w:rsidR="0012794A">
        <w:br/>
      </w:r>
      <w:r>
        <w:t xml:space="preserve">a provozní techniku, kdy není jasné, jaká technika by se měla kupovat a z jakého důvodu (obnova zastaralého vybavení, jakého podílu techniky se má obnova týkat apod.). </w:t>
      </w:r>
    </w:p>
    <w:p w14:paraId="574D8660" w14:textId="77777777" w:rsidR="000F1C75" w:rsidRDefault="000F1C75" w:rsidP="000F1C75">
      <w:r>
        <w:t>Hodnotitel může jen stěží posoudit potřebnost IP a jejich aktivit, když v žádostech o podporu nejsou potřeby cílových skupin vůbec specifikovány.</w:t>
      </w:r>
    </w:p>
    <w:p w14:paraId="5428ECBC" w14:textId="77777777" w:rsidR="000F1C75" w:rsidRPr="004766F2" w:rsidRDefault="000F1C75" w:rsidP="000F1C75">
      <w:pPr>
        <w:rPr>
          <w:b/>
          <w:bCs/>
        </w:rPr>
      </w:pPr>
      <w:r w:rsidRPr="004766F2">
        <w:rPr>
          <w:b/>
          <w:bCs/>
        </w:rPr>
        <w:t>Rozpočet projektu</w:t>
      </w:r>
    </w:p>
    <w:p w14:paraId="410EDCA9" w14:textId="77777777" w:rsidR="000F1C75" w:rsidRDefault="000F1C75" w:rsidP="000F1C75">
      <w:r>
        <w:t>V rámci této oblasti je zjišťováno, zda výdaje v projektu jsou dle podmínek výzvy způsobilé a zda jsou výdaje v čase a místě obvyklé.</w:t>
      </w:r>
    </w:p>
    <w:p w14:paraId="72341C9A" w14:textId="77777777" w:rsidR="000F1C75" w:rsidRDefault="000F1C75" w:rsidP="000F1C75">
      <w:r>
        <w:t xml:space="preserve">Jak již bylo řečeno výše, IP jsou psány velmi obecně a nekonkrétně. To se bohužel týká i jejich rozpočtů. Rozpočty IP se průměrně skládají z 3 položek rozpočtu, přičemž v žádostech není dostatečně specifikováno, co tyto položky konkrétně zahrnují. Příkladem může být např. projekt MPO_Publicita 2016-2018, v němž se nachází položka rozpočtu Nákup ostatních služeb v hodnotě </w:t>
      </w:r>
      <w:r w:rsidR="0012794A">
        <w:br/>
      </w:r>
      <w:r>
        <w:t xml:space="preserve">78 mil. Kč (celkový rozpočet projektu je 81 mil. Kč). Aktivity projektu mají být zaměřené na propagaci OP PIK prostřednictvím seminářů, komunikace přes média, zajištění propagačních materiálů, konzultačních a poradenských služeb. V žádosti však není specifikováno alespoň orientační množství služeb, které by měly být z projektu zajištěny, jejich hodinová sazba nebo návaznost těchto aktivit </w:t>
      </w:r>
      <w:r w:rsidR="0012794A">
        <w:br/>
      </w:r>
      <w:r>
        <w:t xml:space="preserve">na komunikační plán či jiný strategický dokument. Dle obecného popisu aktivit a částky na ně určené nelze posoudit, zda se jedná o výdaje v čase a místě obvyklé, nebo zda jsou plánované výdaje </w:t>
      </w:r>
      <w:r w:rsidR="0012794A">
        <w:br/>
      </w:r>
      <w:r>
        <w:t>v souladu se zásadami hospodárnosti, efektivnosti a účelnosti.</w:t>
      </w:r>
    </w:p>
    <w:p w14:paraId="543A3EA6" w14:textId="77777777" w:rsidR="000F1C75" w:rsidRPr="004766F2" w:rsidRDefault="000F1C75" w:rsidP="000F1C75">
      <w:pPr>
        <w:rPr>
          <w:b/>
          <w:bCs/>
        </w:rPr>
      </w:pPr>
      <w:r w:rsidRPr="004766F2">
        <w:rPr>
          <w:b/>
          <w:bCs/>
        </w:rPr>
        <w:t>Proveditelnost</w:t>
      </w:r>
    </w:p>
    <w:p w14:paraId="59824623" w14:textId="77777777" w:rsidR="000F1C75" w:rsidRDefault="000F1C75" w:rsidP="000F1C75">
      <w:r>
        <w:t>V rámci proveditelnosti je zjišťováno, zda je realizace projektu v souladu se stanovenými pravidly časové způsobilosti a zda jsou plánované hodnoty indikátorů reálné.</w:t>
      </w:r>
    </w:p>
    <w:p w14:paraId="75C992C4" w14:textId="77777777" w:rsidR="000F1C75" w:rsidRDefault="000F1C75" w:rsidP="000F1C75">
      <w:r>
        <w:t>Časová způsobilost je vázána na den schválení projektu, proto je posuzování tohoto kritéria poměrně jednoduché. Posuzování reálnosti plánované hodnoty indikátorů je však složitější, opět v návaznosti na stručnost a obecnost žádostí o podporu. Cílové hodnoty indikátorů nejsou popsané, není vysvětleno, na základě čeho byla cílová hodnota indikátoru stanovena. Není tak tomu ani u projektů na osobní náklady, kdy počet pracovních míst vychází z počtu plánovaných/systemizovaných úvazků pro jednotlivé roky. Problematický je indikátor Nákup materiálu, zboží a služeb, který u většiny projektů kopíruje celkovou částku rozpočtu. Posouzení, zda je naplnění tohoto indikátoru reálné, tak znamená zhodnocení 100% vyčerpání rozpočtu daného projektu.</w:t>
      </w:r>
    </w:p>
    <w:p w14:paraId="5110522D" w14:textId="77777777" w:rsidR="000F1C75" w:rsidRDefault="000F1C75" w:rsidP="000F1C75"/>
    <w:p w14:paraId="7A2D749E" w14:textId="77777777" w:rsidR="000F1C75" w:rsidRPr="000F1C75" w:rsidRDefault="000F1C75" w:rsidP="000F1C75">
      <w:pPr>
        <w:rPr>
          <w:lang w:val="fr-FR" w:eastAsia="cs-CZ"/>
        </w:rPr>
      </w:pPr>
      <w:r>
        <w:t xml:space="preserve">Na základě výše uvedeného je zřejmé, že IP nemohou být hodnoceny transparentně, neboť </w:t>
      </w:r>
      <w:r w:rsidR="0012794A">
        <w:br/>
      </w:r>
      <w:r>
        <w:t xml:space="preserve">pro transparentní hodnocení neobsahují dostatek relevantních informací. Ačkoliv je zřejmé, že IP TP jsou jedinečné, nemohou mezi sebou soutěžit a bez nich není možné zajistit řízení a administraci OP PIK, měly by žádosti o podporu splňovat základní parametry potřebné k jejich vyhodnocení. </w:t>
      </w:r>
      <w:r w:rsidR="0012794A">
        <w:br/>
      </w:r>
      <w:r>
        <w:t>Na základě kvality zpracování žádostí o podporu lze přípravu IP, vč. jejich vyhodnocení považovat jen za formální záležitost, která je nezbytně nutnou podmínkou pro to, aby mohla být TP OP PIK zajištěna. Jednotlivé IP jsou tak spíše než projekty pouze kapitolami rozpočtu TP, ze kterých ŘO/ZS následně čerpají alokované finance.</w:t>
      </w:r>
    </w:p>
    <w:p w14:paraId="3CDFBD4C" w14:textId="77777777" w:rsidR="005C425E" w:rsidRDefault="005C425E" w:rsidP="00C173BC">
      <w:pPr>
        <w:pStyle w:val="Nadpis1"/>
        <w:rPr>
          <w:snapToGrid w:val="0"/>
          <w:lang w:val="fr-FR"/>
        </w:rPr>
      </w:pPr>
      <w:bookmarkStart w:id="108" w:name="_Toc50456790"/>
      <w:r>
        <w:rPr>
          <w:snapToGrid w:val="0"/>
          <w:lang w:val="fr-FR"/>
        </w:rPr>
        <w:lastRenderedPageBreak/>
        <w:t>Doplňující informace k EO 10</w:t>
      </w:r>
      <w:bookmarkEnd w:id="108"/>
    </w:p>
    <w:p w14:paraId="6E6DD5A9" w14:textId="77777777" w:rsidR="00EB2283" w:rsidRPr="00EB2283" w:rsidRDefault="00EB2283" w:rsidP="00EB2283">
      <w:r w:rsidRPr="00EB2283">
        <w:t xml:space="preserve">Posouzení administrativní kapacity implementační struktury je založeno na interních procesech popsaných v EO2-4, náplni práce na jednotlivých pracovních pozicích a na počtu osob tyto pozice vykonávající. Počet úkonů jednotlivých činností je založen na odhadu pracovníků na daných pozicích. Časová náročnost jednotlivých úkonů vyplynula také z řízených rozhovorů s osobami na pozicích PIP </w:t>
      </w:r>
      <w:r w:rsidR="0012794A">
        <w:br/>
      </w:r>
      <w:r w:rsidRPr="00EB2283">
        <w:t>a RPDIP.</w:t>
      </w:r>
    </w:p>
    <w:p w14:paraId="06AAB86C" w14:textId="62C5CA0E" w:rsidR="001707B8" w:rsidRPr="006027CC" w:rsidRDefault="001707B8" w:rsidP="001707B8">
      <w:r w:rsidRPr="006027CC">
        <w:t>Přípravu a realizaci, v současné době 21 realizovaných, interních projektů zajišťuj</w:t>
      </w:r>
      <w:r>
        <w:t xml:space="preserve">e 1 příjemce </w:t>
      </w:r>
      <w:r w:rsidRPr="006027CC">
        <w:t>interních projektů</w:t>
      </w:r>
      <w:r w:rsidR="00A5209F">
        <w:t xml:space="preserve"> </w:t>
      </w:r>
      <w:r w:rsidRPr="006027CC">
        <w:t xml:space="preserve">na ŘO a </w:t>
      </w:r>
      <w:r>
        <w:t>4</w:t>
      </w:r>
      <w:r w:rsidRPr="006027CC">
        <w:t xml:space="preserve"> PIP na ZS, přičemž na ŘO i ZS je v případě jejich absence zastupuje 1 pracovník. Přehled časové náročnosti a počtu vykonávaných úkonů je uveden v tabulce níže.</w:t>
      </w:r>
    </w:p>
    <w:p w14:paraId="00A4DC23" w14:textId="74AE6F92" w:rsidR="009F6B78" w:rsidRDefault="009F6B78" w:rsidP="009F6B78">
      <w:pPr>
        <w:pStyle w:val="Titulek"/>
      </w:pPr>
      <w:bookmarkStart w:id="109" w:name="_Toc50456753"/>
      <w:r>
        <w:t xml:space="preserve">Tabulka </w:t>
      </w:r>
      <w:r w:rsidR="00C050DB">
        <w:fldChar w:fldCharType="begin"/>
      </w:r>
      <w:r w:rsidR="00C050DB">
        <w:instrText xml:space="preserve"> SEQ Tabulka \* ARABIC </w:instrText>
      </w:r>
      <w:r w:rsidR="00C050DB">
        <w:fldChar w:fldCharType="separate"/>
      </w:r>
      <w:r w:rsidR="00E96F43">
        <w:rPr>
          <w:noProof/>
        </w:rPr>
        <w:t>20</w:t>
      </w:r>
      <w:r w:rsidR="00C050DB">
        <w:rPr>
          <w:noProof/>
        </w:rPr>
        <w:fldChar w:fldCharType="end"/>
      </w:r>
      <w:r>
        <w:t>:</w:t>
      </w:r>
      <w:r w:rsidRPr="00EB2283">
        <w:t xml:space="preserve"> Odhad časové náročnosti a počtu úkonů na pozici PIP </w:t>
      </w:r>
      <w:r>
        <w:t xml:space="preserve">(ŘO) </w:t>
      </w:r>
      <w:r w:rsidRPr="00EB2283">
        <w:t>přepočtený na jeden interní projekt</w:t>
      </w:r>
      <w:bookmarkEnd w:id="109"/>
    </w:p>
    <w:tbl>
      <w:tblPr>
        <w:tblStyle w:val="Tabulkaseznamu3zvraznn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701"/>
        <w:gridCol w:w="2268"/>
        <w:gridCol w:w="1837"/>
      </w:tblGrid>
      <w:tr w:rsidR="009F6B78" w:rsidRPr="00EB2283" w14:paraId="341752CD" w14:textId="77777777" w:rsidTr="00CC54D7">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3256" w:type="dxa"/>
            <w:tcBorders>
              <w:bottom w:val="none" w:sz="0" w:space="0" w:color="auto"/>
              <w:right w:val="none" w:sz="0" w:space="0" w:color="auto"/>
            </w:tcBorders>
            <w:noWrap/>
            <w:hideMark/>
          </w:tcPr>
          <w:p w14:paraId="4F9DCA7C" w14:textId="77777777" w:rsidR="009F6B78" w:rsidRPr="00EB2283" w:rsidRDefault="009F6B78" w:rsidP="00CC54D7">
            <w:pPr>
              <w:rPr>
                <w:color w:val="auto"/>
              </w:rPr>
            </w:pPr>
          </w:p>
        </w:tc>
        <w:tc>
          <w:tcPr>
            <w:tcW w:w="1701" w:type="dxa"/>
            <w:tcBorders>
              <w:left w:val="none" w:sz="0" w:space="0" w:color="auto"/>
              <w:right w:val="none" w:sz="0" w:space="0" w:color="auto"/>
            </w:tcBorders>
            <w:noWrap/>
            <w:hideMark/>
          </w:tcPr>
          <w:p w14:paraId="736DD17C" w14:textId="77777777" w:rsidR="009F6B78" w:rsidRPr="00EB2283" w:rsidRDefault="009F6B78" w:rsidP="00CC54D7">
            <w:pPr>
              <w:spacing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eastAsia="cs-CZ"/>
              </w:rPr>
            </w:pPr>
            <w:r w:rsidRPr="00EB2283">
              <w:rPr>
                <w:rFonts w:ascii="Calibri" w:eastAsia="Times New Roman" w:hAnsi="Calibri" w:cs="Calibri"/>
                <w:color w:val="auto"/>
                <w:lang w:eastAsia="cs-CZ"/>
              </w:rPr>
              <w:t>Opakování/rok 2019</w:t>
            </w:r>
          </w:p>
        </w:tc>
        <w:tc>
          <w:tcPr>
            <w:tcW w:w="2268" w:type="dxa"/>
            <w:tcBorders>
              <w:left w:val="none" w:sz="0" w:space="0" w:color="auto"/>
              <w:right w:val="none" w:sz="0" w:space="0" w:color="auto"/>
            </w:tcBorders>
            <w:noWrap/>
            <w:hideMark/>
          </w:tcPr>
          <w:p w14:paraId="570A7091" w14:textId="77777777" w:rsidR="009F6B78" w:rsidRPr="00EB2283" w:rsidRDefault="009F6B78" w:rsidP="00CC54D7">
            <w:pPr>
              <w:spacing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eastAsia="cs-CZ"/>
              </w:rPr>
            </w:pPr>
            <w:r w:rsidRPr="009B6E13">
              <w:rPr>
                <w:rFonts w:ascii="Calibri" w:eastAsia="Times New Roman" w:hAnsi="Calibri" w:cs="Calibri"/>
                <w:color w:val="auto"/>
                <w:lang w:eastAsia="cs-CZ"/>
              </w:rPr>
              <w:t>Čas potřebný na aktivitu na pozici PIP</w:t>
            </w:r>
            <w:r>
              <w:rPr>
                <w:rFonts w:ascii="Calibri" w:eastAsia="Times New Roman" w:hAnsi="Calibri" w:cs="Calibri"/>
                <w:color w:val="auto"/>
                <w:lang w:eastAsia="cs-CZ"/>
              </w:rPr>
              <w:t xml:space="preserve"> (hod)</w:t>
            </w:r>
          </w:p>
        </w:tc>
        <w:tc>
          <w:tcPr>
            <w:tcW w:w="1837" w:type="dxa"/>
            <w:tcBorders>
              <w:left w:val="none" w:sz="0" w:space="0" w:color="auto"/>
            </w:tcBorders>
            <w:noWrap/>
            <w:hideMark/>
          </w:tcPr>
          <w:p w14:paraId="468D4185" w14:textId="77777777" w:rsidR="009F6B78" w:rsidRPr="00EB2283" w:rsidRDefault="009F6B78" w:rsidP="00CC54D7">
            <w:pPr>
              <w:spacing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eastAsia="cs-CZ"/>
              </w:rPr>
            </w:pPr>
            <w:r w:rsidRPr="00EB2283">
              <w:rPr>
                <w:rFonts w:ascii="Calibri" w:eastAsia="Times New Roman" w:hAnsi="Calibri" w:cs="Calibri"/>
                <w:color w:val="auto"/>
                <w:lang w:eastAsia="cs-CZ"/>
              </w:rPr>
              <w:t>Celkem hodin</w:t>
            </w:r>
          </w:p>
        </w:tc>
      </w:tr>
      <w:tr w:rsidR="009F6B78" w:rsidRPr="00EB2283" w14:paraId="649FF2F5" w14:textId="77777777" w:rsidTr="00CC54D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56" w:type="dxa"/>
            <w:tcBorders>
              <w:top w:val="none" w:sz="0" w:space="0" w:color="auto"/>
              <w:bottom w:val="none" w:sz="0" w:space="0" w:color="auto"/>
              <w:right w:val="none" w:sz="0" w:space="0" w:color="auto"/>
            </w:tcBorders>
            <w:noWrap/>
            <w:hideMark/>
          </w:tcPr>
          <w:p w14:paraId="7DD040E2" w14:textId="77777777" w:rsidR="009F6B78" w:rsidRPr="00EB2283" w:rsidRDefault="009F6B78" w:rsidP="00CC54D7">
            <w:pPr>
              <w:spacing w:after="0"/>
              <w:rPr>
                <w:rFonts w:ascii="Calibri" w:eastAsia="Times New Roman" w:hAnsi="Calibri" w:cs="Calibri"/>
                <w:lang w:eastAsia="cs-CZ"/>
              </w:rPr>
            </w:pPr>
            <w:r w:rsidRPr="00EB2283">
              <w:rPr>
                <w:rFonts w:ascii="Calibri" w:eastAsia="Times New Roman" w:hAnsi="Calibri" w:cs="Calibri"/>
                <w:lang w:eastAsia="cs-CZ"/>
              </w:rPr>
              <w:t>Příprava žádosti o podporu IP</w:t>
            </w:r>
          </w:p>
        </w:tc>
        <w:tc>
          <w:tcPr>
            <w:tcW w:w="1701" w:type="dxa"/>
            <w:tcBorders>
              <w:top w:val="none" w:sz="0" w:space="0" w:color="auto"/>
              <w:bottom w:val="none" w:sz="0" w:space="0" w:color="auto"/>
            </w:tcBorders>
            <w:noWrap/>
            <w:hideMark/>
          </w:tcPr>
          <w:p w14:paraId="39562A11" w14:textId="77777777" w:rsidR="009F6B78" w:rsidRPr="00EB2283" w:rsidRDefault="009F6B78" w:rsidP="00CC54D7">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cs-CZ"/>
              </w:rPr>
            </w:pPr>
            <w:r w:rsidRPr="00EB2283">
              <w:rPr>
                <w:rFonts w:ascii="Calibri" w:eastAsia="Times New Roman" w:hAnsi="Calibri" w:cs="Calibri"/>
                <w:lang w:eastAsia="cs-CZ"/>
              </w:rPr>
              <w:t>1</w:t>
            </w:r>
          </w:p>
        </w:tc>
        <w:tc>
          <w:tcPr>
            <w:tcW w:w="2268" w:type="dxa"/>
            <w:tcBorders>
              <w:top w:val="none" w:sz="0" w:space="0" w:color="auto"/>
              <w:bottom w:val="none" w:sz="0" w:space="0" w:color="auto"/>
            </w:tcBorders>
            <w:noWrap/>
            <w:hideMark/>
          </w:tcPr>
          <w:p w14:paraId="3998B3B4" w14:textId="77777777" w:rsidR="009F6B78" w:rsidRPr="00EB2283" w:rsidRDefault="009F6B78" w:rsidP="00CC54D7">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cs-CZ"/>
              </w:rPr>
            </w:pPr>
            <w:r w:rsidRPr="00EB2283">
              <w:rPr>
                <w:rFonts w:ascii="Calibri" w:eastAsia="Times New Roman" w:hAnsi="Calibri" w:cs="Calibri"/>
                <w:lang w:eastAsia="cs-CZ"/>
              </w:rPr>
              <w:t>8</w:t>
            </w:r>
          </w:p>
        </w:tc>
        <w:tc>
          <w:tcPr>
            <w:tcW w:w="1837" w:type="dxa"/>
            <w:tcBorders>
              <w:top w:val="none" w:sz="0" w:space="0" w:color="auto"/>
              <w:bottom w:val="none" w:sz="0" w:space="0" w:color="auto"/>
            </w:tcBorders>
            <w:noWrap/>
            <w:hideMark/>
          </w:tcPr>
          <w:p w14:paraId="3232DEF4" w14:textId="77777777" w:rsidR="009F6B78" w:rsidRPr="00EB2283" w:rsidRDefault="009F6B78" w:rsidP="00CC54D7">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cs-CZ"/>
              </w:rPr>
            </w:pPr>
            <w:r w:rsidRPr="00EB2283">
              <w:rPr>
                <w:rFonts w:ascii="Calibri" w:eastAsia="Times New Roman" w:hAnsi="Calibri" w:cs="Calibri"/>
                <w:lang w:eastAsia="cs-CZ"/>
              </w:rPr>
              <w:t>8</w:t>
            </w:r>
          </w:p>
        </w:tc>
      </w:tr>
      <w:tr w:rsidR="009F6B78" w:rsidRPr="00EB2283" w14:paraId="12E2517C" w14:textId="77777777" w:rsidTr="00CC54D7">
        <w:trPr>
          <w:trHeight w:val="288"/>
        </w:trPr>
        <w:tc>
          <w:tcPr>
            <w:cnfStyle w:val="001000000000" w:firstRow="0" w:lastRow="0" w:firstColumn="1" w:lastColumn="0" w:oddVBand="0" w:evenVBand="0" w:oddHBand="0" w:evenHBand="0" w:firstRowFirstColumn="0" w:firstRowLastColumn="0" w:lastRowFirstColumn="0" w:lastRowLastColumn="0"/>
            <w:tcW w:w="3256" w:type="dxa"/>
            <w:tcBorders>
              <w:right w:val="none" w:sz="0" w:space="0" w:color="auto"/>
            </w:tcBorders>
            <w:noWrap/>
            <w:hideMark/>
          </w:tcPr>
          <w:p w14:paraId="6738834F" w14:textId="77777777" w:rsidR="009F6B78" w:rsidRPr="00EB2283" w:rsidRDefault="009F6B78" w:rsidP="00CC54D7">
            <w:pPr>
              <w:spacing w:after="0"/>
              <w:rPr>
                <w:rFonts w:ascii="Calibri" w:eastAsia="Times New Roman" w:hAnsi="Calibri" w:cs="Calibri"/>
                <w:lang w:eastAsia="cs-CZ"/>
              </w:rPr>
            </w:pPr>
            <w:r w:rsidRPr="00EB2283">
              <w:rPr>
                <w:rFonts w:ascii="Calibri" w:eastAsia="Times New Roman" w:hAnsi="Calibri" w:cs="Calibri"/>
                <w:lang w:eastAsia="cs-CZ"/>
              </w:rPr>
              <w:t>Výběrová řízení</w:t>
            </w:r>
          </w:p>
        </w:tc>
        <w:tc>
          <w:tcPr>
            <w:tcW w:w="1701" w:type="dxa"/>
            <w:noWrap/>
            <w:hideMark/>
          </w:tcPr>
          <w:p w14:paraId="7E125386" w14:textId="403B346C" w:rsidR="009F6B78" w:rsidRPr="00EB2283" w:rsidRDefault="009F6B78" w:rsidP="009F6B78">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cs-CZ"/>
              </w:rPr>
            </w:pPr>
            <w:r w:rsidRPr="00EB2283">
              <w:rPr>
                <w:rFonts w:ascii="Calibri" w:eastAsia="Times New Roman" w:hAnsi="Calibri" w:cs="Calibri"/>
                <w:lang w:eastAsia="cs-CZ"/>
              </w:rPr>
              <w:t>0,</w:t>
            </w:r>
            <w:r>
              <w:rPr>
                <w:rFonts w:ascii="Calibri" w:eastAsia="Times New Roman" w:hAnsi="Calibri" w:cs="Calibri"/>
                <w:lang w:eastAsia="cs-CZ"/>
              </w:rPr>
              <w:t>4</w:t>
            </w:r>
          </w:p>
        </w:tc>
        <w:tc>
          <w:tcPr>
            <w:tcW w:w="2268" w:type="dxa"/>
            <w:noWrap/>
            <w:hideMark/>
          </w:tcPr>
          <w:p w14:paraId="201B361D" w14:textId="07F7FBD4" w:rsidR="009F6B78" w:rsidRPr="00EB2283" w:rsidRDefault="009F6B78" w:rsidP="00CC54D7">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cs-CZ"/>
              </w:rPr>
            </w:pPr>
            <w:r>
              <w:rPr>
                <w:rFonts w:ascii="Calibri" w:eastAsia="Times New Roman" w:hAnsi="Calibri" w:cs="Calibri"/>
                <w:lang w:eastAsia="cs-CZ"/>
              </w:rPr>
              <w:t>80</w:t>
            </w:r>
          </w:p>
        </w:tc>
        <w:tc>
          <w:tcPr>
            <w:tcW w:w="1837" w:type="dxa"/>
            <w:noWrap/>
            <w:hideMark/>
          </w:tcPr>
          <w:p w14:paraId="4EF7C8E1" w14:textId="6C638BEF" w:rsidR="009F6B78" w:rsidRPr="00EB2283" w:rsidRDefault="009F6B78" w:rsidP="00CC54D7">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cs-CZ"/>
              </w:rPr>
            </w:pPr>
            <w:r>
              <w:rPr>
                <w:rFonts w:ascii="Calibri" w:eastAsia="Times New Roman" w:hAnsi="Calibri" w:cs="Calibri"/>
                <w:lang w:eastAsia="cs-CZ"/>
              </w:rPr>
              <w:t>32</w:t>
            </w:r>
          </w:p>
        </w:tc>
      </w:tr>
      <w:tr w:rsidR="009F6B78" w:rsidRPr="00EB2283" w14:paraId="5EB1BA73" w14:textId="77777777" w:rsidTr="00CC54D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56" w:type="dxa"/>
            <w:tcBorders>
              <w:right w:val="none" w:sz="0" w:space="0" w:color="auto"/>
            </w:tcBorders>
            <w:noWrap/>
            <w:hideMark/>
          </w:tcPr>
          <w:p w14:paraId="79BBA2BB" w14:textId="77777777" w:rsidR="009F6B78" w:rsidRPr="00EB2283" w:rsidRDefault="009F6B78" w:rsidP="00CC54D7">
            <w:pPr>
              <w:spacing w:after="0"/>
              <w:rPr>
                <w:rFonts w:ascii="Calibri" w:eastAsia="Times New Roman" w:hAnsi="Calibri" w:cs="Calibri"/>
                <w:lang w:eastAsia="cs-CZ"/>
              </w:rPr>
            </w:pPr>
            <w:r w:rsidRPr="00EB2283">
              <w:rPr>
                <w:rFonts w:ascii="Calibri" w:eastAsia="Times New Roman" w:hAnsi="Calibri" w:cs="Calibri"/>
                <w:lang w:eastAsia="cs-CZ"/>
              </w:rPr>
              <w:t>Příprava ŽoP a ZoR</w:t>
            </w:r>
          </w:p>
        </w:tc>
        <w:tc>
          <w:tcPr>
            <w:tcW w:w="1701" w:type="dxa"/>
            <w:noWrap/>
            <w:hideMark/>
          </w:tcPr>
          <w:p w14:paraId="2E5EC71C" w14:textId="77777777" w:rsidR="009F6B78" w:rsidRPr="00EB2283" w:rsidRDefault="009F6B78" w:rsidP="00CC54D7">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cs-CZ"/>
              </w:rPr>
            </w:pPr>
            <w:r w:rsidRPr="00EB2283">
              <w:rPr>
                <w:rFonts w:ascii="Calibri" w:eastAsia="Times New Roman" w:hAnsi="Calibri" w:cs="Calibri"/>
                <w:lang w:eastAsia="cs-CZ"/>
              </w:rPr>
              <w:t>4</w:t>
            </w:r>
          </w:p>
        </w:tc>
        <w:tc>
          <w:tcPr>
            <w:tcW w:w="2268" w:type="dxa"/>
            <w:noWrap/>
            <w:hideMark/>
          </w:tcPr>
          <w:p w14:paraId="05095BA9" w14:textId="595EFFDF" w:rsidR="009F6B78" w:rsidRPr="00EB2283" w:rsidRDefault="009F6B78" w:rsidP="00CC54D7">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cs-CZ"/>
              </w:rPr>
            </w:pPr>
            <w:r>
              <w:rPr>
                <w:rFonts w:ascii="Calibri" w:eastAsia="Times New Roman" w:hAnsi="Calibri" w:cs="Calibri"/>
                <w:lang w:eastAsia="cs-CZ"/>
              </w:rPr>
              <w:t>20</w:t>
            </w:r>
          </w:p>
        </w:tc>
        <w:tc>
          <w:tcPr>
            <w:tcW w:w="1837" w:type="dxa"/>
            <w:noWrap/>
            <w:hideMark/>
          </w:tcPr>
          <w:p w14:paraId="530E17BE" w14:textId="3089D582" w:rsidR="009F6B78" w:rsidRPr="00EB2283" w:rsidRDefault="009F6B78" w:rsidP="00CC54D7">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cs-CZ"/>
              </w:rPr>
            </w:pPr>
            <w:r w:rsidRPr="00EB2283">
              <w:rPr>
                <w:rFonts w:ascii="Calibri" w:eastAsia="Times New Roman" w:hAnsi="Calibri" w:cs="Calibri"/>
                <w:lang w:eastAsia="cs-CZ"/>
              </w:rPr>
              <w:t>80</w:t>
            </w:r>
          </w:p>
        </w:tc>
      </w:tr>
      <w:tr w:rsidR="009F6B78" w:rsidRPr="00EB2283" w14:paraId="4FDA1EE2" w14:textId="77777777" w:rsidTr="00CC54D7">
        <w:trPr>
          <w:trHeight w:val="288"/>
        </w:trPr>
        <w:tc>
          <w:tcPr>
            <w:cnfStyle w:val="001000000000" w:firstRow="0" w:lastRow="0" w:firstColumn="1" w:lastColumn="0" w:oddVBand="0" w:evenVBand="0" w:oddHBand="0" w:evenHBand="0" w:firstRowFirstColumn="0" w:firstRowLastColumn="0" w:lastRowFirstColumn="0" w:lastRowLastColumn="0"/>
            <w:tcW w:w="3256" w:type="dxa"/>
            <w:tcBorders>
              <w:right w:val="none" w:sz="0" w:space="0" w:color="auto"/>
            </w:tcBorders>
            <w:noWrap/>
            <w:hideMark/>
          </w:tcPr>
          <w:p w14:paraId="634AB33A" w14:textId="77777777" w:rsidR="009F6B78" w:rsidRPr="00EB2283" w:rsidRDefault="009F6B78" w:rsidP="00CC54D7">
            <w:pPr>
              <w:spacing w:after="0"/>
              <w:rPr>
                <w:rFonts w:ascii="Calibri" w:eastAsia="Times New Roman" w:hAnsi="Calibri" w:cs="Calibri"/>
                <w:lang w:eastAsia="cs-CZ"/>
              </w:rPr>
            </w:pPr>
            <w:r w:rsidRPr="00EB2283">
              <w:rPr>
                <w:rFonts w:ascii="Calibri" w:eastAsia="Times New Roman" w:hAnsi="Calibri" w:cs="Calibri"/>
                <w:lang w:eastAsia="cs-CZ"/>
              </w:rPr>
              <w:t>Dohled nad realizací projektu</w:t>
            </w:r>
          </w:p>
        </w:tc>
        <w:tc>
          <w:tcPr>
            <w:tcW w:w="1701" w:type="dxa"/>
            <w:noWrap/>
            <w:hideMark/>
          </w:tcPr>
          <w:p w14:paraId="43CAB606" w14:textId="77777777" w:rsidR="009F6B78" w:rsidRPr="00EB2283" w:rsidRDefault="009F6B78" w:rsidP="00CC54D7">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cs-CZ"/>
              </w:rPr>
            </w:pPr>
            <w:r w:rsidRPr="00EB2283">
              <w:rPr>
                <w:rFonts w:ascii="Calibri" w:eastAsia="Times New Roman" w:hAnsi="Calibri" w:cs="Calibri"/>
                <w:lang w:eastAsia="cs-CZ"/>
              </w:rPr>
              <w:t>12</w:t>
            </w:r>
          </w:p>
        </w:tc>
        <w:tc>
          <w:tcPr>
            <w:tcW w:w="2268" w:type="dxa"/>
            <w:noWrap/>
            <w:hideMark/>
          </w:tcPr>
          <w:p w14:paraId="52B5EAFB" w14:textId="6D1E916E" w:rsidR="009F6B78" w:rsidRPr="00EB2283" w:rsidRDefault="009F6B78" w:rsidP="00CC54D7">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cs-CZ"/>
              </w:rPr>
            </w:pPr>
            <w:r>
              <w:rPr>
                <w:rFonts w:ascii="Calibri" w:eastAsia="Times New Roman" w:hAnsi="Calibri" w:cs="Calibri"/>
                <w:lang w:eastAsia="cs-CZ"/>
              </w:rPr>
              <w:t>2</w:t>
            </w:r>
          </w:p>
        </w:tc>
        <w:tc>
          <w:tcPr>
            <w:tcW w:w="1837" w:type="dxa"/>
            <w:noWrap/>
            <w:hideMark/>
          </w:tcPr>
          <w:p w14:paraId="2804811E" w14:textId="0100AA27" w:rsidR="009F6B78" w:rsidRPr="00EB2283" w:rsidRDefault="009F6B78" w:rsidP="00CC54D7">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cs-CZ"/>
              </w:rPr>
            </w:pPr>
            <w:r>
              <w:rPr>
                <w:rFonts w:ascii="Calibri" w:eastAsia="Times New Roman" w:hAnsi="Calibri" w:cs="Calibri"/>
                <w:lang w:eastAsia="cs-CZ"/>
              </w:rPr>
              <w:t>24</w:t>
            </w:r>
          </w:p>
        </w:tc>
      </w:tr>
      <w:tr w:rsidR="009F6B78" w:rsidRPr="00EB2283" w14:paraId="4B76CA83" w14:textId="77777777" w:rsidTr="00CC54D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56" w:type="dxa"/>
            <w:tcBorders>
              <w:right w:val="none" w:sz="0" w:space="0" w:color="auto"/>
            </w:tcBorders>
            <w:noWrap/>
            <w:hideMark/>
          </w:tcPr>
          <w:p w14:paraId="7DDFACC6" w14:textId="77777777" w:rsidR="009F6B78" w:rsidRPr="00EB2283" w:rsidRDefault="009F6B78" w:rsidP="00CC54D7">
            <w:pPr>
              <w:spacing w:after="0"/>
              <w:rPr>
                <w:rFonts w:ascii="Calibri" w:eastAsia="Times New Roman" w:hAnsi="Calibri" w:cs="Calibri"/>
                <w:lang w:eastAsia="cs-CZ"/>
              </w:rPr>
            </w:pPr>
            <w:r w:rsidRPr="00EB2283">
              <w:rPr>
                <w:rFonts w:ascii="Calibri" w:eastAsia="Times New Roman" w:hAnsi="Calibri" w:cs="Calibri"/>
                <w:lang w:eastAsia="cs-CZ"/>
              </w:rPr>
              <w:t>Celkem</w:t>
            </w:r>
          </w:p>
        </w:tc>
        <w:tc>
          <w:tcPr>
            <w:tcW w:w="1701" w:type="dxa"/>
            <w:noWrap/>
            <w:hideMark/>
          </w:tcPr>
          <w:p w14:paraId="08F41E9F" w14:textId="77777777" w:rsidR="009F6B78" w:rsidRPr="00EB2283" w:rsidRDefault="009F6B78" w:rsidP="00CC54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cs-CZ"/>
              </w:rPr>
            </w:pPr>
          </w:p>
        </w:tc>
        <w:tc>
          <w:tcPr>
            <w:tcW w:w="2268" w:type="dxa"/>
            <w:noWrap/>
            <w:hideMark/>
          </w:tcPr>
          <w:p w14:paraId="18476273" w14:textId="77777777" w:rsidR="009F6B78" w:rsidRPr="00EB2283" w:rsidRDefault="009F6B78" w:rsidP="00CC54D7">
            <w:pPr>
              <w:spacing w:after="0"/>
              <w:cnfStyle w:val="000000100000" w:firstRow="0" w:lastRow="0" w:firstColumn="0" w:lastColumn="0" w:oddVBand="0" w:evenVBand="0" w:oddHBand="1" w:evenHBand="0" w:firstRowFirstColumn="0" w:firstRowLastColumn="0" w:lastRowFirstColumn="0" w:lastRowLastColumn="0"/>
              <w:rPr>
                <w:sz w:val="20"/>
                <w:szCs w:val="20"/>
                <w:lang w:eastAsia="cs-CZ"/>
              </w:rPr>
            </w:pPr>
          </w:p>
        </w:tc>
        <w:tc>
          <w:tcPr>
            <w:tcW w:w="1837" w:type="dxa"/>
            <w:noWrap/>
            <w:hideMark/>
          </w:tcPr>
          <w:p w14:paraId="0598A175" w14:textId="11CB745B" w:rsidR="009F6B78" w:rsidRPr="00EB2283" w:rsidRDefault="009F6B78" w:rsidP="00CC54D7">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lang w:eastAsia="cs-CZ"/>
              </w:rPr>
            </w:pPr>
            <w:r>
              <w:rPr>
                <w:rFonts w:ascii="Calibri" w:eastAsia="Times New Roman" w:hAnsi="Calibri" w:cs="Calibri"/>
                <w:b/>
                <w:bCs/>
                <w:lang w:eastAsia="cs-CZ"/>
              </w:rPr>
              <w:t>144</w:t>
            </w:r>
          </w:p>
        </w:tc>
      </w:tr>
    </w:tbl>
    <w:p w14:paraId="2743E898" w14:textId="77777777" w:rsidR="009F6B78" w:rsidRPr="00EB2283" w:rsidRDefault="009F6B78" w:rsidP="009F6B78">
      <w:pPr>
        <w:rPr>
          <w:i/>
        </w:rPr>
      </w:pPr>
      <w:r w:rsidRPr="00EB2283">
        <w:rPr>
          <w:i/>
        </w:rPr>
        <w:t>Zdroj: řízené rozhovory</w:t>
      </w:r>
    </w:p>
    <w:p w14:paraId="5E71BCCE" w14:textId="731AC033" w:rsidR="00EB2283" w:rsidRDefault="00EB2283" w:rsidP="00EB2283">
      <w:pPr>
        <w:pStyle w:val="Titulek"/>
      </w:pPr>
      <w:bookmarkStart w:id="110" w:name="_Toc50456754"/>
      <w:r>
        <w:t xml:space="preserve">Tabulka </w:t>
      </w:r>
      <w:r w:rsidR="00C050DB">
        <w:fldChar w:fldCharType="begin"/>
      </w:r>
      <w:r w:rsidR="00C050DB">
        <w:instrText xml:space="preserve"> SEQ Tabulka \* ARABIC </w:instrText>
      </w:r>
      <w:r w:rsidR="00C050DB">
        <w:fldChar w:fldCharType="separate"/>
      </w:r>
      <w:r w:rsidR="00E96F43">
        <w:rPr>
          <w:noProof/>
        </w:rPr>
        <w:t>21</w:t>
      </w:r>
      <w:r w:rsidR="00C050DB">
        <w:rPr>
          <w:noProof/>
        </w:rPr>
        <w:fldChar w:fldCharType="end"/>
      </w:r>
      <w:r>
        <w:t>:</w:t>
      </w:r>
      <w:r w:rsidRPr="00EB2283">
        <w:t xml:space="preserve"> Odhad časové náročnosti a počtu úkonů na pozici PIP </w:t>
      </w:r>
      <w:r w:rsidR="009F6B78">
        <w:t xml:space="preserve">(ZS) </w:t>
      </w:r>
      <w:r w:rsidRPr="00EB2283">
        <w:t>přepočtený na jeden interní projekt</w:t>
      </w:r>
      <w:bookmarkEnd w:id="110"/>
    </w:p>
    <w:tbl>
      <w:tblPr>
        <w:tblStyle w:val="Tabulkaseznamu3zvraznn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701"/>
        <w:gridCol w:w="2268"/>
        <w:gridCol w:w="1837"/>
      </w:tblGrid>
      <w:tr w:rsidR="00EB2283" w:rsidRPr="00EB2283" w14:paraId="5AA6C8E0" w14:textId="77777777" w:rsidTr="009B6E13">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3256" w:type="dxa"/>
            <w:tcBorders>
              <w:bottom w:val="none" w:sz="0" w:space="0" w:color="auto"/>
              <w:right w:val="none" w:sz="0" w:space="0" w:color="auto"/>
            </w:tcBorders>
            <w:noWrap/>
            <w:hideMark/>
          </w:tcPr>
          <w:p w14:paraId="4C65262B" w14:textId="77777777" w:rsidR="00EB2283" w:rsidRPr="00EB2283" w:rsidRDefault="00EB2283">
            <w:pPr>
              <w:rPr>
                <w:color w:val="auto"/>
              </w:rPr>
            </w:pPr>
          </w:p>
        </w:tc>
        <w:tc>
          <w:tcPr>
            <w:tcW w:w="1701" w:type="dxa"/>
            <w:tcBorders>
              <w:left w:val="none" w:sz="0" w:space="0" w:color="auto"/>
              <w:right w:val="none" w:sz="0" w:space="0" w:color="auto"/>
            </w:tcBorders>
            <w:noWrap/>
            <w:hideMark/>
          </w:tcPr>
          <w:p w14:paraId="5F7618B6" w14:textId="77777777" w:rsidR="00EB2283" w:rsidRPr="00EB2283" w:rsidRDefault="00EB2283">
            <w:pPr>
              <w:spacing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eastAsia="cs-CZ"/>
              </w:rPr>
            </w:pPr>
            <w:r w:rsidRPr="00EB2283">
              <w:rPr>
                <w:rFonts w:ascii="Calibri" w:eastAsia="Times New Roman" w:hAnsi="Calibri" w:cs="Calibri"/>
                <w:color w:val="auto"/>
                <w:lang w:eastAsia="cs-CZ"/>
              </w:rPr>
              <w:t>Opakování/rok 2019</w:t>
            </w:r>
          </w:p>
        </w:tc>
        <w:tc>
          <w:tcPr>
            <w:tcW w:w="2268" w:type="dxa"/>
            <w:tcBorders>
              <w:left w:val="none" w:sz="0" w:space="0" w:color="auto"/>
              <w:right w:val="none" w:sz="0" w:space="0" w:color="auto"/>
            </w:tcBorders>
            <w:noWrap/>
            <w:hideMark/>
          </w:tcPr>
          <w:p w14:paraId="509ED6D5" w14:textId="77777777" w:rsidR="00EB2283" w:rsidRPr="00EB2283" w:rsidRDefault="00EB2283">
            <w:pPr>
              <w:spacing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eastAsia="cs-CZ"/>
              </w:rPr>
            </w:pPr>
            <w:r w:rsidRPr="009B6E13">
              <w:rPr>
                <w:rFonts w:ascii="Calibri" w:eastAsia="Times New Roman" w:hAnsi="Calibri" w:cs="Calibri"/>
                <w:color w:val="auto"/>
                <w:lang w:eastAsia="cs-CZ"/>
              </w:rPr>
              <w:t>Čas potřebný na aktivitu na pozici PIP</w:t>
            </w:r>
            <w:r w:rsidR="008A547A">
              <w:rPr>
                <w:rFonts w:ascii="Calibri" w:eastAsia="Times New Roman" w:hAnsi="Calibri" w:cs="Calibri"/>
                <w:color w:val="auto"/>
                <w:lang w:eastAsia="cs-CZ"/>
              </w:rPr>
              <w:t xml:space="preserve"> (hod)</w:t>
            </w:r>
          </w:p>
        </w:tc>
        <w:tc>
          <w:tcPr>
            <w:tcW w:w="1837" w:type="dxa"/>
            <w:tcBorders>
              <w:left w:val="none" w:sz="0" w:space="0" w:color="auto"/>
            </w:tcBorders>
            <w:noWrap/>
            <w:hideMark/>
          </w:tcPr>
          <w:p w14:paraId="78A4859D" w14:textId="77777777" w:rsidR="00EB2283" w:rsidRPr="00EB2283" w:rsidRDefault="00EB2283">
            <w:pPr>
              <w:spacing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eastAsia="cs-CZ"/>
              </w:rPr>
            </w:pPr>
            <w:r w:rsidRPr="00EB2283">
              <w:rPr>
                <w:rFonts w:ascii="Calibri" w:eastAsia="Times New Roman" w:hAnsi="Calibri" w:cs="Calibri"/>
                <w:color w:val="auto"/>
                <w:lang w:eastAsia="cs-CZ"/>
              </w:rPr>
              <w:t>Celkem hodin</w:t>
            </w:r>
          </w:p>
        </w:tc>
      </w:tr>
      <w:tr w:rsidR="00EB2283" w:rsidRPr="00EB2283" w14:paraId="5A730C65" w14:textId="77777777" w:rsidTr="009B6E1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56" w:type="dxa"/>
            <w:tcBorders>
              <w:top w:val="none" w:sz="0" w:space="0" w:color="auto"/>
              <w:bottom w:val="none" w:sz="0" w:space="0" w:color="auto"/>
              <w:right w:val="none" w:sz="0" w:space="0" w:color="auto"/>
            </w:tcBorders>
            <w:noWrap/>
            <w:hideMark/>
          </w:tcPr>
          <w:p w14:paraId="4B75287E" w14:textId="77777777" w:rsidR="00EB2283" w:rsidRPr="00EB2283" w:rsidRDefault="00EB2283">
            <w:pPr>
              <w:spacing w:after="0"/>
              <w:rPr>
                <w:rFonts w:ascii="Calibri" w:eastAsia="Times New Roman" w:hAnsi="Calibri" w:cs="Calibri"/>
                <w:lang w:eastAsia="cs-CZ"/>
              </w:rPr>
            </w:pPr>
            <w:r w:rsidRPr="00EB2283">
              <w:rPr>
                <w:rFonts w:ascii="Calibri" w:eastAsia="Times New Roman" w:hAnsi="Calibri" w:cs="Calibri"/>
                <w:lang w:eastAsia="cs-CZ"/>
              </w:rPr>
              <w:t>Příprava žádosti o podporu IP</w:t>
            </w:r>
          </w:p>
        </w:tc>
        <w:tc>
          <w:tcPr>
            <w:tcW w:w="1701" w:type="dxa"/>
            <w:tcBorders>
              <w:top w:val="none" w:sz="0" w:space="0" w:color="auto"/>
              <w:bottom w:val="none" w:sz="0" w:space="0" w:color="auto"/>
            </w:tcBorders>
            <w:noWrap/>
            <w:hideMark/>
          </w:tcPr>
          <w:p w14:paraId="689F51EC" w14:textId="77777777" w:rsidR="00EB2283" w:rsidRPr="00EB2283" w:rsidRDefault="00EB2283">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cs-CZ"/>
              </w:rPr>
            </w:pPr>
            <w:r w:rsidRPr="00EB2283">
              <w:rPr>
                <w:rFonts w:ascii="Calibri" w:eastAsia="Times New Roman" w:hAnsi="Calibri" w:cs="Calibri"/>
                <w:lang w:eastAsia="cs-CZ"/>
              </w:rPr>
              <w:t>1</w:t>
            </w:r>
          </w:p>
        </w:tc>
        <w:tc>
          <w:tcPr>
            <w:tcW w:w="2268" w:type="dxa"/>
            <w:tcBorders>
              <w:top w:val="none" w:sz="0" w:space="0" w:color="auto"/>
              <w:bottom w:val="none" w:sz="0" w:space="0" w:color="auto"/>
            </w:tcBorders>
            <w:noWrap/>
            <w:hideMark/>
          </w:tcPr>
          <w:p w14:paraId="4316B702" w14:textId="77777777" w:rsidR="00EB2283" w:rsidRPr="00EB2283" w:rsidRDefault="00EB2283">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cs-CZ"/>
              </w:rPr>
            </w:pPr>
            <w:r w:rsidRPr="00EB2283">
              <w:rPr>
                <w:rFonts w:ascii="Calibri" w:eastAsia="Times New Roman" w:hAnsi="Calibri" w:cs="Calibri"/>
                <w:lang w:eastAsia="cs-CZ"/>
              </w:rPr>
              <w:t>8</w:t>
            </w:r>
          </w:p>
        </w:tc>
        <w:tc>
          <w:tcPr>
            <w:tcW w:w="1837" w:type="dxa"/>
            <w:tcBorders>
              <w:top w:val="none" w:sz="0" w:space="0" w:color="auto"/>
              <w:bottom w:val="none" w:sz="0" w:space="0" w:color="auto"/>
            </w:tcBorders>
            <w:noWrap/>
            <w:hideMark/>
          </w:tcPr>
          <w:p w14:paraId="59778D42" w14:textId="77777777" w:rsidR="00EB2283" w:rsidRPr="00EB2283" w:rsidRDefault="00EB2283">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cs-CZ"/>
              </w:rPr>
            </w:pPr>
            <w:r w:rsidRPr="00EB2283">
              <w:rPr>
                <w:rFonts w:ascii="Calibri" w:eastAsia="Times New Roman" w:hAnsi="Calibri" w:cs="Calibri"/>
                <w:lang w:eastAsia="cs-CZ"/>
              </w:rPr>
              <w:t>8</w:t>
            </w:r>
          </w:p>
        </w:tc>
      </w:tr>
      <w:tr w:rsidR="00EB2283" w:rsidRPr="00EB2283" w14:paraId="4D25358C" w14:textId="77777777" w:rsidTr="009B6E13">
        <w:trPr>
          <w:trHeight w:val="288"/>
        </w:trPr>
        <w:tc>
          <w:tcPr>
            <w:cnfStyle w:val="001000000000" w:firstRow="0" w:lastRow="0" w:firstColumn="1" w:lastColumn="0" w:oddVBand="0" w:evenVBand="0" w:oddHBand="0" w:evenHBand="0" w:firstRowFirstColumn="0" w:firstRowLastColumn="0" w:lastRowFirstColumn="0" w:lastRowLastColumn="0"/>
            <w:tcW w:w="3256" w:type="dxa"/>
            <w:tcBorders>
              <w:right w:val="none" w:sz="0" w:space="0" w:color="auto"/>
            </w:tcBorders>
            <w:noWrap/>
            <w:hideMark/>
          </w:tcPr>
          <w:p w14:paraId="0AAF5C5B" w14:textId="77777777" w:rsidR="00EB2283" w:rsidRPr="00EB2283" w:rsidRDefault="00EB2283">
            <w:pPr>
              <w:spacing w:after="0"/>
              <w:rPr>
                <w:rFonts w:ascii="Calibri" w:eastAsia="Times New Roman" w:hAnsi="Calibri" w:cs="Calibri"/>
                <w:lang w:eastAsia="cs-CZ"/>
              </w:rPr>
            </w:pPr>
            <w:r w:rsidRPr="00EB2283">
              <w:rPr>
                <w:rFonts w:ascii="Calibri" w:eastAsia="Times New Roman" w:hAnsi="Calibri" w:cs="Calibri"/>
                <w:lang w:eastAsia="cs-CZ"/>
              </w:rPr>
              <w:t>Výběrová řízení</w:t>
            </w:r>
          </w:p>
        </w:tc>
        <w:tc>
          <w:tcPr>
            <w:tcW w:w="1701" w:type="dxa"/>
            <w:noWrap/>
            <w:hideMark/>
          </w:tcPr>
          <w:p w14:paraId="0476C47D" w14:textId="77777777" w:rsidR="00EB2283" w:rsidRPr="00EB2283" w:rsidRDefault="00EB2283">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cs-CZ"/>
              </w:rPr>
            </w:pPr>
            <w:r w:rsidRPr="00EB2283">
              <w:rPr>
                <w:rFonts w:ascii="Calibri" w:eastAsia="Times New Roman" w:hAnsi="Calibri" w:cs="Calibri"/>
                <w:lang w:eastAsia="cs-CZ"/>
              </w:rPr>
              <w:t>0,83</w:t>
            </w:r>
          </w:p>
        </w:tc>
        <w:tc>
          <w:tcPr>
            <w:tcW w:w="2268" w:type="dxa"/>
            <w:noWrap/>
            <w:hideMark/>
          </w:tcPr>
          <w:p w14:paraId="5B5C9014" w14:textId="77777777" w:rsidR="00EB2283" w:rsidRPr="00EB2283" w:rsidRDefault="00EB2283">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cs-CZ"/>
              </w:rPr>
            </w:pPr>
            <w:r w:rsidRPr="00EB2283">
              <w:rPr>
                <w:rFonts w:ascii="Calibri" w:eastAsia="Times New Roman" w:hAnsi="Calibri" w:cs="Calibri"/>
                <w:lang w:eastAsia="cs-CZ"/>
              </w:rPr>
              <w:t>104</w:t>
            </w:r>
          </w:p>
        </w:tc>
        <w:tc>
          <w:tcPr>
            <w:tcW w:w="1837" w:type="dxa"/>
            <w:noWrap/>
            <w:hideMark/>
          </w:tcPr>
          <w:p w14:paraId="0910309A" w14:textId="77777777" w:rsidR="00EB2283" w:rsidRPr="00EB2283" w:rsidRDefault="00EB2283">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cs-CZ"/>
              </w:rPr>
            </w:pPr>
            <w:r w:rsidRPr="00EB2283">
              <w:rPr>
                <w:rFonts w:ascii="Calibri" w:eastAsia="Times New Roman" w:hAnsi="Calibri" w:cs="Calibri"/>
                <w:lang w:eastAsia="cs-CZ"/>
              </w:rPr>
              <w:t>87</w:t>
            </w:r>
          </w:p>
        </w:tc>
      </w:tr>
      <w:tr w:rsidR="00EB2283" w:rsidRPr="00EB2283" w14:paraId="22EF0B55" w14:textId="77777777" w:rsidTr="009B6E1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56" w:type="dxa"/>
            <w:tcBorders>
              <w:top w:val="none" w:sz="0" w:space="0" w:color="auto"/>
              <w:bottom w:val="none" w:sz="0" w:space="0" w:color="auto"/>
              <w:right w:val="none" w:sz="0" w:space="0" w:color="auto"/>
            </w:tcBorders>
            <w:noWrap/>
            <w:hideMark/>
          </w:tcPr>
          <w:p w14:paraId="27841F24" w14:textId="77777777" w:rsidR="00EB2283" w:rsidRPr="00EB2283" w:rsidRDefault="00EB2283">
            <w:pPr>
              <w:spacing w:after="0"/>
              <w:rPr>
                <w:rFonts w:ascii="Calibri" w:eastAsia="Times New Roman" w:hAnsi="Calibri" w:cs="Calibri"/>
                <w:lang w:eastAsia="cs-CZ"/>
              </w:rPr>
            </w:pPr>
            <w:r w:rsidRPr="00EB2283">
              <w:rPr>
                <w:rFonts w:ascii="Calibri" w:eastAsia="Times New Roman" w:hAnsi="Calibri" w:cs="Calibri"/>
                <w:lang w:eastAsia="cs-CZ"/>
              </w:rPr>
              <w:t>Kontrola faktur a dalších dokladů</w:t>
            </w:r>
          </w:p>
        </w:tc>
        <w:tc>
          <w:tcPr>
            <w:tcW w:w="1701" w:type="dxa"/>
            <w:tcBorders>
              <w:top w:val="none" w:sz="0" w:space="0" w:color="auto"/>
              <w:bottom w:val="none" w:sz="0" w:space="0" w:color="auto"/>
            </w:tcBorders>
            <w:noWrap/>
            <w:hideMark/>
          </w:tcPr>
          <w:p w14:paraId="12AB7568" w14:textId="77777777" w:rsidR="00EB2283" w:rsidRPr="00EB2283" w:rsidRDefault="00EB2283">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cs-CZ"/>
              </w:rPr>
            </w:pPr>
            <w:r w:rsidRPr="00EB2283">
              <w:rPr>
                <w:rFonts w:ascii="Calibri" w:eastAsia="Times New Roman" w:hAnsi="Calibri" w:cs="Calibri"/>
                <w:lang w:eastAsia="cs-CZ"/>
              </w:rPr>
              <w:t>80</w:t>
            </w:r>
          </w:p>
        </w:tc>
        <w:tc>
          <w:tcPr>
            <w:tcW w:w="2268" w:type="dxa"/>
            <w:tcBorders>
              <w:top w:val="none" w:sz="0" w:space="0" w:color="auto"/>
              <w:bottom w:val="none" w:sz="0" w:space="0" w:color="auto"/>
            </w:tcBorders>
            <w:noWrap/>
            <w:hideMark/>
          </w:tcPr>
          <w:p w14:paraId="56C3DBA4" w14:textId="77777777" w:rsidR="00EB2283" w:rsidRPr="00EB2283" w:rsidRDefault="00EB2283">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cs-CZ"/>
              </w:rPr>
            </w:pPr>
            <w:r w:rsidRPr="00EB2283">
              <w:rPr>
                <w:rFonts w:ascii="Calibri" w:eastAsia="Times New Roman" w:hAnsi="Calibri" w:cs="Calibri"/>
                <w:lang w:eastAsia="cs-CZ"/>
              </w:rPr>
              <w:t>0,5</w:t>
            </w:r>
          </w:p>
        </w:tc>
        <w:tc>
          <w:tcPr>
            <w:tcW w:w="1837" w:type="dxa"/>
            <w:tcBorders>
              <w:top w:val="none" w:sz="0" w:space="0" w:color="auto"/>
              <w:bottom w:val="none" w:sz="0" w:space="0" w:color="auto"/>
            </w:tcBorders>
            <w:noWrap/>
            <w:hideMark/>
          </w:tcPr>
          <w:p w14:paraId="32CDF9A5" w14:textId="77777777" w:rsidR="00EB2283" w:rsidRPr="00EB2283" w:rsidRDefault="00EB2283">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cs-CZ"/>
              </w:rPr>
            </w:pPr>
            <w:r w:rsidRPr="00EB2283">
              <w:rPr>
                <w:rFonts w:ascii="Calibri" w:eastAsia="Times New Roman" w:hAnsi="Calibri" w:cs="Calibri"/>
                <w:lang w:eastAsia="cs-CZ"/>
              </w:rPr>
              <w:t>40</w:t>
            </w:r>
          </w:p>
        </w:tc>
      </w:tr>
      <w:tr w:rsidR="00EB2283" w:rsidRPr="00EB2283" w14:paraId="1C9ED8FB" w14:textId="77777777" w:rsidTr="009B6E13">
        <w:trPr>
          <w:trHeight w:val="288"/>
        </w:trPr>
        <w:tc>
          <w:tcPr>
            <w:cnfStyle w:val="001000000000" w:firstRow="0" w:lastRow="0" w:firstColumn="1" w:lastColumn="0" w:oddVBand="0" w:evenVBand="0" w:oddHBand="0" w:evenHBand="0" w:firstRowFirstColumn="0" w:firstRowLastColumn="0" w:lastRowFirstColumn="0" w:lastRowLastColumn="0"/>
            <w:tcW w:w="3256" w:type="dxa"/>
            <w:tcBorders>
              <w:right w:val="none" w:sz="0" w:space="0" w:color="auto"/>
            </w:tcBorders>
            <w:noWrap/>
            <w:hideMark/>
          </w:tcPr>
          <w:p w14:paraId="47926DEE" w14:textId="77777777" w:rsidR="00EB2283" w:rsidRPr="00EB2283" w:rsidRDefault="00EB2283">
            <w:pPr>
              <w:spacing w:after="0"/>
              <w:rPr>
                <w:rFonts w:ascii="Calibri" w:eastAsia="Times New Roman" w:hAnsi="Calibri" w:cs="Calibri"/>
                <w:lang w:eastAsia="cs-CZ"/>
              </w:rPr>
            </w:pPr>
            <w:r w:rsidRPr="00EB2283">
              <w:rPr>
                <w:rFonts w:ascii="Calibri" w:eastAsia="Times New Roman" w:hAnsi="Calibri" w:cs="Calibri"/>
                <w:lang w:eastAsia="cs-CZ"/>
              </w:rPr>
              <w:t>Příprava ŽoP a ZoR</w:t>
            </w:r>
          </w:p>
        </w:tc>
        <w:tc>
          <w:tcPr>
            <w:tcW w:w="1701" w:type="dxa"/>
            <w:noWrap/>
            <w:hideMark/>
          </w:tcPr>
          <w:p w14:paraId="57902A30" w14:textId="77777777" w:rsidR="00EB2283" w:rsidRPr="00EB2283" w:rsidRDefault="00EB2283">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cs-CZ"/>
              </w:rPr>
            </w:pPr>
            <w:r w:rsidRPr="00EB2283">
              <w:rPr>
                <w:rFonts w:ascii="Calibri" w:eastAsia="Times New Roman" w:hAnsi="Calibri" w:cs="Calibri"/>
                <w:lang w:eastAsia="cs-CZ"/>
              </w:rPr>
              <w:t>4</w:t>
            </w:r>
          </w:p>
        </w:tc>
        <w:tc>
          <w:tcPr>
            <w:tcW w:w="2268" w:type="dxa"/>
            <w:noWrap/>
            <w:hideMark/>
          </w:tcPr>
          <w:p w14:paraId="50AF4E66" w14:textId="77777777" w:rsidR="00EB2283" w:rsidRPr="00EB2283" w:rsidRDefault="00EB2283">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cs-CZ"/>
              </w:rPr>
            </w:pPr>
            <w:r w:rsidRPr="00EB2283">
              <w:rPr>
                <w:rFonts w:ascii="Calibri" w:eastAsia="Times New Roman" w:hAnsi="Calibri" w:cs="Calibri"/>
                <w:lang w:eastAsia="cs-CZ"/>
              </w:rPr>
              <w:t>45</w:t>
            </w:r>
          </w:p>
        </w:tc>
        <w:tc>
          <w:tcPr>
            <w:tcW w:w="1837" w:type="dxa"/>
            <w:noWrap/>
            <w:hideMark/>
          </w:tcPr>
          <w:p w14:paraId="705F8C86" w14:textId="77777777" w:rsidR="00EB2283" w:rsidRPr="00EB2283" w:rsidRDefault="00EB2283">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cs-CZ"/>
              </w:rPr>
            </w:pPr>
            <w:r w:rsidRPr="00EB2283">
              <w:rPr>
                <w:rFonts w:ascii="Calibri" w:eastAsia="Times New Roman" w:hAnsi="Calibri" w:cs="Calibri"/>
                <w:lang w:eastAsia="cs-CZ"/>
              </w:rPr>
              <w:t>180</w:t>
            </w:r>
          </w:p>
        </w:tc>
      </w:tr>
      <w:tr w:rsidR="00EB2283" w:rsidRPr="00EB2283" w14:paraId="79958F13" w14:textId="77777777" w:rsidTr="009B6E1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56" w:type="dxa"/>
            <w:tcBorders>
              <w:top w:val="none" w:sz="0" w:space="0" w:color="auto"/>
              <w:bottom w:val="none" w:sz="0" w:space="0" w:color="auto"/>
              <w:right w:val="none" w:sz="0" w:space="0" w:color="auto"/>
            </w:tcBorders>
            <w:noWrap/>
            <w:hideMark/>
          </w:tcPr>
          <w:p w14:paraId="14F6E908" w14:textId="77777777" w:rsidR="00EB2283" w:rsidRPr="00EB2283" w:rsidRDefault="00EB2283">
            <w:pPr>
              <w:spacing w:after="0"/>
              <w:rPr>
                <w:rFonts w:ascii="Calibri" w:eastAsia="Times New Roman" w:hAnsi="Calibri" w:cs="Calibri"/>
                <w:lang w:eastAsia="cs-CZ"/>
              </w:rPr>
            </w:pPr>
            <w:r w:rsidRPr="00EB2283">
              <w:rPr>
                <w:rFonts w:ascii="Calibri" w:eastAsia="Times New Roman" w:hAnsi="Calibri" w:cs="Calibri"/>
                <w:lang w:eastAsia="cs-CZ"/>
              </w:rPr>
              <w:t>Dohled nad realizací projektu</w:t>
            </w:r>
          </w:p>
        </w:tc>
        <w:tc>
          <w:tcPr>
            <w:tcW w:w="1701" w:type="dxa"/>
            <w:tcBorders>
              <w:top w:val="none" w:sz="0" w:space="0" w:color="auto"/>
              <w:bottom w:val="none" w:sz="0" w:space="0" w:color="auto"/>
            </w:tcBorders>
            <w:noWrap/>
            <w:hideMark/>
          </w:tcPr>
          <w:p w14:paraId="5F569532" w14:textId="77777777" w:rsidR="00EB2283" w:rsidRPr="00EB2283" w:rsidRDefault="00EB2283">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cs-CZ"/>
              </w:rPr>
            </w:pPr>
            <w:r w:rsidRPr="00EB2283">
              <w:rPr>
                <w:rFonts w:ascii="Calibri" w:eastAsia="Times New Roman" w:hAnsi="Calibri" w:cs="Calibri"/>
                <w:lang w:eastAsia="cs-CZ"/>
              </w:rPr>
              <w:t>12</w:t>
            </w:r>
          </w:p>
        </w:tc>
        <w:tc>
          <w:tcPr>
            <w:tcW w:w="2268" w:type="dxa"/>
            <w:tcBorders>
              <w:top w:val="none" w:sz="0" w:space="0" w:color="auto"/>
              <w:bottom w:val="none" w:sz="0" w:space="0" w:color="auto"/>
            </w:tcBorders>
            <w:noWrap/>
            <w:hideMark/>
          </w:tcPr>
          <w:p w14:paraId="17A68F56" w14:textId="77777777" w:rsidR="00EB2283" w:rsidRPr="00EB2283" w:rsidRDefault="00EB2283">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cs-CZ"/>
              </w:rPr>
            </w:pPr>
            <w:r w:rsidRPr="00EB2283">
              <w:rPr>
                <w:rFonts w:ascii="Calibri" w:eastAsia="Times New Roman" w:hAnsi="Calibri" w:cs="Calibri"/>
                <w:lang w:eastAsia="cs-CZ"/>
              </w:rPr>
              <w:t>8</w:t>
            </w:r>
          </w:p>
        </w:tc>
        <w:tc>
          <w:tcPr>
            <w:tcW w:w="1837" w:type="dxa"/>
            <w:tcBorders>
              <w:top w:val="none" w:sz="0" w:space="0" w:color="auto"/>
              <w:bottom w:val="none" w:sz="0" w:space="0" w:color="auto"/>
            </w:tcBorders>
            <w:noWrap/>
            <w:hideMark/>
          </w:tcPr>
          <w:p w14:paraId="6BD5867E" w14:textId="77777777" w:rsidR="00EB2283" w:rsidRPr="00EB2283" w:rsidRDefault="00EB2283">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cs-CZ"/>
              </w:rPr>
            </w:pPr>
            <w:r w:rsidRPr="00EB2283">
              <w:rPr>
                <w:rFonts w:ascii="Calibri" w:eastAsia="Times New Roman" w:hAnsi="Calibri" w:cs="Calibri"/>
                <w:lang w:eastAsia="cs-CZ"/>
              </w:rPr>
              <w:t>96</w:t>
            </w:r>
          </w:p>
        </w:tc>
      </w:tr>
      <w:tr w:rsidR="00EB2283" w:rsidRPr="00EB2283" w14:paraId="2BE24609" w14:textId="77777777" w:rsidTr="009B6E13">
        <w:trPr>
          <w:trHeight w:val="288"/>
        </w:trPr>
        <w:tc>
          <w:tcPr>
            <w:cnfStyle w:val="001000000000" w:firstRow="0" w:lastRow="0" w:firstColumn="1" w:lastColumn="0" w:oddVBand="0" w:evenVBand="0" w:oddHBand="0" w:evenHBand="0" w:firstRowFirstColumn="0" w:firstRowLastColumn="0" w:lastRowFirstColumn="0" w:lastRowLastColumn="0"/>
            <w:tcW w:w="3256" w:type="dxa"/>
            <w:tcBorders>
              <w:right w:val="none" w:sz="0" w:space="0" w:color="auto"/>
            </w:tcBorders>
            <w:noWrap/>
            <w:hideMark/>
          </w:tcPr>
          <w:p w14:paraId="799EBD1E" w14:textId="77777777" w:rsidR="00EB2283" w:rsidRPr="00EB2283" w:rsidRDefault="00EB2283">
            <w:pPr>
              <w:spacing w:after="0"/>
              <w:rPr>
                <w:rFonts w:ascii="Calibri" w:eastAsia="Times New Roman" w:hAnsi="Calibri" w:cs="Calibri"/>
                <w:lang w:eastAsia="cs-CZ"/>
              </w:rPr>
            </w:pPr>
            <w:r w:rsidRPr="00EB2283">
              <w:rPr>
                <w:rFonts w:ascii="Calibri" w:eastAsia="Times New Roman" w:hAnsi="Calibri" w:cs="Calibri"/>
                <w:lang w:eastAsia="cs-CZ"/>
              </w:rPr>
              <w:t>Celkem</w:t>
            </w:r>
          </w:p>
        </w:tc>
        <w:tc>
          <w:tcPr>
            <w:tcW w:w="1701" w:type="dxa"/>
            <w:noWrap/>
            <w:hideMark/>
          </w:tcPr>
          <w:p w14:paraId="59CA136B" w14:textId="77777777" w:rsidR="00EB2283" w:rsidRPr="00EB2283" w:rsidRDefault="00EB22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cs-CZ"/>
              </w:rPr>
            </w:pPr>
          </w:p>
        </w:tc>
        <w:tc>
          <w:tcPr>
            <w:tcW w:w="2268" w:type="dxa"/>
            <w:noWrap/>
            <w:hideMark/>
          </w:tcPr>
          <w:p w14:paraId="3857E2E3" w14:textId="77777777" w:rsidR="00EB2283" w:rsidRPr="00EB2283" w:rsidRDefault="00EB2283">
            <w:pPr>
              <w:spacing w:after="0"/>
              <w:cnfStyle w:val="000000000000" w:firstRow="0" w:lastRow="0" w:firstColumn="0" w:lastColumn="0" w:oddVBand="0" w:evenVBand="0" w:oddHBand="0" w:evenHBand="0" w:firstRowFirstColumn="0" w:firstRowLastColumn="0" w:lastRowFirstColumn="0" w:lastRowLastColumn="0"/>
              <w:rPr>
                <w:sz w:val="20"/>
                <w:szCs w:val="20"/>
                <w:lang w:eastAsia="cs-CZ"/>
              </w:rPr>
            </w:pPr>
          </w:p>
        </w:tc>
        <w:tc>
          <w:tcPr>
            <w:tcW w:w="1837" w:type="dxa"/>
            <w:noWrap/>
            <w:hideMark/>
          </w:tcPr>
          <w:p w14:paraId="1EA7F157" w14:textId="77777777" w:rsidR="00EB2283" w:rsidRPr="00EB2283" w:rsidRDefault="00EB2283">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cs-CZ"/>
              </w:rPr>
            </w:pPr>
            <w:r w:rsidRPr="00EB2283">
              <w:rPr>
                <w:rFonts w:ascii="Calibri" w:eastAsia="Times New Roman" w:hAnsi="Calibri" w:cs="Calibri"/>
                <w:b/>
                <w:bCs/>
                <w:lang w:eastAsia="cs-CZ"/>
              </w:rPr>
              <w:t>411</w:t>
            </w:r>
          </w:p>
        </w:tc>
      </w:tr>
    </w:tbl>
    <w:p w14:paraId="22A5A049" w14:textId="77777777" w:rsidR="00EB2283" w:rsidRPr="00EB2283" w:rsidRDefault="00EB2283" w:rsidP="00EB2283">
      <w:pPr>
        <w:rPr>
          <w:i/>
        </w:rPr>
      </w:pPr>
      <w:r w:rsidRPr="00EB2283">
        <w:rPr>
          <w:i/>
        </w:rPr>
        <w:t>Zdroj: řízené rozhovory</w:t>
      </w:r>
    </w:p>
    <w:p w14:paraId="4702E244" w14:textId="297B91B9" w:rsidR="00EB2283" w:rsidRDefault="00EB2283" w:rsidP="00EB2283">
      <w:pPr>
        <w:pStyle w:val="Titulek"/>
      </w:pPr>
      <w:bookmarkStart w:id="111" w:name="_Toc50456755"/>
      <w:bookmarkStart w:id="112" w:name="_Hlk46240284"/>
      <w:r>
        <w:t xml:space="preserve">Tabulka </w:t>
      </w:r>
      <w:r w:rsidR="00375887" w:rsidRPr="009B6E13">
        <w:fldChar w:fldCharType="begin"/>
      </w:r>
      <w:r>
        <w:instrText xml:space="preserve"> SEQ Tabulka \* ARABIC </w:instrText>
      </w:r>
      <w:r w:rsidR="00375887" w:rsidRPr="009B6E13">
        <w:fldChar w:fldCharType="separate"/>
      </w:r>
      <w:r w:rsidR="00E96F43">
        <w:rPr>
          <w:noProof/>
        </w:rPr>
        <w:t>22</w:t>
      </w:r>
      <w:r w:rsidR="00375887" w:rsidRPr="009B6E13">
        <w:rPr>
          <w:noProof/>
        </w:rPr>
        <w:fldChar w:fldCharType="end"/>
      </w:r>
      <w:r>
        <w:t>: Celkový časofond nutný pro administraci interních projektů</w:t>
      </w:r>
      <w:bookmarkEnd w:id="111"/>
    </w:p>
    <w:tbl>
      <w:tblPr>
        <w:tblStyle w:val="Tabulkaseznamu3zvraznn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8"/>
        <w:gridCol w:w="1049"/>
        <w:gridCol w:w="845"/>
      </w:tblGrid>
      <w:tr w:rsidR="00EB2283" w:rsidRPr="00EB2283" w14:paraId="13A5CBF5" w14:textId="77777777" w:rsidTr="00E96F43">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3954" w:type="pct"/>
            <w:tcBorders>
              <w:bottom w:val="none" w:sz="0" w:space="0" w:color="auto"/>
              <w:right w:val="none" w:sz="0" w:space="0" w:color="auto"/>
            </w:tcBorders>
            <w:noWrap/>
            <w:hideMark/>
          </w:tcPr>
          <w:p w14:paraId="54AF2B0F" w14:textId="77777777" w:rsidR="00EB2283" w:rsidRPr="00EB2283" w:rsidRDefault="00EB2283">
            <w:pPr>
              <w:rPr>
                <w:color w:val="auto"/>
              </w:rPr>
            </w:pPr>
          </w:p>
        </w:tc>
        <w:tc>
          <w:tcPr>
            <w:tcW w:w="579" w:type="pct"/>
            <w:tcBorders>
              <w:left w:val="none" w:sz="0" w:space="0" w:color="auto"/>
              <w:right w:val="none" w:sz="0" w:space="0" w:color="auto"/>
            </w:tcBorders>
            <w:noWrap/>
            <w:hideMark/>
          </w:tcPr>
          <w:p w14:paraId="5F13CEEA" w14:textId="77777777" w:rsidR="00EB2283" w:rsidRPr="00EB2283" w:rsidRDefault="00EB2283">
            <w:pPr>
              <w:spacing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eastAsia="cs-CZ"/>
              </w:rPr>
            </w:pPr>
            <w:r w:rsidRPr="00EB2283">
              <w:rPr>
                <w:rFonts w:ascii="Calibri" w:eastAsia="Times New Roman" w:hAnsi="Calibri" w:cs="Calibri"/>
                <w:color w:val="auto"/>
                <w:lang w:eastAsia="cs-CZ"/>
              </w:rPr>
              <w:t>ŘO</w:t>
            </w:r>
          </w:p>
        </w:tc>
        <w:tc>
          <w:tcPr>
            <w:tcW w:w="466" w:type="pct"/>
            <w:tcBorders>
              <w:left w:val="none" w:sz="0" w:space="0" w:color="auto"/>
            </w:tcBorders>
            <w:noWrap/>
            <w:hideMark/>
          </w:tcPr>
          <w:p w14:paraId="15F5D980" w14:textId="77777777" w:rsidR="00EB2283" w:rsidRPr="00EB2283" w:rsidRDefault="00EB2283">
            <w:pPr>
              <w:spacing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eastAsia="cs-CZ"/>
              </w:rPr>
            </w:pPr>
            <w:r w:rsidRPr="00EB2283">
              <w:rPr>
                <w:rFonts w:ascii="Calibri" w:eastAsia="Times New Roman" w:hAnsi="Calibri" w:cs="Calibri"/>
                <w:color w:val="auto"/>
                <w:lang w:eastAsia="cs-CZ"/>
              </w:rPr>
              <w:t>ZS</w:t>
            </w:r>
          </w:p>
        </w:tc>
      </w:tr>
      <w:tr w:rsidR="001707B8" w:rsidRPr="00EB2283" w14:paraId="6368D61E" w14:textId="77777777" w:rsidTr="00E96F4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4" w:type="pct"/>
            <w:tcBorders>
              <w:top w:val="none" w:sz="0" w:space="0" w:color="auto"/>
              <w:bottom w:val="none" w:sz="0" w:space="0" w:color="auto"/>
              <w:right w:val="none" w:sz="0" w:space="0" w:color="auto"/>
            </w:tcBorders>
            <w:noWrap/>
            <w:hideMark/>
          </w:tcPr>
          <w:p w14:paraId="5A8E4248" w14:textId="77777777" w:rsidR="001707B8" w:rsidRPr="00EB2283" w:rsidRDefault="001707B8" w:rsidP="001707B8">
            <w:pPr>
              <w:spacing w:after="0"/>
              <w:rPr>
                <w:rFonts w:ascii="Calibri" w:eastAsia="Times New Roman" w:hAnsi="Calibri" w:cs="Calibri"/>
                <w:lang w:eastAsia="cs-CZ"/>
              </w:rPr>
            </w:pPr>
            <w:r w:rsidRPr="00EB2283">
              <w:rPr>
                <w:rFonts w:ascii="Calibri" w:eastAsia="Times New Roman" w:hAnsi="Calibri" w:cs="Calibri"/>
                <w:lang w:eastAsia="cs-CZ"/>
              </w:rPr>
              <w:t>Časofond pracovní doby PIP (2019)</w:t>
            </w:r>
            <w:r>
              <w:rPr>
                <w:rStyle w:val="Znakapoznpodarou"/>
                <w:rFonts w:ascii="Calibri" w:eastAsia="Times New Roman" w:hAnsi="Calibri" w:cs="Calibri"/>
                <w:lang w:eastAsia="cs-CZ"/>
              </w:rPr>
              <w:footnoteReference w:id="14"/>
            </w:r>
          </w:p>
        </w:tc>
        <w:tc>
          <w:tcPr>
            <w:tcW w:w="579" w:type="pct"/>
            <w:tcBorders>
              <w:top w:val="none" w:sz="0" w:space="0" w:color="auto"/>
              <w:bottom w:val="none" w:sz="0" w:space="0" w:color="auto"/>
            </w:tcBorders>
            <w:noWrap/>
            <w:hideMark/>
          </w:tcPr>
          <w:p w14:paraId="1E919A8D" w14:textId="2DF86E43" w:rsidR="001707B8" w:rsidRPr="00EB2283" w:rsidRDefault="009F6B78" w:rsidP="001707B8">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cs-CZ"/>
              </w:rPr>
            </w:pPr>
            <w:r>
              <w:rPr>
                <w:rFonts w:ascii="Calibri" w:eastAsia="Times New Roman" w:hAnsi="Calibri" w:cs="Calibri"/>
                <w:lang w:eastAsia="cs-CZ"/>
              </w:rPr>
              <w:t>1800</w:t>
            </w:r>
          </w:p>
        </w:tc>
        <w:tc>
          <w:tcPr>
            <w:tcW w:w="466" w:type="pct"/>
            <w:tcBorders>
              <w:top w:val="none" w:sz="0" w:space="0" w:color="auto"/>
              <w:bottom w:val="none" w:sz="0" w:space="0" w:color="auto"/>
            </w:tcBorders>
            <w:noWrap/>
            <w:hideMark/>
          </w:tcPr>
          <w:p w14:paraId="52E2D742" w14:textId="77777777" w:rsidR="001707B8" w:rsidRPr="00EB2283" w:rsidRDefault="001707B8" w:rsidP="001707B8">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cs-CZ"/>
              </w:rPr>
            </w:pPr>
            <w:r>
              <w:rPr>
                <w:rFonts w:ascii="Calibri" w:eastAsia="Times New Roman" w:hAnsi="Calibri" w:cs="Calibri"/>
                <w:lang w:eastAsia="cs-CZ"/>
              </w:rPr>
              <w:t>7200</w:t>
            </w:r>
          </w:p>
        </w:tc>
      </w:tr>
      <w:tr w:rsidR="001707B8" w:rsidRPr="00EB2283" w14:paraId="242B1F0B" w14:textId="77777777" w:rsidTr="00E96F43">
        <w:trPr>
          <w:trHeight w:val="288"/>
        </w:trPr>
        <w:tc>
          <w:tcPr>
            <w:cnfStyle w:val="001000000000" w:firstRow="0" w:lastRow="0" w:firstColumn="1" w:lastColumn="0" w:oddVBand="0" w:evenVBand="0" w:oddHBand="0" w:evenHBand="0" w:firstRowFirstColumn="0" w:firstRowLastColumn="0" w:lastRowFirstColumn="0" w:lastRowLastColumn="0"/>
            <w:tcW w:w="3954" w:type="pct"/>
            <w:tcBorders>
              <w:right w:val="none" w:sz="0" w:space="0" w:color="auto"/>
            </w:tcBorders>
            <w:noWrap/>
            <w:hideMark/>
          </w:tcPr>
          <w:p w14:paraId="47EB2041" w14:textId="77777777" w:rsidR="001707B8" w:rsidRPr="00EB2283" w:rsidRDefault="001707B8" w:rsidP="001707B8">
            <w:pPr>
              <w:spacing w:after="0"/>
              <w:rPr>
                <w:rFonts w:ascii="Calibri" w:eastAsia="Times New Roman" w:hAnsi="Calibri" w:cs="Calibri"/>
                <w:lang w:eastAsia="cs-CZ"/>
              </w:rPr>
            </w:pPr>
            <w:r w:rsidRPr="00EB2283">
              <w:rPr>
                <w:rFonts w:ascii="Calibri" w:eastAsia="Times New Roman" w:hAnsi="Calibri" w:cs="Calibri"/>
                <w:lang w:eastAsia="cs-CZ"/>
              </w:rPr>
              <w:t>Počet IP</w:t>
            </w:r>
          </w:p>
        </w:tc>
        <w:tc>
          <w:tcPr>
            <w:tcW w:w="579" w:type="pct"/>
            <w:noWrap/>
            <w:hideMark/>
          </w:tcPr>
          <w:p w14:paraId="224131E9" w14:textId="77777777" w:rsidR="001707B8" w:rsidRPr="00EB2283" w:rsidRDefault="001707B8" w:rsidP="001707B8">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cs-CZ"/>
              </w:rPr>
            </w:pPr>
            <w:r w:rsidRPr="006027CC">
              <w:rPr>
                <w:rFonts w:ascii="Calibri" w:eastAsia="Times New Roman" w:hAnsi="Calibri" w:cs="Calibri"/>
                <w:lang w:eastAsia="cs-CZ"/>
              </w:rPr>
              <w:t>9</w:t>
            </w:r>
          </w:p>
        </w:tc>
        <w:tc>
          <w:tcPr>
            <w:tcW w:w="466" w:type="pct"/>
            <w:noWrap/>
            <w:hideMark/>
          </w:tcPr>
          <w:p w14:paraId="3A247862" w14:textId="77777777" w:rsidR="001707B8" w:rsidRPr="00EB2283" w:rsidRDefault="001707B8" w:rsidP="001707B8">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cs-CZ"/>
              </w:rPr>
            </w:pPr>
            <w:r w:rsidRPr="006027CC">
              <w:rPr>
                <w:rFonts w:ascii="Calibri" w:eastAsia="Times New Roman" w:hAnsi="Calibri" w:cs="Calibri"/>
                <w:lang w:eastAsia="cs-CZ"/>
              </w:rPr>
              <w:t>12</w:t>
            </w:r>
          </w:p>
        </w:tc>
      </w:tr>
      <w:tr w:rsidR="001707B8" w:rsidRPr="00EB2283" w14:paraId="2C842725" w14:textId="77777777" w:rsidTr="00E96F4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4" w:type="pct"/>
            <w:tcBorders>
              <w:top w:val="none" w:sz="0" w:space="0" w:color="auto"/>
              <w:bottom w:val="none" w:sz="0" w:space="0" w:color="auto"/>
              <w:right w:val="none" w:sz="0" w:space="0" w:color="auto"/>
            </w:tcBorders>
            <w:noWrap/>
            <w:hideMark/>
          </w:tcPr>
          <w:p w14:paraId="2552C1DD" w14:textId="77777777" w:rsidR="001707B8" w:rsidRPr="00EB2283" w:rsidRDefault="001707B8" w:rsidP="001707B8">
            <w:pPr>
              <w:spacing w:after="0"/>
              <w:rPr>
                <w:rFonts w:ascii="Calibri" w:eastAsia="Times New Roman" w:hAnsi="Calibri" w:cs="Calibri"/>
                <w:lang w:eastAsia="cs-CZ"/>
              </w:rPr>
            </w:pPr>
            <w:r w:rsidRPr="00EB2283">
              <w:rPr>
                <w:rFonts w:ascii="Calibri" w:eastAsia="Times New Roman" w:hAnsi="Calibri" w:cs="Calibri"/>
                <w:lang w:eastAsia="cs-CZ"/>
              </w:rPr>
              <w:t>Časofond potřebný na administraci IP</w:t>
            </w:r>
            <w:r>
              <w:rPr>
                <w:rStyle w:val="Znakapoznpodarou"/>
                <w:rFonts w:ascii="Calibri" w:eastAsia="Times New Roman" w:hAnsi="Calibri" w:cs="Calibri"/>
                <w:lang w:eastAsia="cs-CZ"/>
              </w:rPr>
              <w:footnoteReference w:id="15"/>
            </w:r>
          </w:p>
        </w:tc>
        <w:tc>
          <w:tcPr>
            <w:tcW w:w="579" w:type="pct"/>
            <w:tcBorders>
              <w:top w:val="none" w:sz="0" w:space="0" w:color="auto"/>
              <w:bottom w:val="none" w:sz="0" w:space="0" w:color="auto"/>
            </w:tcBorders>
            <w:noWrap/>
            <w:hideMark/>
          </w:tcPr>
          <w:p w14:paraId="72E3FF18" w14:textId="37A039B6" w:rsidR="001707B8" w:rsidRPr="00EB2283" w:rsidRDefault="009F6B78" w:rsidP="009F6B78">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cs-CZ"/>
              </w:rPr>
            </w:pPr>
            <w:r>
              <w:rPr>
                <w:rFonts w:ascii="Calibri" w:eastAsia="Times New Roman" w:hAnsi="Calibri" w:cs="Calibri"/>
                <w:lang w:eastAsia="cs-CZ"/>
              </w:rPr>
              <w:t>1296</w:t>
            </w:r>
          </w:p>
        </w:tc>
        <w:tc>
          <w:tcPr>
            <w:tcW w:w="466" w:type="pct"/>
            <w:tcBorders>
              <w:top w:val="none" w:sz="0" w:space="0" w:color="auto"/>
              <w:bottom w:val="none" w:sz="0" w:space="0" w:color="auto"/>
            </w:tcBorders>
            <w:noWrap/>
            <w:hideMark/>
          </w:tcPr>
          <w:p w14:paraId="2FBE2452" w14:textId="77777777" w:rsidR="001707B8" w:rsidRPr="00EB2283" w:rsidRDefault="001707B8" w:rsidP="001707B8">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cs-CZ"/>
              </w:rPr>
            </w:pPr>
            <w:r w:rsidRPr="006027CC">
              <w:rPr>
                <w:rFonts w:ascii="Calibri" w:eastAsia="Times New Roman" w:hAnsi="Calibri" w:cs="Calibri"/>
                <w:lang w:eastAsia="cs-CZ"/>
              </w:rPr>
              <w:t>4932</w:t>
            </w:r>
          </w:p>
        </w:tc>
      </w:tr>
      <w:tr w:rsidR="001707B8" w:rsidRPr="00EB2283" w14:paraId="550E6AF6" w14:textId="77777777" w:rsidTr="00E96F43">
        <w:trPr>
          <w:trHeight w:val="288"/>
        </w:trPr>
        <w:tc>
          <w:tcPr>
            <w:cnfStyle w:val="001000000000" w:firstRow="0" w:lastRow="0" w:firstColumn="1" w:lastColumn="0" w:oddVBand="0" w:evenVBand="0" w:oddHBand="0" w:evenHBand="0" w:firstRowFirstColumn="0" w:firstRowLastColumn="0" w:lastRowFirstColumn="0" w:lastRowLastColumn="0"/>
            <w:tcW w:w="3954" w:type="pct"/>
            <w:noWrap/>
          </w:tcPr>
          <w:p w14:paraId="64DE899C" w14:textId="77777777" w:rsidR="001707B8" w:rsidRPr="00EB2283" w:rsidRDefault="001707B8" w:rsidP="001707B8">
            <w:pPr>
              <w:spacing w:after="0"/>
              <w:rPr>
                <w:rFonts w:ascii="Calibri" w:eastAsia="Times New Roman" w:hAnsi="Calibri" w:cs="Calibri"/>
                <w:lang w:eastAsia="cs-CZ"/>
              </w:rPr>
            </w:pPr>
            <w:r>
              <w:rPr>
                <w:rFonts w:ascii="Calibri" w:eastAsia="Times New Roman" w:hAnsi="Calibri" w:cs="Calibri"/>
                <w:lang w:eastAsia="cs-CZ"/>
              </w:rPr>
              <w:t>Podíl časofondu na administraci IP na celkovém časofondu pracovní doby (%)</w:t>
            </w:r>
          </w:p>
        </w:tc>
        <w:tc>
          <w:tcPr>
            <w:tcW w:w="579" w:type="pct"/>
            <w:noWrap/>
          </w:tcPr>
          <w:p w14:paraId="48521757" w14:textId="6B350D31" w:rsidR="001707B8" w:rsidRPr="00CE6DA3" w:rsidRDefault="009F6B78" w:rsidP="001707B8">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highlight w:val="yellow"/>
                <w:lang w:eastAsia="cs-CZ"/>
              </w:rPr>
            </w:pPr>
            <w:r>
              <w:rPr>
                <w:rFonts w:ascii="Calibri" w:eastAsia="Times New Roman" w:hAnsi="Calibri" w:cs="Calibri"/>
                <w:lang w:eastAsia="cs-CZ"/>
              </w:rPr>
              <w:t>72,0</w:t>
            </w:r>
          </w:p>
        </w:tc>
        <w:tc>
          <w:tcPr>
            <w:tcW w:w="466" w:type="pct"/>
            <w:noWrap/>
          </w:tcPr>
          <w:p w14:paraId="10562D24" w14:textId="77777777" w:rsidR="001707B8" w:rsidRPr="00CE6DA3" w:rsidRDefault="001707B8" w:rsidP="001707B8">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highlight w:val="yellow"/>
                <w:lang w:eastAsia="cs-CZ"/>
              </w:rPr>
            </w:pPr>
            <w:r>
              <w:rPr>
                <w:rFonts w:ascii="Calibri" w:eastAsia="Times New Roman" w:hAnsi="Calibri" w:cs="Calibri"/>
                <w:lang w:eastAsia="cs-CZ"/>
              </w:rPr>
              <w:t>68,5</w:t>
            </w:r>
          </w:p>
        </w:tc>
      </w:tr>
    </w:tbl>
    <w:p w14:paraId="252A31A4" w14:textId="77777777" w:rsidR="00EB2283" w:rsidRPr="00EB2283" w:rsidRDefault="00EB2283" w:rsidP="00EB2283">
      <w:pPr>
        <w:rPr>
          <w:i/>
        </w:rPr>
      </w:pPr>
      <w:r w:rsidRPr="00EB2283">
        <w:rPr>
          <w:i/>
        </w:rPr>
        <w:lastRenderedPageBreak/>
        <w:t>Zdroj: řízené rozhovory, vlastní výpočty</w:t>
      </w:r>
      <w:bookmarkEnd w:id="112"/>
    </w:p>
    <w:p w14:paraId="5EBF24FC" w14:textId="77777777" w:rsidR="00EB2283" w:rsidRDefault="00EB2283" w:rsidP="00EB2283"/>
    <w:p w14:paraId="62451D27" w14:textId="568FC857" w:rsidR="00EB2283" w:rsidRPr="00EB2283" w:rsidRDefault="009F6B78" w:rsidP="00EB2283">
      <w:bookmarkStart w:id="113" w:name="_Hlk46240839"/>
      <w:bookmarkStart w:id="114" w:name="_Hlk46240209"/>
      <w:bookmarkEnd w:id="113"/>
      <w:bookmarkEnd w:id="114"/>
      <w:r>
        <w:t xml:space="preserve">Z výše uvedených tabulek vyplývá, že na ZS i ŘO zabírá administrace IP zhruba 68,5 – 72,0 % celkového časofondu osob na pozici PIP. Administrativní kapacitu na pozici PIP na ZS i ŘO lze tedy hodnotit jako adekvátní. Zhruba 30% podíl řídících a podpůrných procesů na celkovém časofondu pracovníků na této pozici představuje standardní </w:t>
      </w:r>
      <w:r w:rsidRPr="00E96F43">
        <w:t>hodnotu. </w:t>
      </w:r>
      <w:r w:rsidR="00EB2283">
        <w:t xml:space="preserve">Referenty poskytovatelé dotace pro interní projekty (RPDIP) jsou celkem 2 pracovníci ŘO, přičemž stejný počet pracovníků je také zastupuje. Jejich hlavní náplní činnosti je koordinace čerpání TP, ve vztahu k interním projektům pak kontrola žádosti </w:t>
      </w:r>
      <w:r w:rsidR="0012794A">
        <w:br/>
      </w:r>
      <w:r w:rsidR="00EB2283">
        <w:t xml:space="preserve">o platbu a zpráv o realizaci projektů. V letech, kdy jsou podávány žádosti o podporu IP, organizuje hodnocení a výběr IP k realizaci vč. přípravy podkladů pro Schválení limitů výdajů. Časová náročnost kontroly žádosti o platbu vč. zprávy o realizaci se dle odhadů RPDIP pohybuje od 2 hodin (v případě malých projektů a minimálního čerpání v daném kvartálu) až po 20 hodin v případě rozsáhlých IP s množstvím účetních dokladů ke kontrole. Tato agenda tak představuje zhruba třetinu celkového časofondu. Menší část časofondu je věnována koordinaci čerpání TP. Ta by mohla také zabírat až třetinu časofondu, ale vzhledem k omezenému čerpání financí z TP lze předpokládat, že reálný časofondu nutný na tuto aktivitu je nižší a činí maximálně 20 % celkového časofondu RPDIP. Řídící </w:t>
      </w:r>
      <w:r w:rsidR="0012794A">
        <w:br/>
      </w:r>
      <w:r w:rsidR="00EB2283">
        <w:t>a podpůrné procesy se pohybují mezi 20</w:t>
      </w:r>
      <w:r w:rsidR="0012794A">
        <w:t xml:space="preserve"> </w:t>
      </w:r>
      <w:r w:rsidR="00EB2283">
        <w:t>-</w:t>
      </w:r>
      <w:r w:rsidR="0012794A">
        <w:t xml:space="preserve"> </w:t>
      </w:r>
      <w:r w:rsidR="00EB2283">
        <w:t>30 % časofondu. Dle výše uvedeného lze také administrativní kapacitu RPDIP považovat za lehce nadhodnocenou.</w:t>
      </w:r>
      <w:bookmarkStart w:id="115" w:name="_Hlk46240620"/>
      <w:bookmarkEnd w:id="115"/>
    </w:p>
    <w:p w14:paraId="107C5DB4" w14:textId="77777777" w:rsidR="00EB2283" w:rsidRDefault="00EB2283" w:rsidP="00EB2283">
      <w:r>
        <w:t xml:space="preserve">Pro ostatní pracovníky vstupující do procesů interních projektů je tato agenda z hlediska časové náročnosti pouze marginální, proto by hodnocení administrativní kapacity v těchto případech nebylo relevantní. </w:t>
      </w:r>
    </w:p>
    <w:p w14:paraId="0E237186" w14:textId="2FE96683" w:rsidR="00EB2283" w:rsidRDefault="00EB2283" w:rsidP="00EB2283">
      <w:pPr>
        <w:pStyle w:val="Titulek"/>
      </w:pPr>
      <w:bookmarkStart w:id="116" w:name="_Toc50456756"/>
      <w:r>
        <w:t xml:space="preserve">Tabulka </w:t>
      </w:r>
      <w:r w:rsidR="00C050DB">
        <w:fldChar w:fldCharType="begin"/>
      </w:r>
      <w:r w:rsidR="00C050DB">
        <w:instrText xml:space="preserve"> SEQ Tabulka \* ARABIC </w:instrText>
      </w:r>
      <w:r w:rsidR="00C050DB">
        <w:fldChar w:fldCharType="separate"/>
      </w:r>
      <w:r w:rsidR="00E96F43">
        <w:rPr>
          <w:noProof/>
        </w:rPr>
        <w:t>23</w:t>
      </w:r>
      <w:r w:rsidR="00C050DB">
        <w:rPr>
          <w:noProof/>
        </w:rPr>
        <w:fldChar w:fldCharType="end"/>
      </w:r>
      <w:r>
        <w:t>:</w:t>
      </w:r>
      <w:r w:rsidRPr="00EB2283">
        <w:t xml:space="preserve"> </w:t>
      </w:r>
      <w:r>
        <w:t>Administrativní kapacita realizace interních projektů TP dle pozic</w:t>
      </w:r>
      <w:bookmarkEnd w:id="116"/>
    </w:p>
    <w:tbl>
      <w:tblPr>
        <w:tblStyle w:val="Tabulkaseznamu3zvraznn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1232"/>
        <w:gridCol w:w="1397"/>
        <w:gridCol w:w="4363"/>
      </w:tblGrid>
      <w:tr w:rsidR="00EB2283" w14:paraId="142FBF2C" w14:textId="77777777" w:rsidTr="00EB228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53" w:type="pct"/>
            <w:tcBorders>
              <w:bottom w:val="none" w:sz="0" w:space="0" w:color="auto"/>
              <w:right w:val="none" w:sz="0" w:space="0" w:color="auto"/>
            </w:tcBorders>
            <w:hideMark/>
          </w:tcPr>
          <w:p w14:paraId="00C6DED3" w14:textId="77777777" w:rsidR="00EB2283" w:rsidRDefault="00EB2283">
            <w:pPr>
              <w:spacing w:after="0"/>
            </w:pPr>
            <w:r>
              <w:t>Pozice</w:t>
            </w:r>
          </w:p>
        </w:tc>
        <w:tc>
          <w:tcPr>
            <w:tcW w:w="677" w:type="pct"/>
            <w:tcBorders>
              <w:left w:val="none" w:sz="0" w:space="0" w:color="auto"/>
              <w:right w:val="none" w:sz="0" w:space="0" w:color="auto"/>
            </w:tcBorders>
            <w:hideMark/>
          </w:tcPr>
          <w:p w14:paraId="685F0085" w14:textId="77777777" w:rsidR="00EB2283" w:rsidRDefault="00EB2283">
            <w:pPr>
              <w:spacing w:after="0"/>
              <w:cnfStyle w:val="100000000000" w:firstRow="1" w:lastRow="0" w:firstColumn="0" w:lastColumn="0" w:oddVBand="0" w:evenVBand="0" w:oddHBand="0" w:evenHBand="0" w:firstRowFirstColumn="0" w:firstRowLastColumn="0" w:lastRowFirstColumn="0" w:lastRowLastColumn="0"/>
            </w:pPr>
            <w:r>
              <w:t>Počet pracovníků</w:t>
            </w:r>
          </w:p>
        </w:tc>
        <w:tc>
          <w:tcPr>
            <w:tcW w:w="752" w:type="pct"/>
            <w:tcBorders>
              <w:left w:val="none" w:sz="0" w:space="0" w:color="auto"/>
              <w:right w:val="none" w:sz="0" w:space="0" w:color="auto"/>
            </w:tcBorders>
            <w:hideMark/>
          </w:tcPr>
          <w:p w14:paraId="1FA3CD2E" w14:textId="77777777" w:rsidR="00EB2283" w:rsidRDefault="00EB2283">
            <w:pPr>
              <w:spacing w:after="0"/>
              <w:cnfStyle w:val="100000000000" w:firstRow="1" w:lastRow="0" w:firstColumn="0" w:lastColumn="0" w:oddVBand="0" w:evenVBand="0" w:oddHBand="0" w:evenHBand="0" w:firstRowFirstColumn="0" w:firstRowLastColumn="0" w:lastRowFirstColumn="0" w:lastRowLastColumn="0"/>
            </w:pPr>
            <w:r>
              <w:t>Počet zastupujících</w:t>
            </w:r>
          </w:p>
        </w:tc>
        <w:tc>
          <w:tcPr>
            <w:tcW w:w="2418" w:type="pct"/>
            <w:tcBorders>
              <w:left w:val="none" w:sz="0" w:space="0" w:color="auto"/>
            </w:tcBorders>
            <w:hideMark/>
          </w:tcPr>
          <w:p w14:paraId="6A031B00" w14:textId="77777777" w:rsidR="00EB2283" w:rsidRDefault="00EB2283">
            <w:pPr>
              <w:spacing w:after="0"/>
              <w:cnfStyle w:val="100000000000" w:firstRow="1" w:lastRow="0" w:firstColumn="0" w:lastColumn="0" w:oddVBand="0" w:evenVBand="0" w:oddHBand="0" w:evenHBand="0" w:firstRowFirstColumn="0" w:firstRowLastColumn="0" w:lastRowFirstColumn="0" w:lastRowLastColumn="0"/>
            </w:pPr>
            <w:r>
              <w:t>Pracovní náplň</w:t>
            </w:r>
          </w:p>
        </w:tc>
      </w:tr>
      <w:tr w:rsidR="00EB2283" w14:paraId="6E5BDB64" w14:textId="77777777" w:rsidTr="00EB2283">
        <w:trPr>
          <w:cnfStyle w:val="000000100000" w:firstRow="0" w:lastRow="0" w:firstColumn="0" w:lastColumn="0" w:oddVBand="0" w:evenVBand="0" w:oddHBand="1" w:evenHBand="0" w:firstRowFirstColumn="0" w:firstRowLastColumn="0" w:lastRowFirstColumn="0" w:lastRowLastColumn="0"/>
          <w:trHeight w:val="1309"/>
        </w:trPr>
        <w:tc>
          <w:tcPr>
            <w:cnfStyle w:val="001000000000" w:firstRow="0" w:lastRow="0" w:firstColumn="1" w:lastColumn="0" w:oddVBand="0" w:evenVBand="0" w:oddHBand="0" w:evenHBand="0" w:firstRowFirstColumn="0" w:firstRowLastColumn="0" w:lastRowFirstColumn="0" w:lastRowLastColumn="0"/>
            <w:tcW w:w="1153" w:type="pct"/>
            <w:tcBorders>
              <w:top w:val="none" w:sz="0" w:space="0" w:color="auto"/>
              <w:bottom w:val="none" w:sz="0" w:space="0" w:color="auto"/>
              <w:right w:val="none" w:sz="0" w:space="0" w:color="auto"/>
            </w:tcBorders>
            <w:hideMark/>
          </w:tcPr>
          <w:p w14:paraId="06C5AB3E" w14:textId="77777777" w:rsidR="00EB2283" w:rsidRDefault="00EB2283">
            <w:pPr>
              <w:spacing w:after="0"/>
            </w:pPr>
            <w:r>
              <w:t>Příjemce interního projektu (PIP) ŘO</w:t>
            </w:r>
          </w:p>
        </w:tc>
        <w:tc>
          <w:tcPr>
            <w:tcW w:w="677" w:type="pct"/>
            <w:tcBorders>
              <w:top w:val="none" w:sz="0" w:space="0" w:color="auto"/>
              <w:bottom w:val="none" w:sz="0" w:space="0" w:color="auto"/>
            </w:tcBorders>
            <w:hideMark/>
          </w:tcPr>
          <w:p w14:paraId="68471C19" w14:textId="77777777" w:rsidR="00EB2283" w:rsidRPr="004154B2" w:rsidRDefault="004154B2">
            <w:pPr>
              <w:spacing w:after="0"/>
              <w:jc w:val="right"/>
              <w:cnfStyle w:val="000000100000" w:firstRow="0" w:lastRow="0" w:firstColumn="0" w:lastColumn="0" w:oddVBand="0" w:evenVBand="0" w:oddHBand="1" w:evenHBand="0" w:firstRowFirstColumn="0" w:firstRowLastColumn="0" w:lastRowFirstColumn="0" w:lastRowLastColumn="0"/>
            </w:pPr>
            <w:r w:rsidRPr="00CE6DA3">
              <w:t>1</w:t>
            </w:r>
          </w:p>
        </w:tc>
        <w:tc>
          <w:tcPr>
            <w:tcW w:w="752" w:type="pct"/>
            <w:tcBorders>
              <w:top w:val="none" w:sz="0" w:space="0" w:color="auto"/>
              <w:bottom w:val="none" w:sz="0" w:space="0" w:color="auto"/>
            </w:tcBorders>
            <w:hideMark/>
          </w:tcPr>
          <w:p w14:paraId="0B0DDC3A" w14:textId="77777777" w:rsidR="00EB2283" w:rsidRPr="004154B2" w:rsidRDefault="00EB2283">
            <w:pPr>
              <w:spacing w:after="0"/>
              <w:jc w:val="right"/>
              <w:cnfStyle w:val="000000100000" w:firstRow="0" w:lastRow="0" w:firstColumn="0" w:lastColumn="0" w:oddVBand="0" w:evenVBand="0" w:oddHBand="1" w:evenHBand="0" w:firstRowFirstColumn="0" w:firstRowLastColumn="0" w:lastRowFirstColumn="0" w:lastRowLastColumn="0"/>
            </w:pPr>
            <w:r w:rsidRPr="004154B2">
              <w:t>1</w:t>
            </w:r>
          </w:p>
        </w:tc>
        <w:tc>
          <w:tcPr>
            <w:tcW w:w="2418" w:type="pct"/>
            <w:vMerge w:val="restart"/>
            <w:tcBorders>
              <w:top w:val="none" w:sz="0" w:space="0" w:color="auto"/>
              <w:bottom w:val="none" w:sz="0" w:space="0" w:color="auto"/>
            </w:tcBorders>
            <w:hideMark/>
          </w:tcPr>
          <w:p w14:paraId="2DC65B30" w14:textId="77777777" w:rsidR="00EB2283" w:rsidRDefault="00EB2283" w:rsidP="00EB2283">
            <w:pPr>
              <w:pStyle w:val="Odstavecseseznamem"/>
              <w:numPr>
                <w:ilvl w:val="0"/>
                <w:numId w:val="46"/>
              </w:numPr>
              <w:spacing w:after="0"/>
              <w:ind w:left="374"/>
              <w:jc w:val="left"/>
              <w:cnfStyle w:val="000000100000" w:firstRow="0" w:lastRow="0" w:firstColumn="0" w:lastColumn="0" w:oddVBand="0" w:evenVBand="0" w:oddHBand="1" w:evenHBand="0" w:firstRowFirstColumn="0" w:firstRowLastColumn="0" w:lastRowFirstColumn="0" w:lastRowLastColumn="0"/>
            </w:pPr>
            <w:r>
              <w:t>Příprava interních projektů v ISKP ke schválení</w:t>
            </w:r>
          </w:p>
          <w:p w14:paraId="2DA50A2B" w14:textId="77777777" w:rsidR="00EB2283" w:rsidRDefault="00EB2283" w:rsidP="00EB2283">
            <w:pPr>
              <w:pStyle w:val="Odstavecseseznamem"/>
              <w:numPr>
                <w:ilvl w:val="0"/>
                <w:numId w:val="46"/>
              </w:numPr>
              <w:spacing w:after="0"/>
              <w:ind w:left="374"/>
              <w:jc w:val="left"/>
              <w:cnfStyle w:val="000000100000" w:firstRow="0" w:lastRow="0" w:firstColumn="0" w:lastColumn="0" w:oddVBand="0" w:evenVBand="0" w:oddHBand="1" w:evenHBand="0" w:firstRowFirstColumn="0" w:firstRowLastColumn="0" w:lastRowFirstColumn="0" w:lastRowLastColumn="0"/>
            </w:pPr>
            <w:r>
              <w:t>Příprava a podání ŽOPL včetně Zpráv o realizaci za interní projekty z pozice příjemce</w:t>
            </w:r>
          </w:p>
          <w:p w14:paraId="2F83E345" w14:textId="77777777" w:rsidR="00EB2283" w:rsidRDefault="00EB2283" w:rsidP="00EB2283">
            <w:pPr>
              <w:pStyle w:val="Odstavecseseznamem"/>
              <w:numPr>
                <w:ilvl w:val="0"/>
                <w:numId w:val="46"/>
              </w:numPr>
              <w:spacing w:after="0"/>
              <w:ind w:left="374"/>
              <w:jc w:val="left"/>
              <w:cnfStyle w:val="000000100000" w:firstRow="0" w:lastRow="0" w:firstColumn="0" w:lastColumn="0" w:oddVBand="0" w:evenVBand="0" w:oddHBand="1" w:evenHBand="0" w:firstRowFirstColumn="0" w:firstRowLastColumn="0" w:lastRowFirstColumn="0" w:lastRowLastColumn="0"/>
            </w:pPr>
            <w:r>
              <w:t>Odpovědnost za realizaci projektu TP</w:t>
            </w:r>
          </w:p>
          <w:p w14:paraId="71B2AB20" w14:textId="77777777" w:rsidR="00EB2283" w:rsidRDefault="00EB2283" w:rsidP="00EB2283">
            <w:pPr>
              <w:pStyle w:val="Odstavecseseznamem"/>
              <w:numPr>
                <w:ilvl w:val="0"/>
                <w:numId w:val="46"/>
              </w:numPr>
              <w:spacing w:after="0"/>
              <w:ind w:left="374"/>
              <w:jc w:val="left"/>
              <w:cnfStyle w:val="000000100000" w:firstRow="0" w:lastRow="0" w:firstColumn="0" w:lastColumn="0" w:oddVBand="0" w:evenVBand="0" w:oddHBand="1" w:evenHBand="0" w:firstRowFirstColumn="0" w:firstRowLastColumn="0" w:lastRowFirstColumn="0" w:lastRowLastColumn="0"/>
            </w:pPr>
            <w:r>
              <w:t>Odpovědnost za přípravu podkladů pro zadávací dokumentaci, zajištění VŘ</w:t>
            </w:r>
          </w:p>
        </w:tc>
      </w:tr>
      <w:tr w:rsidR="00EB2283" w14:paraId="40A35C1E" w14:textId="77777777" w:rsidTr="00EB2283">
        <w:tc>
          <w:tcPr>
            <w:cnfStyle w:val="001000000000" w:firstRow="0" w:lastRow="0" w:firstColumn="1" w:lastColumn="0" w:oddVBand="0" w:evenVBand="0" w:oddHBand="0" w:evenHBand="0" w:firstRowFirstColumn="0" w:firstRowLastColumn="0" w:lastRowFirstColumn="0" w:lastRowLastColumn="0"/>
            <w:tcW w:w="1153" w:type="pct"/>
            <w:tcBorders>
              <w:right w:val="none" w:sz="0" w:space="0" w:color="auto"/>
            </w:tcBorders>
            <w:hideMark/>
          </w:tcPr>
          <w:p w14:paraId="54FC7367" w14:textId="77777777" w:rsidR="00EB2283" w:rsidRDefault="00EB2283">
            <w:pPr>
              <w:spacing w:after="0"/>
            </w:pPr>
            <w:r>
              <w:t>Příjemce interního projektu (PIP) ZS</w:t>
            </w:r>
          </w:p>
        </w:tc>
        <w:tc>
          <w:tcPr>
            <w:tcW w:w="677" w:type="pct"/>
            <w:hideMark/>
          </w:tcPr>
          <w:p w14:paraId="73E41BCB" w14:textId="77777777" w:rsidR="00EB2283" w:rsidRDefault="004154B2">
            <w:pPr>
              <w:spacing w:after="0"/>
              <w:jc w:val="right"/>
              <w:cnfStyle w:val="000000000000" w:firstRow="0" w:lastRow="0" w:firstColumn="0" w:lastColumn="0" w:oddVBand="0" w:evenVBand="0" w:oddHBand="0" w:evenHBand="0" w:firstRowFirstColumn="0" w:firstRowLastColumn="0" w:lastRowFirstColumn="0" w:lastRowLastColumn="0"/>
            </w:pPr>
            <w:r>
              <w:t>4</w:t>
            </w:r>
          </w:p>
        </w:tc>
        <w:tc>
          <w:tcPr>
            <w:tcW w:w="752" w:type="pct"/>
            <w:hideMark/>
          </w:tcPr>
          <w:p w14:paraId="110B31BC" w14:textId="77777777" w:rsidR="00EB2283" w:rsidRDefault="00EB2283">
            <w:pPr>
              <w:spacing w:after="0"/>
              <w:jc w:val="right"/>
              <w:cnfStyle w:val="000000000000" w:firstRow="0" w:lastRow="0" w:firstColumn="0" w:lastColumn="0" w:oddVBand="0" w:evenVBand="0" w:oddHBand="0" w:evenHBand="0" w:firstRowFirstColumn="0" w:firstRowLastColumn="0" w:lastRowFirstColumn="0" w:lastRowLastColumn="0"/>
            </w:pPr>
            <w:r>
              <w:t>1</w:t>
            </w:r>
          </w:p>
        </w:tc>
        <w:tc>
          <w:tcPr>
            <w:tcW w:w="0" w:type="auto"/>
            <w:vMerge/>
            <w:hideMark/>
          </w:tcPr>
          <w:p w14:paraId="757FBDDA" w14:textId="77777777" w:rsidR="00EB2283" w:rsidRDefault="00EB2283">
            <w:pPr>
              <w:spacing w:after="0"/>
              <w:cnfStyle w:val="000000000000" w:firstRow="0" w:lastRow="0" w:firstColumn="0" w:lastColumn="0" w:oddVBand="0" w:evenVBand="0" w:oddHBand="0" w:evenHBand="0" w:firstRowFirstColumn="0" w:firstRowLastColumn="0" w:lastRowFirstColumn="0" w:lastRowLastColumn="0"/>
            </w:pPr>
          </w:p>
        </w:tc>
      </w:tr>
      <w:tr w:rsidR="00EB2283" w14:paraId="7F8F8EF6" w14:textId="77777777" w:rsidTr="00EB2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pct"/>
            <w:tcBorders>
              <w:top w:val="none" w:sz="0" w:space="0" w:color="auto"/>
              <w:bottom w:val="none" w:sz="0" w:space="0" w:color="auto"/>
              <w:right w:val="none" w:sz="0" w:space="0" w:color="auto"/>
            </w:tcBorders>
            <w:hideMark/>
          </w:tcPr>
          <w:p w14:paraId="5611B18E" w14:textId="77777777" w:rsidR="00EB2283" w:rsidRDefault="00EB2283">
            <w:pPr>
              <w:spacing w:after="0"/>
            </w:pPr>
            <w:r>
              <w:t>Referent poskytovatel dotace pro interní projekty (RPDIP) ŘO</w:t>
            </w:r>
          </w:p>
        </w:tc>
        <w:tc>
          <w:tcPr>
            <w:tcW w:w="677" w:type="pct"/>
            <w:tcBorders>
              <w:top w:val="none" w:sz="0" w:space="0" w:color="auto"/>
              <w:bottom w:val="none" w:sz="0" w:space="0" w:color="auto"/>
            </w:tcBorders>
            <w:hideMark/>
          </w:tcPr>
          <w:p w14:paraId="7FD57970" w14:textId="77777777" w:rsidR="00EB2283" w:rsidRDefault="00EB2283">
            <w:pPr>
              <w:spacing w:after="0"/>
              <w:jc w:val="right"/>
              <w:cnfStyle w:val="000000100000" w:firstRow="0" w:lastRow="0" w:firstColumn="0" w:lastColumn="0" w:oddVBand="0" w:evenVBand="0" w:oddHBand="1" w:evenHBand="0" w:firstRowFirstColumn="0" w:firstRowLastColumn="0" w:lastRowFirstColumn="0" w:lastRowLastColumn="0"/>
            </w:pPr>
            <w:r>
              <w:t>2</w:t>
            </w:r>
          </w:p>
        </w:tc>
        <w:tc>
          <w:tcPr>
            <w:tcW w:w="752" w:type="pct"/>
            <w:tcBorders>
              <w:top w:val="none" w:sz="0" w:space="0" w:color="auto"/>
              <w:bottom w:val="none" w:sz="0" w:space="0" w:color="auto"/>
            </w:tcBorders>
            <w:hideMark/>
          </w:tcPr>
          <w:p w14:paraId="3BA0AA42" w14:textId="77777777" w:rsidR="00EB2283" w:rsidRDefault="00EB2283">
            <w:pPr>
              <w:spacing w:after="0"/>
              <w:jc w:val="right"/>
              <w:cnfStyle w:val="000000100000" w:firstRow="0" w:lastRow="0" w:firstColumn="0" w:lastColumn="0" w:oddVBand="0" w:evenVBand="0" w:oddHBand="1" w:evenHBand="0" w:firstRowFirstColumn="0" w:firstRowLastColumn="0" w:lastRowFirstColumn="0" w:lastRowLastColumn="0"/>
            </w:pPr>
            <w:r>
              <w:t>2</w:t>
            </w:r>
          </w:p>
        </w:tc>
        <w:tc>
          <w:tcPr>
            <w:tcW w:w="2418" w:type="pct"/>
            <w:tcBorders>
              <w:top w:val="none" w:sz="0" w:space="0" w:color="auto"/>
              <w:bottom w:val="none" w:sz="0" w:space="0" w:color="auto"/>
            </w:tcBorders>
            <w:hideMark/>
          </w:tcPr>
          <w:p w14:paraId="1DB08776" w14:textId="77777777" w:rsidR="00EB2283" w:rsidRDefault="00EB2283" w:rsidP="00EB2283">
            <w:pPr>
              <w:pStyle w:val="Odstavecseseznamem"/>
              <w:numPr>
                <w:ilvl w:val="0"/>
                <w:numId w:val="46"/>
              </w:numPr>
              <w:spacing w:after="0"/>
              <w:ind w:left="374"/>
              <w:jc w:val="left"/>
              <w:cnfStyle w:val="000000100000" w:firstRow="0" w:lastRow="0" w:firstColumn="0" w:lastColumn="0" w:oddVBand="0" w:evenVBand="0" w:oddHBand="1" w:evenHBand="0" w:firstRowFirstColumn="0" w:firstRowLastColumn="0" w:lastRowFirstColumn="0" w:lastRowLastColumn="0"/>
            </w:pPr>
            <w:r>
              <w:t>Kontrola a příprava ke schválení interních projektů za funkci poskytovatele dotace, kterým je ŘO</w:t>
            </w:r>
          </w:p>
          <w:p w14:paraId="18497969" w14:textId="77777777" w:rsidR="00EB2283" w:rsidRDefault="00EB2283" w:rsidP="00EB2283">
            <w:pPr>
              <w:pStyle w:val="Odstavecseseznamem"/>
              <w:numPr>
                <w:ilvl w:val="0"/>
                <w:numId w:val="46"/>
              </w:numPr>
              <w:spacing w:after="0"/>
              <w:ind w:left="374"/>
              <w:jc w:val="left"/>
              <w:cnfStyle w:val="000000100000" w:firstRow="0" w:lastRow="0" w:firstColumn="0" w:lastColumn="0" w:oddVBand="0" w:evenVBand="0" w:oddHBand="1" w:evenHBand="0" w:firstRowFirstColumn="0" w:firstRowLastColumn="0" w:lastRowFirstColumn="0" w:lastRowLastColumn="0"/>
            </w:pPr>
            <w:r>
              <w:t>Hodnocení a výběr projektů k realizaci</w:t>
            </w:r>
          </w:p>
          <w:p w14:paraId="55C365D1" w14:textId="77777777" w:rsidR="00EB2283" w:rsidRDefault="00EB2283" w:rsidP="00EB2283">
            <w:pPr>
              <w:pStyle w:val="Odstavecseseznamem"/>
              <w:numPr>
                <w:ilvl w:val="0"/>
                <w:numId w:val="46"/>
              </w:numPr>
              <w:spacing w:after="0"/>
              <w:ind w:left="374"/>
              <w:jc w:val="left"/>
              <w:cnfStyle w:val="000000100000" w:firstRow="0" w:lastRow="0" w:firstColumn="0" w:lastColumn="0" w:oddVBand="0" w:evenVBand="0" w:oddHBand="1" w:evenHBand="0" w:firstRowFirstColumn="0" w:firstRowLastColumn="0" w:lastRowFirstColumn="0" w:lastRowLastColumn="0"/>
            </w:pPr>
            <w:r>
              <w:t>Kontrola ŽOPL a zpráv o realizaci interních projektů</w:t>
            </w:r>
          </w:p>
          <w:p w14:paraId="4425F75D" w14:textId="77777777" w:rsidR="00EB2283" w:rsidRDefault="00EB2283" w:rsidP="00EB2283">
            <w:pPr>
              <w:pStyle w:val="Odstavecseseznamem"/>
              <w:numPr>
                <w:ilvl w:val="0"/>
                <w:numId w:val="46"/>
              </w:numPr>
              <w:spacing w:after="0"/>
              <w:ind w:left="374"/>
              <w:jc w:val="left"/>
              <w:cnfStyle w:val="000000100000" w:firstRow="0" w:lastRow="0" w:firstColumn="0" w:lastColumn="0" w:oddVBand="0" w:evenVBand="0" w:oddHBand="1" w:evenHBand="0" w:firstRowFirstColumn="0" w:firstRowLastColumn="0" w:lastRowFirstColumn="0" w:lastRowLastColumn="0"/>
            </w:pPr>
            <w:r>
              <w:t>Koordinace čerpání technické pomoci</w:t>
            </w:r>
          </w:p>
        </w:tc>
      </w:tr>
      <w:tr w:rsidR="00EB2283" w14:paraId="26850DF6" w14:textId="77777777" w:rsidTr="00EB2283">
        <w:tc>
          <w:tcPr>
            <w:cnfStyle w:val="001000000000" w:firstRow="0" w:lastRow="0" w:firstColumn="1" w:lastColumn="0" w:oddVBand="0" w:evenVBand="0" w:oddHBand="0" w:evenHBand="0" w:firstRowFirstColumn="0" w:firstRowLastColumn="0" w:lastRowFirstColumn="0" w:lastRowLastColumn="0"/>
            <w:tcW w:w="1153" w:type="pct"/>
            <w:tcBorders>
              <w:right w:val="none" w:sz="0" w:space="0" w:color="auto"/>
            </w:tcBorders>
            <w:hideMark/>
          </w:tcPr>
          <w:p w14:paraId="416C6DF3" w14:textId="77777777" w:rsidR="00EB2283" w:rsidRDefault="00EB2283">
            <w:pPr>
              <w:spacing w:after="0"/>
            </w:pPr>
            <w:r>
              <w:t>Interní hodnotitel</w:t>
            </w:r>
          </w:p>
        </w:tc>
        <w:tc>
          <w:tcPr>
            <w:tcW w:w="677" w:type="pct"/>
            <w:hideMark/>
          </w:tcPr>
          <w:p w14:paraId="77C2E368" w14:textId="77777777" w:rsidR="00EB2283" w:rsidRDefault="00EB2283">
            <w:pPr>
              <w:spacing w:after="0"/>
              <w:jc w:val="right"/>
              <w:cnfStyle w:val="000000000000" w:firstRow="0" w:lastRow="0" w:firstColumn="0" w:lastColumn="0" w:oddVBand="0" w:evenVBand="0" w:oddHBand="0" w:evenHBand="0" w:firstRowFirstColumn="0" w:firstRowLastColumn="0" w:lastRowFirstColumn="0" w:lastRowLastColumn="0"/>
            </w:pPr>
            <w:r>
              <w:t>2</w:t>
            </w:r>
          </w:p>
        </w:tc>
        <w:tc>
          <w:tcPr>
            <w:tcW w:w="752" w:type="pct"/>
            <w:hideMark/>
          </w:tcPr>
          <w:p w14:paraId="0A9B0EB6" w14:textId="77777777" w:rsidR="00EB2283" w:rsidRDefault="00EB2283">
            <w:pPr>
              <w:spacing w:after="0"/>
              <w:jc w:val="right"/>
              <w:cnfStyle w:val="000000000000" w:firstRow="0" w:lastRow="0" w:firstColumn="0" w:lastColumn="0" w:oddVBand="0" w:evenVBand="0" w:oddHBand="0" w:evenHBand="0" w:firstRowFirstColumn="0" w:firstRowLastColumn="0" w:lastRowFirstColumn="0" w:lastRowLastColumn="0"/>
            </w:pPr>
            <w:r>
              <w:t>2</w:t>
            </w:r>
          </w:p>
        </w:tc>
        <w:tc>
          <w:tcPr>
            <w:tcW w:w="2418" w:type="pct"/>
            <w:hideMark/>
          </w:tcPr>
          <w:p w14:paraId="79900E64" w14:textId="77777777" w:rsidR="00EB2283" w:rsidRDefault="00EB2283" w:rsidP="00EB2283">
            <w:pPr>
              <w:pStyle w:val="Odstavecseseznamem"/>
              <w:numPr>
                <w:ilvl w:val="0"/>
                <w:numId w:val="46"/>
              </w:numPr>
              <w:spacing w:after="0"/>
              <w:ind w:left="374"/>
              <w:jc w:val="left"/>
              <w:cnfStyle w:val="000000000000" w:firstRow="0" w:lastRow="0" w:firstColumn="0" w:lastColumn="0" w:oddVBand="0" w:evenVBand="0" w:oddHBand="0" w:evenHBand="0" w:firstRowFirstColumn="0" w:firstRowLastColumn="0" w:lastRowFirstColumn="0" w:lastRowLastColumn="0"/>
            </w:pPr>
            <w:r>
              <w:t>Kontrola formálních náležitostí a přijatelnosti žádostí o podporu dle schváleného souboru kritérií – kritéria pro hodnocení projektů v rámci dané výzvy</w:t>
            </w:r>
          </w:p>
        </w:tc>
      </w:tr>
      <w:tr w:rsidR="00EB2283" w14:paraId="60192AAA" w14:textId="77777777" w:rsidTr="00EB2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pct"/>
            <w:tcBorders>
              <w:top w:val="none" w:sz="0" w:space="0" w:color="auto"/>
              <w:bottom w:val="none" w:sz="0" w:space="0" w:color="auto"/>
              <w:right w:val="none" w:sz="0" w:space="0" w:color="auto"/>
            </w:tcBorders>
            <w:hideMark/>
          </w:tcPr>
          <w:p w14:paraId="5975651E" w14:textId="77777777" w:rsidR="00EB2283" w:rsidRDefault="00EB2283">
            <w:pPr>
              <w:spacing w:after="0"/>
            </w:pPr>
            <w:r>
              <w:lastRenderedPageBreak/>
              <w:t>Referent autorizace plateb (RAP)</w:t>
            </w:r>
          </w:p>
        </w:tc>
        <w:tc>
          <w:tcPr>
            <w:tcW w:w="677" w:type="pct"/>
            <w:tcBorders>
              <w:top w:val="none" w:sz="0" w:space="0" w:color="auto"/>
              <w:bottom w:val="none" w:sz="0" w:space="0" w:color="auto"/>
            </w:tcBorders>
            <w:hideMark/>
          </w:tcPr>
          <w:p w14:paraId="07B50612" w14:textId="77777777" w:rsidR="00EB2283" w:rsidRDefault="00EB2283">
            <w:pPr>
              <w:spacing w:after="0"/>
              <w:jc w:val="right"/>
              <w:cnfStyle w:val="000000100000" w:firstRow="0" w:lastRow="0" w:firstColumn="0" w:lastColumn="0" w:oddVBand="0" w:evenVBand="0" w:oddHBand="1" w:evenHBand="0" w:firstRowFirstColumn="0" w:firstRowLastColumn="0" w:lastRowFirstColumn="0" w:lastRowLastColumn="0"/>
            </w:pPr>
            <w:r>
              <w:t>3 (IP ŘO)</w:t>
            </w:r>
          </w:p>
          <w:p w14:paraId="46B68FAB" w14:textId="77777777" w:rsidR="00EB2283" w:rsidRDefault="00EB2283">
            <w:pPr>
              <w:spacing w:after="0"/>
              <w:jc w:val="right"/>
              <w:cnfStyle w:val="000000100000" w:firstRow="0" w:lastRow="0" w:firstColumn="0" w:lastColumn="0" w:oddVBand="0" w:evenVBand="0" w:oddHBand="1" w:evenHBand="0" w:firstRowFirstColumn="0" w:firstRowLastColumn="0" w:lastRowFirstColumn="0" w:lastRowLastColumn="0"/>
            </w:pPr>
            <w:r>
              <w:t>2 (IP ZS)</w:t>
            </w:r>
          </w:p>
        </w:tc>
        <w:tc>
          <w:tcPr>
            <w:tcW w:w="752" w:type="pct"/>
            <w:tcBorders>
              <w:top w:val="none" w:sz="0" w:space="0" w:color="auto"/>
              <w:bottom w:val="none" w:sz="0" w:space="0" w:color="auto"/>
            </w:tcBorders>
            <w:hideMark/>
          </w:tcPr>
          <w:p w14:paraId="64B276A0" w14:textId="77777777" w:rsidR="00EB2283" w:rsidRDefault="00EB2283">
            <w:pPr>
              <w:spacing w:after="0"/>
              <w:jc w:val="right"/>
              <w:cnfStyle w:val="000000100000" w:firstRow="0" w:lastRow="0" w:firstColumn="0" w:lastColumn="0" w:oddVBand="0" w:evenVBand="0" w:oddHBand="1" w:evenHBand="0" w:firstRowFirstColumn="0" w:firstRowLastColumn="0" w:lastRowFirstColumn="0" w:lastRowLastColumn="0"/>
            </w:pPr>
            <w:r>
              <w:t>0 (IP ŘO)</w:t>
            </w:r>
          </w:p>
          <w:p w14:paraId="2D7DBA5C" w14:textId="77777777" w:rsidR="00EB2283" w:rsidRDefault="00EB2283">
            <w:pPr>
              <w:spacing w:after="0"/>
              <w:jc w:val="right"/>
              <w:cnfStyle w:val="000000100000" w:firstRow="0" w:lastRow="0" w:firstColumn="0" w:lastColumn="0" w:oddVBand="0" w:evenVBand="0" w:oddHBand="1" w:evenHBand="0" w:firstRowFirstColumn="0" w:firstRowLastColumn="0" w:lastRowFirstColumn="0" w:lastRowLastColumn="0"/>
            </w:pPr>
            <w:r>
              <w:t>2 (IP ZS)</w:t>
            </w:r>
          </w:p>
        </w:tc>
        <w:tc>
          <w:tcPr>
            <w:tcW w:w="2418" w:type="pct"/>
            <w:tcBorders>
              <w:top w:val="none" w:sz="0" w:space="0" w:color="auto"/>
              <w:bottom w:val="none" w:sz="0" w:space="0" w:color="auto"/>
            </w:tcBorders>
            <w:hideMark/>
          </w:tcPr>
          <w:p w14:paraId="4B6313EB" w14:textId="77777777" w:rsidR="00EB2283" w:rsidRDefault="00EB2283" w:rsidP="00EB2283">
            <w:pPr>
              <w:pStyle w:val="Odstavecseseznamem"/>
              <w:numPr>
                <w:ilvl w:val="0"/>
                <w:numId w:val="47"/>
              </w:numPr>
              <w:spacing w:after="0"/>
              <w:jc w:val="left"/>
              <w:cnfStyle w:val="000000100000" w:firstRow="0" w:lastRow="0" w:firstColumn="0" w:lastColumn="0" w:oddVBand="0" w:evenVBand="0" w:oddHBand="1" w:evenHBand="0" w:firstRowFirstColumn="0" w:firstRowLastColumn="0" w:lastRowFirstColumn="0" w:lastRowLastColumn="0"/>
            </w:pPr>
            <w:r>
              <w:t>Finanční kontrola ŽoPl II. stupně</w:t>
            </w:r>
          </w:p>
          <w:p w14:paraId="32FFF690" w14:textId="77777777" w:rsidR="00EB2283" w:rsidRDefault="00EB2283" w:rsidP="00EB2283">
            <w:pPr>
              <w:pStyle w:val="Odstavecseseznamem"/>
              <w:numPr>
                <w:ilvl w:val="0"/>
                <w:numId w:val="46"/>
              </w:numPr>
              <w:spacing w:after="0"/>
              <w:ind w:left="374"/>
              <w:jc w:val="left"/>
              <w:cnfStyle w:val="000000100000" w:firstRow="0" w:lastRow="0" w:firstColumn="0" w:lastColumn="0" w:oddVBand="0" w:evenVBand="0" w:oddHBand="1" w:evenHBand="0" w:firstRowFirstColumn="0" w:firstRowLastColumn="0" w:lastRowFirstColumn="0" w:lastRowLastColumn="0"/>
            </w:pPr>
            <w:r>
              <w:t>Kontrola úhrady a časové způsobilosti dokladů (výdajů) předložených příjemci</w:t>
            </w:r>
          </w:p>
          <w:p w14:paraId="20A2C423" w14:textId="77777777" w:rsidR="00EB2283" w:rsidRDefault="00EB2283" w:rsidP="00EB2283">
            <w:pPr>
              <w:pStyle w:val="Odstavecseseznamem"/>
              <w:numPr>
                <w:ilvl w:val="0"/>
                <w:numId w:val="46"/>
              </w:numPr>
              <w:spacing w:after="0"/>
              <w:ind w:left="374"/>
              <w:jc w:val="left"/>
              <w:cnfStyle w:val="000000100000" w:firstRow="0" w:lastRow="0" w:firstColumn="0" w:lastColumn="0" w:oddVBand="0" w:evenVBand="0" w:oddHBand="1" w:evenHBand="0" w:firstRowFirstColumn="0" w:firstRowLastColumn="0" w:lastRowFirstColumn="0" w:lastRowLastColumn="0"/>
            </w:pPr>
            <w:r>
              <w:t>Ověření/doplnění údajů dle kontrolních listů v MS2014+</w:t>
            </w:r>
          </w:p>
          <w:p w14:paraId="1F4B33AE" w14:textId="77777777" w:rsidR="00EB2283" w:rsidRDefault="00EB2283" w:rsidP="00EB2283">
            <w:pPr>
              <w:pStyle w:val="Odstavecseseznamem"/>
              <w:numPr>
                <w:ilvl w:val="0"/>
                <w:numId w:val="46"/>
              </w:numPr>
              <w:spacing w:after="0"/>
              <w:ind w:left="374"/>
              <w:jc w:val="left"/>
              <w:cnfStyle w:val="000000100000" w:firstRow="0" w:lastRow="0" w:firstColumn="0" w:lastColumn="0" w:oddVBand="0" w:evenVBand="0" w:oddHBand="1" w:evenHBand="0" w:firstRowFirstColumn="0" w:firstRowLastColumn="0" w:lastRowFirstColumn="0" w:lastRowLastColumn="0"/>
            </w:pPr>
            <w:r>
              <w:t>Připravuje podklady pro refundaci certifikaci PCO</w:t>
            </w:r>
          </w:p>
          <w:p w14:paraId="230A6032" w14:textId="77777777" w:rsidR="00EB2283" w:rsidRDefault="00EB2283" w:rsidP="00EB2283">
            <w:pPr>
              <w:pStyle w:val="Odstavecseseznamem"/>
              <w:numPr>
                <w:ilvl w:val="0"/>
                <w:numId w:val="46"/>
              </w:numPr>
              <w:spacing w:after="0"/>
              <w:ind w:left="374"/>
              <w:jc w:val="left"/>
              <w:cnfStyle w:val="000000100000" w:firstRow="0" w:lastRow="0" w:firstColumn="0" w:lastColumn="0" w:oddVBand="0" w:evenVBand="0" w:oddHBand="1" w:evenHBand="0" w:firstRowFirstColumn="0" w:firstRowLastColumn="0" w:lastRowFirstColumn="0" w:lastRowLastColumn="0"/>
            </w:pPr>
            <w:r>
              <w:t>Připravuje podklady pro uzavírání účtů</w:t>
            </w:r>
          </w:p>
        </w:tc>
      </w:tr>
    </w:tbl>
    <w:p w14:paraId="4086A70E" w14:textId="77777777" w:rsidR="000F1C75" w:rsidRPr="00CE6DA3" w:rsidRDefault="000F1C75" w:rsidP="000F1C75">
      <w:pPr>
        <w:rPr>
          <w:sz w:val="2"/>
          <w:szCs w:val="2"/>
          <w:lang w:val="fr-FR" w:eastAsia="cs-CZ"/>
        </w:rPr>
      </w:pPr>
    </w:p>
    <w:p w14:paraId="08C3A220" w14:textId="77777777" w:rsidR="005C425E" w:rsidRDefault="005C425E" w:rsidP="00C173BC">
      <w:pPr>
        <w:pStyle w:val="Nadpis1"/>
        <w:rPr>
          <w:snapToGrid w:val="0"/>
          <w:lang w:val="fr-FR"/>
        </w:rPr>
      </w:pPr>
      <w:bookmarkStart w:id="117" w:name="_Toc50456791"/>
      <w:r>
        <w:rPr>
          <w:snapToGrid w:val="0"/>
          <w:lang w:val="fr-FR"/>
        </w:rPr>
        <w:lastRenderedPageBreak/>
        <w:t>Doplňující informace k EO 11</w:t>
      </w:r>
      <w:bookmarkEnd w:id="117"/>
    </w:p>
    <w:p w14:paraId="542F5787" w14:textId="77777777" w:rsidR="000F1C75" w:rsidRDefault="000F1C75" w:rsidP="000F1C75">
      <w:r>
        <w:t xml:space="preserve">Dokumentem, který v nejobecnější rovině definuje rozsah, resp. dobu archivace, je čl. 140 </w:t>
      </w:r>
      <w:r w:rsidR="00E96F15">
        <w:t>ON – Nařízení</w:t>
      </w:r>
      <w:r>
        <w:t xml:space="preserve"> Evropského parlamentu a rady (EU) č. 1303/2013 ze dne 17. 12. 2013. ŘO je tímto článkem zavázán k tomu, aby archivoval doklady o výdajích podporovaných z fondů, u nichž jsou celkové způsobilé výdaje nižší než 1 000 000 EUR, po dobu tří let od 31. prosince následujícího po předložení účetní závěrky, v níž jsou výdaje na operaci uvedeny. </w:t>
      </w:r>
      <w:bookmarkStart w:id="118" w:name="_Hlk46240990"/>
      <w:bookmarkEnd w:id="118"/>
    </w:p>
    <w:p w14:paraId="373DAED5" w14:textId="77777777" w:rsidR="000F1C75" w:rsidRDefault="000F1C75" w:rsidP="000F1C75">
      <w:bookmarkStart w:id="119" w:name="_Hlk46241053"/>
      <w:r w:rsidRPr="00262DD8">
        <w:t xml:space="preserve">Doklady je nutné uchovávat ve formě originálů, nebo ověřených kopií originálů, případně na běžných nosičích dat, včetně elektronické verze originálních dokladů nebo dokladů existujících pouze </w:t>
      </w:r>
      <w:r w:rsidR="0012794A">
        <w:br/>
      </w:r>
      <w:r w:rsidRPr="00262DD8">
        <w:t xml:space="preserve">v elektronické podobě, přičemž doba uchovávání dokladů není vyžadována delší, než je nezbytné </w:t>
      </w:r>
      <w:r w:rsidR="0012794A">
        <w:br/>
      </w:r>
      <w:r w:rsidRPr="00262DD8">
        <w:t>pro účely, ke kterým byly údaje shromážděny nebo ke kterým jsou dále zpracovávány.</w:t>
      </w:r>
      <w:bookmarkEnd w:id="119"/>
      <w:r w:rsidRPr="00262DD8">
        <w:t xml:space="preserve"> </w:t>
      </w:r>
    </w:p>
    <w:p w14:paraId="54690495" w14:textId="77777777" w:rsidR="000F1C75" w:rsidRDefault="000F1C75" w:rsidP="000F1C75">
      <w:r>
        <w:t>Dle OM OP PIK se výše uvedená archivace týká veškeré dokumentace OP PIK s výjimkou dokumentace jednotlivých projektů. Archivace probíhá elektronicky v systému sdílených disků MPO, a to po dobu nezbytně dlouhou pro zachování auditní stopy, nejméně však po dobu stanovenou článkem 140 ON.</w:t>
      </w:r>
    </w:p>
    <w:p w14:paraId="5BE1B4D9" w14:textId="77777777" w:rsidR="000F1C75" w:rsidRDefault="000F1C75" w:rsidP="000F1C75">
      <w:pPr>
        <w:overflowPunct w:val="0"/>
        <w:autoSpaceDE w:val="0"/>
        <w:autoSpaceDN w:val="0"/>
        <w:adjustRightInd w:val="0"/>
        <w:spacing w:after="0"/>
        <w:textAlignment w:val="baseline"/>
      </w:pPr>
      <w:r w:rsidRPr="00262DD8">
        <w:t>Archivace dokumentace jednotlivých projektů</w:t>
      </w:r>
      <w:r>
        <w:t>, vč. IP TP OP PIK</w:t>
      </w:r>
      <w:r w:rsidRPr="00A84809">
        <w:t xml:space="preserve"> probíhá elektronicky v MS2014+</w:t>
      </w:r>
      <w:r>
        <w:t>. Veškerá dokumentace k projektům musí být uchovávána</w:t>
      </w:r>
      <w:r w:rsidRPr="00A84809">
        <w:t xml:space="preserve"> po dobu 10 let od proplacení poslední platby na dotčeném projektu (§ 44 zákona č. 218/2000 Sb.) nebo jejich předání příjemcem</w:t>
      </w:r>
      <w:r>
        <w:t xml:space="preserve">. </w:t>
      </w:r>
      <w:r w:rsidR="0012794A">
        <w:br/>
      </w:r>
      <w:r>
        <w:t xml:space="preserve">Za archivaci dokumentace k IP TP jsou odpovědní jednotliví příjemci interního projektu (z ŘO i ZS), kteří vkládají veškeré dokumenty do </w:t>
      </w:r>
      <w:r w:rsidRPr="00A84809">
        <w:t>MS2014+, případně je zachová</w:t>
      </w:r>
      <w:r>
        <w:t>vají</w:t>
      </w:r>
      <w:r w:rsidRPr="00A84809">
        <w:t xml:space="preserve"> v listinné podobě k</w:t>
      </w:r>
      <w:r>
        <w:t> </w:t>
      </w:r>
      <w:r w:rsidRPr="00A84809">
        <w:t>doložení</w:t>
      </w:r>
      <w:r>
        <w:t xml:space="preserve"> nebo je uloží na místo k tomu určené na sdílených discích MPO.</w:t>
      </w:r>
    </w:p>
    <w:p w14:paraId="7CE3D82C" w14:textId="77777777" w:rsidR="000F1C75" w:rsidRDefault="000F1C75" w:rsidP="000F1C75">
      <w:pPr>
        <w:overflowPunct w:val="0"/>
        <w:autoSpaceDE w:val="0"/>
        <w:autoSpaceDN w:val="0"/>
        <w:adjustRightInd w:val="0"/>
        <w:spacing w:after="0"/>
        <w:textAlignment w:val="baseline"/>
      </w:pPr>
    </w:p>
    <w:p w14:paraId="4BE90D0A" w14:textId="77777777" w:rsidR="000F1C75" w:rsidRDefault="000F1C75" w:rsidP="000F1C75">
      <w:pPr>
        <w:overflowPunct w:val="0"/>
        <w:autoSpaceDE w:val="0"/>
        <w:autoSpaceDN w:val="0"/>
        <w:adjustRightInd w:val="0"/>
        <w:spacing w:after="0"/>
        <w:textAlignment w:val="baseline"/>
      </w:pPr>
      <w:r>
        <w:t xml:space="preserve">Výše uvedená pravidla pro archivaci byla ověřena při osobním řízeném rozhovoru. Z něj vyplynulo, </w:t>
      </w:r>
      <w:r w:rsidR="0012794A">
        <w:br/>
      </w:r>
      <w:r>
        <w:t xml:space="preserve">že ačkoliv archivace dokumentů a dokladů spojených s OP PIK blíže neupřesňuje žádná směrnice, probíhá archivace v souladu s výše nastíněnými postupy. Hlavním archivačním nástrojem je MS2014+ a EIS, který zajišťuje archivaci faktur. Oba systémy jsou dostatečně robustní a navržené tak, aby byla eliminována ztráta dat. Vybrané dokumenty (např. kontrolní listy) jsou navíc ukládány na sdílené disky MPO. V listinné podobě jsou archivovány pouze originály. V případě ŘO se jedná především </w:t>
      </w:r>
      <w:r w:rsidR="0012794A">
        <w:br/>
      </w:r>
      <w:r>
        <w:t>o dokumentaci k VŘ, na ZS jsou v listinné podobě archivovány i originály faktur.</w:t>
      </w:r>
    </w:p>
    <w:p w14:paraId="46A6189E" w14:textId="77777777" w:rsidR="000F1C75" w:rsidRPr="000F1C75" w:rsidRDefault="000F1C75" w:rsidP="000F1C75">
      <w:pPr>
        <w:rPr>
          <w:lang w:val="fr-FR" w:eastAsia="cs-CZ"/>
        </w:rPr>
      </w:pPr>
    </w:p>
    <w:p w14:paraId="6D0B3306" w14:textId="77777777" w:rsidR="00EE52C0" w:rsidRDefault="002958F7" w:rsidP="00C173BC">
      <w:pPr>
        <w:pStyle w:val="Nadpis1"/>
        <w:rPr>
          <w:snapToGrid w:val="0"/>
          <w:lang w:val="fr-FR"/>
        </w:rPr>
      </w:pPr>
      <w:bookmarkStart w:id="120" w:name="_Toc50456792"/>
      <w:r w:rsidRPr="001B044B">
        <w:lastRenderedPageBreak/>
        <w:t>Doplňující informace k EO 12</w:t>
      </w:r>
      <w:bookmarkEnd w:id="120"/>
    </w:p>
    <w:p w14:paraId="61B14DE9" w14:textId="77777777" w:rsidR="002958F7" w:rsidRDefault="002958F7" w:rsidP="00C173BC">
      <w:pPr>
        <w:pStyle w:val="Standardntext"/>
        <w:rPr>
          <w:rFonts w:eastAsiaTheme="majorEastAsia"/>
        </w:rPr>
      </w:pPr>
      <w:r w:rsidRPr="00C173BC">
        <w:rPr>
          <w:b/>
          <w:bCs/>
          <w:color w:val="EF4350" w:themeColor="accent2"/>
        </w:rPr>
        <w:t>Hodnocení PpVD</w:t>
      </w:r>
    </w:p>
    <w:p w14:paraId="6A06D0AA" w14:textId="77777777" w:rsidR="002958F7" w:rsidRDefault="002958F7" w:rsidP="002958F7">
      <w:r>
        <w:t>Stěžejním dokumentem pro vypisování veřejných zakázek malého rozsahu jsou Pravidla pro výběr dodavatele. Tento dokument vychází ze stejných principů, na kterých je založeno vypisování zakázek malého rozsahu pro ostatní příjemce dotace napříč všemi operačními programy. Nelze tak konstatovat, že samotný dokument by příjemce, tj. ŘO nebo ZS oproti jiným příjemcům dotace znevýhodňoval. Zpracovatel měl k dispozici vzorek 5 VŘ na zakázky malého rozsahu, které byly realizovány v letech 2017</w:t>
      </w:r>
      <w:r w:rsidR="0012794A">
        <w:t xml:space="preserve"> </w:t>
      </w:r>
      <w:r>
        <w:t>-</w:t>
      </w:r>
      <w:r w:rsidR="0012794A">
        <w:t xml:space="preserve"> </w:t>
      </w:r>
      <w:r>
        <w:t>2019</w:t>
      </w:r>
      <w:r>
        <w:rPr>
          <w:rStyle w:val="Znakapoznpodarou"/>
        </w:rPr>
        <w:footnoteReference w:id="16"/>
      </w:r>
      <w:r>
        <w:t>. Na základě poskytnutých dokumentů nebyly shledány žádné nedostatky těchto VŘ či nedodržení PpVD.</w:t>
      </w:r>
    </w:p>
    <w:p w14:paraId="227FEE9D" w14:textId="731D9CE2" w:rsidR="002958F7" w:rsidRDefault="002958F7" w:rsidP="002958F7">
      <w:r>
        <w:t>I přes výše uvedené jsou však právě veřejné zakázky úzkým hrdlem v čerpání nákladů technické pomoci a realizaci IP. Hlavním důvodem je zdlouhavá příprava zadávací dokumentace VŘ, která má hned několik příčin:</w:t>
      </w:r>
    </w:p>
    <w:p w14:paraId="20F1C33F" w14:textId="77777777" w:rsidR="002958F7" w:rsidRDefault="002958F7" w:rsidP="002958F7">
      <w:pPr>
        <w:pStyle w:val="Odstavecseseznamem"/>
        <w:numPr>
          <w:ilvl w:val="0"/>
          <w:numId w:val="17"/>
        </w:numPr>
        <w:spacing w:after="160" w:line="259" w:lineRule="auto"/>
        <w:jc w:val="left"/>
      </w:pPr>
      <w:r>
        <w:t>Příprava zadávací dokumentace probíhá na oddělení, které bude výstup VŘ (dodávku či službu) využívat. Následuje právní kontrola v rámci Sekce fondů EU, na Oddělení kontrol veřejných zakázek (61320) a právní kontrola na Oddělení metodiky veřejných zakázek (10220), které p</w:t>
      </w:r>
      <w:r w:rsidRPr="002D0178">
        <w:t xml:space="preserve">řipomínkuje zadávací dokumentaci pro veřejné zakázky </w:t>
      </w:r>
      <w:r>
        <w:t>všech</w:t>
      </w:r>
      <w:r w:rsidRPr="002D0178">
        <w:t xml:space="preserve"> útvarů MPO</w:t>
      </w:r>
      <w:r>
        <w:t xml:space="preserve">. </w:t>
      </w:r>
      <w:r w:rsidR="00A5209F">
        <w:t xml:space="preserve">Vzhledem k tomu, že toto oddělení obecně nezadává veřejné zakázky dle PpVD, mohou se názory na kontrolovanou VZ různit. </w:t>
      </w:r>
      <w:r>
        <w:t>V důsledku těchto kontrol dochází k připomínkování a úpravám zadávací dokumentace, přičemž není neobvyklé, že připomínkování probíhá v několika kolech. V případě zakázek malého rozsahu čítá příprava VŘ nejčastěji 3 až 6 měsíců.</w:t>
      </w:r>
    </w:p>
    <w:p w14:paraId="75DC02ED" w14:textId="77777777" w:rsidR="002958F7" w:rsidRDefault="002958F7" w:rsidP="002958F7">
      <w:pPr>
        <w:pStyle w:val="Odstavecseseznamem"/>
        <w:numPr>
          <w:ilvl w:val="0"/>
          <w:numId w:val="17"/>
        </w:numPr>
        <w:spacing w:after="160" w:line="259" w:lineRule="auto"/>
        <w:jc w:val="left"/>
      </w:pPr>
      <w:r>
        <w:t>Z obdržených vzorků VŘ na zakázky malého rozsahu vyplývá, že neexistují nebo nejsou využívány šablony dokumentů potřebných pro vypsání a administraci VŘ (zadávací dokumentace, jmenování hodnotící komise, čestné prohlášení o neexistenci střetu zájmů, protokol o jednání komise, Rozhodnutí a oznámení o výběru dodavatele atd.), která by proces přípravy, administrace VŘ, ale i jejich následné kontroly mohla výrazně zjednodušit.</w:t>
      </w:r>
    </w:p>
    <w:p w14:paraId="14694366" w14:textId="77777777" w:rsidR="002958F7" w:rsidRDefault="002958F7" w:rsidP="002958F7">
      <w:r>
        <w:t xml:space="preserve">Určité zrychlení procesu by mohlo nastat také v případě kontroly II. a III. stupně, které probíhají </w:t>
      </w:r>
      <w:r w:rsidR="0012794A">
        <w:br/>
      </w:r>
      <w:r>
        <w:t xml:space="preserve">před a po podepsání smlouvy s vítězným dodavatelem. Zapojením oddělení 61320 do procesu otevírání obálek či hodnocení nabídek by mohlo dojít ke zkrácení doby nutné ke kontrole II. stupně. Kontrola III. stupně se zabývá pouze kontrolou podepsané smlouvy, jejíž podoba je však již součástí zadávací dokumentace VŘ, kterou schvaluje jak oddělení 61320, tak oddělení 10220. Jde tedy pouze o formální kontrolu toho, zda nedošlo ze strany dodavatele k její úpravě, a je tedy proveditelná </w:t>
      </w:r>
      <w:r w:rsidR="0012794A">
        <w:br/>
      </w:r>
      <w:r>
        <w:t>na úrovni oddělení, které VŘ vypisuje.</w:t>
      </w:r>
    </w:p>
    <w:p w14:paraId="254B58ED" w14:textId="77777777" w:rsidR="002958F7" w:rsidRDefault="002958F7" w:rsidP="002958F7">
      <w:r>
        <w:t xml:space="preserve">Pro přesnější představu o fungování VŘ a jejich efektivity bylo připraveno dotazníkové šetření. </w:t>
      </w:r>
      <w:r w:rsidR="0012794A">
        <w:br/>
      </w:r>
      <w:r>
        <w:t xml:space="preserve">Do části šetření, které se tomuto tématu věnovalo, se zapojilo 8 respondentů (6 z MPO a 2 z API) se zkušenostmi s VŘ na MPO/API. Ačkoliv se jedná o nízký počet, bývají tyto osoby zapojené do všech částí přípravy a realizace veřejné zakázky (viz graf </w:t>
      </w:r>
      <w:r w:rsidR="00524BC4">
        <w:t>níže</w:t>
      </w:r>
      <w:r>
        <w:t xml:space="preserve">). Jejich zapojení do VZ navíc není jen občasné. 7 </w:t>
      </w:r>
      <w:r>
        <w:lastRenderedPageBreak/>
        <w:t>responde</w:t>
      </w:r>
      <w:r w:rsidR="396E3D33">
        <w:t>n</w:t>
      </w:r>
      <w:r>
        <w:t xml:space="preserve">tů se věnuje VZ min. jednou za kvartál, 5 z nich však alespoň 1x měsíčně. Z hlediska délky působení na MPO/API jsou respondenti zkušenými pracovníky, neboť délka jejich zaměstnání </w:t>
      </w:r>
      <w:r w:rsidR="0012794A">
        <w:br/>
      </w:r>
      <w:r>
        <w:t>v těchto institucích činí průměrně 10 let (v rozmezí 3 roky – 17 let). Tyto atributy účastníků dotazníkového šetření významnou měrou napomáhají k vyšší relevantnosti dotazníku a stanoveným závěrům.</w:t>
      </w:r>
    </w:p>
    <w:p w14:paraId="569F50C4" w14:textId="704D9434" w:rsidR="002958F7" w:rsidRDefault="002958F7" w:rsidP="002958F7">
      <w:pPr>
        <w:pStyle w:val="Titulek"/>
      </w:pPr>
      <w:bookmarkStart w:id="121" w:name="_Toc50456762"/>
      <w:r>
        <w:t xml:space="preserve">Graf </w:t>
      </w:r>
      <w:r w:rsidR="00C050DB">
        <w:fldChar w:fldCharType="begin"/>
      </w:r>
      <w:r w:rsidR="00C050DB">
        <w:instrText xml:space="preserve"> SEQ Graf \* ARABIC </w:instrText>
      </w:r>
      <w:r w:rsidR="00C050DB">
        <w:fldChar w:fldCharType="separate"/>
      </w:r>
      <w:r w:rsidR="00E96F43">
        <w:rPr>
          <w:noProof/>
        </w:rPr>
        <w:t>2</w:t>
      </w:r>
      <w:r w:rsidR="00C050DB">
        <w:rPr>
          <w:noProof/>
        </w:rPr>
        <w:fldChar w:fldCharType="end"/>
      </w:r>
      <w:r>
        <w:t>: Činnosti respondentů v rámci procesu administrace VŘ</w:t>
      </w:r>
      <w:bookmarkEnd w:id="121"/>
    </w:p>
    <w:p w14:paraId="38EA52C9" w14:textId="77777777" w:rsidR="002958F7" w:rsidRDefault="002958F7" w:rsidP="002958F7">
      <w:r>
        <w:rPr>
          <w:noProof/>
          <w:lang w:eastAsia="cs-CZ"/>
        </w:rPr>
        <w:drawing>
          <wp:inline distT="0" distB="0" distL="0" distR="0" wp14:anchorId="1B822A10" wp14:editId="02B527D0">
            <wp:extent cx="5402580" cy="4089400"/>
            <wp:effectExtent l="0" t="0" r="7620" b="6350"/>
            <wp:docPr id="48" name="Graf 48">
              <a:extLst xmlns:a="http://schemas.openxmlformats.org/drawingml/2006/main">
                <a:ext uri="{FF2B5EF4-FFF2-40B4-BE49-F238E27FC236}">
                  <a16:creationId xmlns:a16="http://schemas.microsoft.com/office/drawing/2014/main" id="{A879C48D-4031-4061-AF53-A699BFBE83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076ABDC" w14:textId="77777777" w:rsidR="002958F7" w:rsidRDefault="002958F7" w:rsidP="002958F7">
      <w:pPr>
        <w:rPr>
          <w:i/>
          <w:iCs/>
        </w:rPr>
      </w:pPr>
      <w:r w:rsidRPr="00BB50CF">
        <w:rPr>
          <w:i/>
          <w:iCs/>
        </w:rPr>
        <w:t>Zdroj: Vlastní šetření (n = 8)</w:t>
      </w:r>
    </w:p>
    <w:p w14:paraId="33ABCB4C" w14:textId="77777777" w:rsidR="002958F7" w:rsidRDefault="002958F7" w:rsidP="002958F7">
      <w:r>
        <w:t>Respondenti byli v dotazníkovém šetření dotazováni na nejrůznější aspekty PpVD –</w:t>
      </w:r>
      <w:r w:rsidR="0012794A">
        <w:t xml:space="preserve"> </w:t>
      </w:r>
      <w:r>
        <w:t xml:space="preserve"> </w:t>
      </w:r>
      <w:r w:rsidR="0012794A">
        <w:br/>
      </w:r>
      <w:r>
        <w:t xml:space="preserve">na srozumitelnost PpVD, na administrativní či časovou náročnost VZ dle těchto pravidel či náročnost z hlediska znalostí a zkušeností osob podílejících se na přípravě a realizaci VŘ. V neposlední řadě byla pozornost věnována také místům, která by v rámci administrace VŘ bylo možné zjednodušit </w:t>
      </w:r>
      <w:r w:rsidR="0012794A">
        <w:br/>
      </w:r>
      <w:r>
        <w:t>a faktorům, které mají největší dopad na kvalitu dodaných výstupů.</w:t>
      </w:r>
    </w:p>
    <w:p w14:paraId="60A2FB2C" w14:textId="77777777" w:rsidR="002958F7" w:rsidRDefault="002958F7" w:rsidP="002958F7">
      <w:r>
        <w:t xml:space="preserve">Na základě odpovědí respondentů nelze jednoznačně tvrdit, že by PpVD byla považována za srozumitelná. Většina respondentů, konkrétně 6, sice uvedla, že pravidla považuje za Spíše srozumitelná, ale dva z respondentů je považují za Spíše nesrozumitelná. Z hlediska administrativní náročnosti dostala realizace VŘ dle PpVD průměrnou známku, konkrétně 3,0 (na MPO 3,2 </w:t>
      </w:r>
      <w:r w:rsidR="0012794A">
        <w:br/>
      </w:r>
      <w:r>
        <w:t xml:space="preserve">a na API 2,5). Z komentářů dotázaných vyplývá, že považují dokument za obsáhlý, nadbytečný </w:t>
      </w:r>
      <w:r w:rsidR="0012794A">
        <w:br/>
      </w:r>
      <w:r>
        <w:t xml:space="preserve">a povětšinou nekorespondující se zákonem o veřejných zakázkách. Proces výběru dodavatele se tak komplikuje a zdržuje, zejména v důsledku realizovaných kontrol VŘ. </w:t>
      </w:r>
    </w:p>
    <w:p w14:paraId="678ABBA5" w14:textId="77777777" w:rsidR="002958F7" w:rsidRDefault="002958F7" w:rsidP="002958F7">
      <w:r>
        <w:lastRenderedPageBreak/>
        <w:t>To prokázaly také odpovědi na nadbytečnost nebo nepřiměřenost úkonů spojených s realizací VŘ dle PpVD. Pět ze sedmi respondentů, kteří se k této otázce vyjádřili, uvedlo, že takovéto úkony jsou v procesu obsaženy (viz</w:t>
      </w:r>
      <w:r w:rsidR="00524BC4">
        <w:t xml:space="preserve"> graf níže</w:t>
      </w:r>
      <w:r w:rsidR="6B340F97">
        <w:t>)</w:t>
      </w:r>
      <w:r>
        <w:t xml:space="preserve">. </w:t>
      </w:r>
    </w:p>
    <w:p w14:paraId="504DA206" w14:textId="71A164C4" w:rsidR="002958F7" w:rsidRDefault="002958F7" w:rsidP="002958F7">
      <w:pPr>
        <w:pStyle w:val="Titulek"/>
      </w:pPr>
      <w:bookmarkStart w:id="122" w:name="_Toc50456763"/>
      <w:bookmarkStart w:id="123" w:name="_Hlk46242012"/>
      <w:r>
        <w:t xml:space="preserve">Graf </w:t>
      </w:r>
      <w:r w:rsidR="00C050DB">
        <w:fldChar w:fldCharType="begin"/>
      </w:r>
      <w:r w:rsidR="00C050DB">
        <w:instrText xml:space="preserve"> SEQ Graf \* ARABIC </w:instrText>
      </w:r>
      <w:r w:rsidR="00C050DB">
        <w:fldChar w:fldCharType="separate"/>
      </w:r>
      <w:r w:rsidR="00E96F43">
        <w:rPr>
          <w:noProof/>
        </w:rPr>
        <w:t>3</w:t>
      </w:r>
      <w:r w:rsidR="00C050DB">
        <w:rPr>
          <w:noProof/>
        </w:rPr>
        <w:fldChar w:fldCharType="end"/>
      </w:r>
      <w:r>
        <w:t>: Vnímání nadbytečnosti a náročnosti úkonů</w:t>
      </w:r>
      <w:bookmarkEnd w:id="122"/>
    </w:p>
    <w:p w14:paraId="4D4DAE66" w14:textId="77777777" w:rsidR="002958F7" w:rsidRDefault="002958F7" w:rsidP="002958F7">
      <w:r>
        <w:rPr>
          <w:noProof/>
          <w:lang w:eastAsia="cs-CZ"/>
        </w:rPr>
        <w:drawing>
          <wp:inline distT="0" distB="0" distL="0" distR="0" wp14:anchorId="39E0051E" wp14:editId="7AC509F6">
            <wp:extent cx="5623560" cy="1912620"/>
            <wp:effectExtent l="0" t="0" r="15240" b="11430"/>
            <wp:docPr id="49" name="Graf 49">
              <a:extLst xmlns:a="http://schemas.openxmlformats.org/drawingml/2006/main">
                <a:ext uri="{FF2B5EF4-FFF2-40B4-BE49-F238E27FC236}">
                  <a16:creationId xmlns:a16="http://schemas.microsoft.com/office/drawing/2014/main" id="{8C552D35-E16C-4C6B-B853-601A6FE5FE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8286050" w14:textId="77777777" w:rsidR="002958F7" w:rsidRPr="001A4A26" w:rsidRDefault="002958F7" w:rsidP="002958F7">
      <w:pPr>
        <w:rPr>
          <w:i/>
          <w:iCs/>
        </w:rPr>
      </w:pPr>
      <w:r w:rsidRPr="001A4A26">
        <w:rPr>
          <w:i/>
          <w:iCs/>
        </w:rPr>
        <w:t>Zdroj: Vlastní šetření (n = 8)</w:t>
      </w:r>
      <w:bookmarkEnd w:id="123"/>
    </w:p>
    <w:p w14:paraId="0003AE10" w14:textId="77777777" w:rsidR="002958F7" w:rsidRDefault="002958F7" w:rsidP="002958F7">
      <w:r>
        <w:t>Pro respondenty jsou nadbytečné či svou administrativní náročností nepřiměřené následující úkony:</w:t>
      </w:r>
    </w:p>
    <w:p w14:paraId="28395CDA" w14:textId="52188608" w:rsidR="002958F7" w:rsidRDefault="002958F7" w:rsidP="002958F7">
      <w:pPr>
        <w:pStyle w:val="Odstavecseseznamem"/>
        <w:numPr>
          <w:ilvl w:val="0"/>
          <w:numId w:val="18"/>
        </w:numPr>
        <w:spacing w:after="160" w:line="259" w:lineRule="auto"/>
      </w:pPr>
      <w:r>
        <w:t>Dvě právní kontroly (odd. 01140 a 61320) by měly být sloučeny do jednoho kroku</w:t>
      </w:r>
      <w:r w:rsidR="0012794A">
        <w:t>.</w:t>
      </w:r>
    </w:p>
    <w:p w14:paraId="3BABE426" w14:textId="11DACB88" w:rsidR="002958F7" w:rsidRDefault="002958F7" w:rsidP="002958F7">
      <w:pPr>
        <w:pStyle w:val="Odstavecseseznamem"/>
        <w:numPr>
          <w:ilvl w:val="0"/>
          <w:numId w:val="18"/>
        </w:numPr>
        <w:spacing w:after="160" w:line="259" w:lineRule="auto"/>
      </w:pPr>
      <w:bookmarkStart w:id="124" w:name="_Hlk46242103"/>
      <w:r>
        <w:t>Prostor pro zjednodušení nabízí také 3 kola kontroly ze strany 61320, které jsou často pouze formální záležitostí</w:t>
      </w:r>
      <w:r w:rsidR="0012794A">
        <w:t>.</w:t>
      </w:r>
    </w:p>
    <w:p w14:paraId="4C5C5C02" w14:textId="11BEE618" w:rsidR="002958F7" w:rsidRDefault="002958F7" w:rsidP="002958F7">
      <w:pPr>
        <w:pStyle w:val="Odstavecseseznamem"/>
        <w:numPr>
          <w:ilvl w:val="0"/>
          <w:numId w:val="18"/>
        </w:numPr>
        <w:spacing w:after="160" w:line="259" w:lineRule="auto"/>
      </w:pPr>
      <w:r>
        <w:t>Složité zasílání dokumentů přes MS2014+</w:t>
      </w:r>
      <w:r w:rsidR="0012794A">
        <w:t>.</w:t>
      </w:r>
    </w:p>
    <w:p w14:paraId="0E42A4ED" w14:textId="638DD758" w:rsidR="002958F7" w:rsidRDefault="002958F7" w:rsidP="002958F7">
      <w:pPr>
        <w:pStyle w:val="Odstavecseseznamem"/>
        <w:numPr>
          <w:ilvl w:val="0"/>
          <w:numId w:val="18"/>
        </w:numPr>
        <w:spacing w:after="160" w:line="259" w:lineRule="auto"/>
      </w:pPr>
      <w:r>
        <w:t>Nadměrná byrokracie (Jmenování hodnotící komise, Čestné prohlášení o neexistenci střetu zájmů, Protokol o jednání komise, který dubluje Rozhodnutí a oznámení o výběru dodavatele)</w:t>
      </w:r>
      <w:r w:rsidR="0012794A">
        <w:t>.</w:t>
      </w:r>
      <w:bookmarkEnd w:id="124"/>
    </w:p>
    <w:p w14:paraId="2DBDD6AA" w14:textId="26FE926B" w:rsidR="002958F7" w:rsidRDefault="002958F7" w:rsidP="002958F7">
      <w:pPr>
        <w:pStyle w:val="Odstavecseseznamem"/>
        <w:numPr>
          <w:ilvl w:val="0"/>
          <w:numId w:val="18"/>
        </w:numPr>
        <w:spacing w:after="160" w:line="259" w:lineRule="auto"/>
      </w:pPr>
      <w:r>
        <w:t>Slovíčkaření, při kterém dochází k rozporu právního a kontrolního oddělení na MPO</w:t>
      </w:r>
      <w:r w:rsidR="0012794A">
        <w:t>.</w:t>
      </w:r>
    </w:p>
    <w:p w14:paraId="66E104EF" w14:textId="0F43CE98" w:rsidR="002958F7" w:rsidRDefault="002958F7" w:rsidP="002958F7">
      <w:pPr>
        <w:pStyle w:val="Odstavecseseznamem"/>
        <w:numPr>
          <w:ilvl w:val="0"/>
          <w:numId w:val="18"/>
        </w:numPr>
        <w:spacing w:after="160" w:line="259" w:lineRule="auto"/>
      </w:pPr>
      <w:r>
        <w:t>Příliš mnoho parametrů pro hodnocení, které jsou mnohdy zbytečné</w:t>
      </w:r>
      <w:r w:rsidR="0012794A">
        <w:t>.</w:t>
      </w:r>
    </w:p>
    <w:p w14:paraId="6187221C" w14:textId="77777777" w:rsidR="002958F7" w:rsidRDefault="002958F7" w:rsidP="002958F7">
      <w:pPr>
        <w:pStyle w:val="Odstavecseseznamem"/>
        <w:numPr>
          <w:ilvl w:val="0"/>
          <w:numId w:val="18"/>
        </w:numPr>
        <w:spacing w:after="160" w:line="259" w:lineRule="auto"/>
      </w:pPr>
      <w:r w:rsidRPr="001A4A26">
        <w:t>VZ v rámci TP MPO se musí řídit i metodikou VZ MPO, proto je někdy složité tyto dva povinné pracovní postupy sladit dohromady</w:t>
      </w:r>
      <w:r>
        <w:t>.</w:t>
      </w:r>
    </w:p>
    <w:p w14:paraId="18346B7C" w14:textId="77777777" w:rsidR="002958F7" w:rsidRDefault="002958F7" w:rsidP="002958F7">
      <w:r>
        <w:t xml:space="preserve">Prostor pro zlepšení vidí respondenti také v časové náročnosti realizace VŘ dle PpVD. Pouze </w:t>
      </w:r>
      <w:r w:rsidR="0012794A">
        <w:br/>
      </w:r>
      <w:r>
        <w:t xml:space="preserve">pro čtvrtinu respondentů (jeden z API a jeden z MPO) je časová náročnost realizace VŘ adekvátní. Ostatní ji shledávají jako Velmi náročnou (2 odpovědi – obě z odd. 61110) nebo Spíše náročnou </w:t>
      </w:r>
      <w:r w:rsidR="0012794A">
        <w:br/>
      </w:r>
      <w:r>
        <w:t xml:space="preserve">(4 odpovědi). Mezi úkony, které negativně ovlivňují délku trvání VŘ, patří především administrace samotného průběhu VŘ (zveřejnění dokumentů, zodpovídání dotazů administrace obdržených nabídek, zpracování zpráv z hodnocení atd.) nebo zpracování zadávací dokumentace (viz </w:t>
      </w:r>
      <w:r w:rsidR="00524BC4">
        <w:t>graf níže</w:t>
      </w:r>
      <w:r>
        <w:t xml:space="preserve">). Jako problematické se však objevují také vnitřní procesy MPO (přehazování dokumentace z jednoho oddělení do druhého (01140, 61320), navíc ještě přes prostředníka (61140)), schvalování VZ, neochota gestorů MPO při tvorbě zadávací dokumentace nebo kontroly ze strany odpovědných osob a zapracování připomínek. </w:t>
      </w:r>
    </w:p>
    <w:p w14:paraId="2E0C2953" w14:textId="6FB17502" w:rsidR="002958F7" w:rsidRDefault="002958F7" w:rsidP="002958F7">
      <w:pPr>
        <w:pStyle w:val="Titulek"/>
      </w:pPr>
      <w:bookmarkStart w:id="125" w:name="_Toc50456764"/>
      <w:r>
        <w:lastRenderedPageBreak/>
        <w:t xml:space="preserve">Graf </w:t>
      </w:r>
      <w:r w:rsidR="00C050DB">
        <w:fldChar w:fldCharType="begin"/>
      </w:r>
      <w:r w:rsidR="00C050DB">
        <w:instrText xml:space="preserve"> SEQ Graf \* ARABIC </w:instrText>
      </w:r>
      <w:r w:rsidR="00C050DB">
        <w:fldChar w:fldCharType="separate"/>
      </w:r>
      <w:r w:rsidR="00E96F43">
        <w:rPr>
          <w:noProof/>
        </w:rPr>
        <w:t>4</w:t>
      </w:r>
      <w:r w:rsidR="00C050DB">
        <w:rPr>
          <w:noProof/>
        </w:rPr>
        <w:fldChar w:fldCharType="end"/>
      </w:r>
      <w:r>
        <w:t>: Úkony, které negativně ovlivňují trvání VŘ</w:t>
      </w:r>
      <w:bookmarkEnd w:id="125"/>
    </w:p>
    <w:p w14:paraId="239A0E40" w14:textId="77777777" w:rsidR="002958F7" w:rsidRDefault="002958F7" w:rsidP="002958F7">
      <w:r>
        <w:rPr>
          <w:noProof/>
          <w:lang w:eastAsia="cs-CZ"/>
        </w:rPr>
        <w:drawing>
          <wp:inline distT="0" distB="0" distL="0" distR="0" wp14:anchorId="13A50321" wp14:editId="741C136F">
            <wp:extent cx="5547360" cy="2606040"/>
            <wp:effectExtent l="0" t="0" r="15240" b="3810"/>
            <wp:docPr id="50" name="Graf 50">
              <a:extLst xmlns:a="http://schemas.openxmlformats.org/drawingml/2006/main">
                <a:ext uri="{FF2B5EF4-FFF2-40B4-BE49-F238E27FC236}">
                  <a16:creationId xmlns:a16="http://schemas.microsoft.com/office/drawing/2014/main" id="{78757D96-F90A-437C-A9CD-09BC858DB9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8217075" w14:textId="77777777" w:rsidR="002958F7" w:rsidRDefault="002958F7" w:rsidP="002958F7">
      <w:pPr>
        <w:rPr>
          <w:i/>
          <w:iCs/>
        </w:rPr>
      </w:pPr>
      <w:r w:rsidRPr="007279CD">
        <w:rPr>
          <w:i/>
          <w:iCs/>
        </w:rPr>
        <w:t>Zdroj: Vlastní šetření (n = 8)</w:t>
      </w:r>
    </w:p>
    <w:p w14:paraId="65E43615" w14:textId="77777777" w:rsidR="00C21475" w:rsidRDefault="00C21475" w:rsidP="002958F7"/>
    <w:p w14:paraId="7EFBADF3" w14:textId="77777777" w:rsidR="002958F7" w:rsidRDefault="002958F7" w:rsidP="002958F7">
      <w:r w:rsidRPr="00530D58">
        <w:t xml:space="preserve">Příprava VŘ je náročná nejen z hlediska časové a administrativní náročnosti, ale také z hlediska znalostí a zkušeností osob, které se </w:t>
      </w:r>
      <w:r>
        <w:t xml:space="preserve">na </w:t>
      </w:r>
      <w:r w:rsidRPr="00530D58">
        <w:t xml:space="preserve">VŘ podílejí. Dle respondentů je nejnáročnější příprava zadávací dokumentace vč. příloh (uvedeno 3x) tak, aby byla pro uchazeče o VZ srozumitelná, </w:t>
      </w:r>
      <w:r w:rsidR="0012794A">
        <w:br/>
      </w:r>
      <w:r w:rsidRPr="00530D58">
        <w:t>a zároveň obsahovala všechny stěžejní informace ze strany zadavatele</w:t>
      </w:r>
      <w:r>
        <w:t xml:space="preserve"> a všechny informace, které vyžadují PpVP nebo ZZVZ</w:t>
      </w:r>
      <w:r w:rsidRPr="00530D58">
        <w:t xml:space="preserve">. Způsob, jak tuto činnost zjednodušit, respondenti neuvedli. Možností však může být např. sdílení dobré praxe mezi pracovníky/útvary zapojenými do realizace VŘ. Jako další činnosti náročné na zkušenosti byly uváděny: nastavení hodnotících kritérií, kontrola a vyhodnocení nabídek, spolupráce s dodavatelem či obecně – administrace samotného průběhu VŘ. </w:t>
      </w:r>
      <w:r>
        <w:t>Z</w:t>
      </w:r>
      <w:r w:rsidRPr="00530D58">
        <w:t>jednodušení administrace VŘ vidí respondenti ve vytvoření přesně stanovených šablon s možností editace vybraných částí souvisejících čistě s daným předmětem VZ, sjednocení PpVD a ZZVZ, kdy by stačila pouze kontrola z jedné strany nebo větší volnost při hodnocení nabídek a automatizace některých standardních pracovních úkonů.</w:t>
      </w:r>
    </w:p>
    <w:p w14:paraId="184D39D1" w14:textId="77777777" w:rsidR="002958F7" w:rsidRDefault="002958F7" w:rsidP="002958F7">
      <w:r>
        <w:t>Hlavním výstupem VŘ by měl být dodavatel, který zajistí požadovaný výstup kvalitně, včas a za nízkou cenu. Dle odpovědí respondentů, tak tomu ve většině případů je. Kvalitu výstupů hodnotili průměrnou známkou 2,16, přičemž nejčastěji hodnocenými VŘ byly VŘ na evaluace (průměrná známka 1,75). Hlavními faktory, které ovlivňují kvalitu výstupu, jsou uvedeny v</w:t>
      </w:r>
      <w:r w:rsidR="00524BC4">
        <w:t> grafu níže</w:t>
      </w:r>
      <w:r>
        <w:t>.</w:t>
      </w:r>
    </w:p>
    <w:p w14:paraId="65AFC830" w14:textId="63BF05C9" w:rsidR="002958F7" w:rsidRDefault="002958F7" w:rsidP="002958F7">
      <w:pPr>
        <w:pStyle w:val="Titulek"/>
      </w:pPr>
      <w:bookmarkStart w:id="126" w:name="_Toc50456765"/>
      <w:bookmarkStart w:id="127" w:name="_Hlk46242787"/>
      <w:r>
        <w:lastRenderedPageBreak/>
        <w:t xml:space="preserve">Graf </w:t>
      </w:r>
      <w:r w:rsidR="00375887" w:rsidRPr="758030A4">
        <w:fldChar w:fldCharType="begin"/>
      </w:r>
      <w:r>
        <w:instrText xml:space="preserve"> SEQ Graf \* ARABIC </w:instrText>
      </w:r>
      <w:r w:rsidR="00375887" w:rsidRPr="758030A4">
        <w:fldChar w:fldCharType="separate"/>
      </w:r>
      <w:r w:rsidR="00E96F43">
        <w:rPr>
          <w:noProof/>
        </w:rPr>
        <w:t>5</w:t>
      </w:r>
      <w:r w:rsidR="00375887" w:rsidRPr="758030A4">
        <w:rPr>
          <w:noProof/>
        </w:rPr>
        <w:fldChar w:fldCharType="end"/>
      </w:r>
      <w:r>
        <w:t>: Hodnocení faktorů ovlivňujících kvalitu dodaných v</w:t>
      </w:r>
      <w:r w:rsidR="005E75EC">
        <w:t>ý</w:t>
      </w:r>
      <w:r>
        <w:t>stupů</w:t>
      </w:r>
      <w:bookmarkEnd w:id="126"/>
    </w:p>
    <w:p w14:paraId="239FBB4C" w14:textId="77777777" w:rsidR="002958F7" w:rsidRDefault="002958F7" w:rsidP="002958F7">
      <w:pPr>
        <w:keepNext/>
      </w:pPr>
      <w:r>
        <w:rPr>
          <w:noProof/>
          <w:lang w:eastAsia="cs-CZ"/>
        </w:rPr>
        <w:drawing>
          <wp:inline distT="0" distB="0" distL="0" distR="0" wp14:anchorId="0AD4BE07" wp14:editId="74227DD6">
            <wp:extent cx="5554980" cy="2606040"/>
            <wp:effectExtent l="0" t="0" r="7620" b="3810"/>
            <wp:docPr id="51" name="Graf 51">
              <a:extLst xmlns:a="http://schemas.openxmlformats.org/drawingml/2006/main">
                <a:ext uri="{FF2B5EF4-FFF2-40B4-BE49-F238E27FC236}">
                  <a16:creationId xmlns:a16="http://schemas.microsoft.com/office/drawing/2014/main" id="{965673C7-3B2E-449E-B6B2-6958A83CF1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1E10EA1" w14:textId="77777777" w:rsidR="002958F7" w:rsidRDefault="002958F7" w:rsidP="002958F7">
      <w:pPr>
        <w:rPr>
          <w:i/>
          <w:iCs/>
        </w:rPr>
      </w:pPr>
      <w:r w:rsidRPr="00E0641C">
        <w:rPr>
          <w:i/>
          <w:iCs/>
        </w:rPr>
        <w:t>Zdroj: Vlastní šetření (n = 8)</w:t>
      </w:r>
      <w:bookmarkEnd w:id="127"/>
    </w:p>
    <w:p w14:paraId="71FAFCEB" w14:textId="77777777" w:rsidR="002958F7" w:rsidRDefault="002958F7" w:rsidP="006D6B73">
      <w:r>
        <w:t>Hodnoceno bylo cekem 5 faktorů a respondenti měli také možnost v otevřené otázce uvést další faktory, které podle nich ovlivňují kvalitu v</w:t>
      </w:r>
      <w:r w:rsidR="005E75EC">
        <w:t>ý</w:t>
      </w:r>
      <w:r>
        <w:t>stupů. Nejvíce pozitivně ovlivňuje kvalitu dodaných vstupů Jednoznačnost a detailnost formulovaného zadání. Jako další významný faktor ovlivňující kvalitu výstupu byly uváděny lidské zdroje, a to jak na straně zadavatele, tak i dodavatele – kvalita jejich komunikace a spolupráce, vč. připomínkování obdržených výstupů.</w:t>
      </w:r>
      <w:bookmarkStart w:id="128" w:name="_Hlk46242660"/>
      <w:bookmarkStart w:id="129" w:name="_Hlk46242684"/>
      <w:bookmarkEnd w:id="128"/>
      <w:bookmarkEnd w:id="129"/>
      <w:r w:rsidR="006D6B73">
        <w:t xml:space="preserve"> Naopak nejhůře v hodnocení obstál faktor Jednoznačnost hodnotících kritérií a jejich váha, který pozitivně ovlivňuje kvalitu dodaných výstupů pouze dle poloviny respondentů. Z tohoto hodnocení vyplývá, že i </w:t>
      </w:r>
      <w:r w:rsidR="00883B39">
        <w:t xml:space="preserve">zařazení věcného hodnocení nabídky, příp. další kvalitativní kritéria (zkušenosti uchazeče) nejsou </w:t>
      </w:r>
      <w:r w:rsidR="0012794A">
        <w:br/>
      </w:r>
      <w:r w:rsidR="00883B39">
        <w:t>100% zárukou kvality výstupu jako celku. Detailně zpracovaná nabídka např. nemusí znamenat stejně kvalitně zpracovaný výstup nebo v případě nákupu vybavení či propagačních materiálů hraje významnější roli detailní specifikace každého produktu, který má být dodán.</w:t>
      </w:r>
    </w:p>
    <w:p w14:paraId="44C5B9AF" w14:textId="375947C7" w:rsidR="002958F7" w:rsidRDefault="002958F7" w:rsidP="002958F7">
      <w:r>
        <w:t xml:space="preserve">Názor respondentů na vývoj v oblasti hodnotících kritérií není zcela jasný. 3 respondenti uvedli, </w:t>
      </w:r>
      <w:r w:rsidR="0012794A">
        <w:br/>
      </w:r>
      <w:r>
        <w:t>že ke změnám spíše dochází, 4 oslovení se vyjádřili opačně (spíše nedochází), 1 nedokázal vývoj posoudit. Z dokumentové analýzy, konkrétně ze vzorku 5 VŘ realizovaných v letech 2017</w:t>
      </w:r>
      <w:r w:rsidR="0012794A">
        <w:t xml:space="preserve"> – </w:t>
      </w:r>
      <w:r>
        <w:t xml:space="preserve">19, také nevyplynul žádný pozorovatelný trend. Ve 3 VŘ mělo finanční hodnocení nabídky váhu 40 %, přičemž zbývajících 60 % připadalo na hodnocení metodiky, příp. zkušeností dodavatele s realizací obdobných zakázek. U jedné zakázky byly váhy v poměru 60:40 ve prospěch finančního hodnocení. U poslední </w:t>
      </w:r>
      <w:r w:rsidR="00AC6A90">
        <w:t>zakázky – Mediální</w:t>
      </w:r>
      <w:r w:rsidRPr="00555BF0">
        <w:t xml:space="preserve"> podpora </w:t>
      </w:r>
      <w:r>
        <w:t>úspor energie OP PIK</w:t>
      </w:r>
      <w:r w:rsidRPr="00555BF0">
        <w:t xml:space="preserve"> v tisku a na internetu</w:t>
      </w:r>
      <w:r>
        <w:t xml:space="preserve"> – byla jediným hodnotícím kritériem cena. V tomto případě však byla cena navázána na uchazečem garantovaný zásah mediální podpory. Na základě tohoto vzorku lze tedy pozitivně hodnotit důraz nejen na ekonomický aspekt nabídek, ale také na jejich kvalitativní, resp. věcné hodnocení.</w:t>
      </w:r>
    </w:p>
    <w:p w14:paraId="70714138" w14:textId="77777777" w:rsidR="002958F7" w:rsidRDefault="002958F7" w:rsidP="00C173BC">
      <w:pPr>
        <w:pStyle w:val="Standardntext"/>
        <w:rPr>
          <w:rFonts w:eastAsiaTheme="majorEastAsia"/>
        </w:rPr>
      </w:pPr>
      <w:r w:rsidRPr="00C173BC">
        <w:rPr>
          <w:b/>
          <w:bCs/>
          <w:color w:val="EF4350" w:themeColor="accent2"/>
        </w:rPr>
        <w:t>Vzdělávání v oblasti VZ</w:t>
      </w:r>
    </w:p>
    <w:p w14:paraId="43DFE898" w14:textId="77777777" w:rsidR="002958F7" w:rsidRDefault="002958F7" w:rsidP="002958F7">
      <w:r>
        <w:t>Jak již vyplynulo z textu výše, pro přípravu a realizaci VŘ jsou důležité znalosti a zkušenosti osob, která tato VŘ administrují. Proto je důležité zajištění adekvátního vzdělávání těchto pracovníků.</w:t>
      </w:r>
    </w:p>
    <w:p w14:paraId="7FEAF4BE" w14:textId="77777777" w:rsidR="002958F7" w:rsidRDefault="002958F7" w:rsidP="002958F7">
      <w:r>
        <w:t xml:space="preserve">Respondenti dotazníkového šetření odpověděli, že mají dostatečné znalosti pro administraci VŘ </w:t>
      </w:r>
      <w:r w:rsidR="0012794A">
        <w:br/>
      </w:r>
      <w:r>
        <w:t xml:space="preserve">(2 odpovědi Rozhodně ano a 6 odpovědí Spíše ano), přičemž pouze 2 osoby se uvedly, že se žádného </w:t>
      </w:r>
      <w:r>
        <w:lastRenderedPageBreak/>
        <w:t>vzdělávání v oblasti veřejných zakázek neúčastní (1 z API, 1 z MPO). Nicméně, v posledním roce absolvovali školení pouze 3 respondenti, všichni pracují na MPO. Ročně pak tito respondenti navštíví 2 až 3 školení.</w:t>
      </w:r>
    </w:p>
    <w:p w14:paraId="73BC21F2" w14:textId="77777777" w:rsidR="002958F7" w:rsidRDefault="002958F7" w:rsidP="002958F7">
      <w:r>
        <w:t xml:space="preserve">Školení, kterých se respondenti zúčastnili, se věnují převážně zákonu o zadávání veřejných zakázek, příp. zadávání VZ obecně. Doplňková školení jsou zaměřena např. na GDPR, MS2014+, ESIF apod. Kvalita vzdělávacích kurzů byla hodnocena známkou 2,83, tj. známkou blížící se střední hodnotě 3,0 </w:t>
      </w:r>
      <w:r w:rsidR="0012794A">
        <w:br/>
      </w:r>
      <w:r>
        <w:t>(z 5 možných úrovní). Frekvence vzdělávání je vnímána vesměs pozitivně. Kritizováno bylo pouze chybějící školení v oblasti PpVD či velmi časté opakování kurzů.</w:t>
      </w:r>
    </w:p>
    <w:p w14:paraId="136F23BF" w14:textId="77777777" w:rsidR="00A37D7B" w:rsidRPr="00AC6DE1" w:rsidRDefault="002958F7" w:rsidP="00AC6DE1">
      <w:pPr>
        <w:pStyle w:val="Nadpis1"/>
        <w:ind w:left="432" w:hanging="432"/>
        <w:rPr>
          <w:lang w:val="fr-FR"/>
        </w:rPr>
      </w:pPr>
      <w:bookmarkStart w:id="130" w:name="_Toc50456793"/>
      <w:r w:rsidRPr="0084087C">
        <w:lastRenderedPageBreak/>
        <w:t>Doplňující</w:t>
      </w:r>
      <w:r>
        <w:rPr>
          <w:lang w:val="fr-FR"/>
        </w:rPr>
        <w:t xml:space="preserve"> informace k EO 1</w:t>
      </w:r>
      <w:r w:rsidR="00AC6DE1">
        <w:rPr>
          <w:lang w:val="fr-FR"/>
        </w:rPr>
        <w:t>3</w:t>
      </w:r>
      <w:bookmarkEnd w:id="130"/>
    </w:p>
    <w:p w14:paraId="29BB2058" w14:textId="77777777" w:rsidR="002958F7" w:rsidRPr="00C173BC" w:rsidRDefault="002958F7" w:rsidP="00C173BC">
      <w:pPr>
        <w:pStyle w:val="Standardntext"/>
        <w:rPr>
          <w:b/>
          <w:bCs/>
          <w:color w:val="EF4350" w:themeColor="accent2"/>
        </w:rPr>
      </w:pPr>
      <w:r w:rsidRPr="00C173BC">
        <w:rPr>
          <w:b/>
          <w:bCs/>
          <w:color w:val="EF4350" w:themeColor="accent2"/>
        </w:rPr>
        <w:t>Doba trvání implementačních úkonů</w:t>
      </w:r>
    </w:p>
    <w:p w14:paraId="0AD48E2A" w14:textId="77237DB9" w:rsidR="00A17EBE" w:rsidRDefault="00A17EBE" w:rsidP="00A17EBE">
      <w:r w:rsidRPr="744E636D">
        <w:t>Zkoumané úkony vychází z následujících procesů uvedených v OM OP PIK. Z bloku Taktického řízení se jedná o procesy T5A, T5B a T5D, z bloku Operativního řízení pak o procesy D1</w:t>
      </w:r>
      <w:r w:rsidR="0012794A">
        <w:t xml:space="preserve"> – </w:t>
      </w:r>
      <w:r w:rsidRPr="744E636D">
        <w:t>D22.</w:t>
      </w:r>
      <w:r>
        <w:t xml:space="preserve"> Řešeny byly následující úkony:</w:t>
      </w:r>
    </w:p>
    <w:p w14:paraId="175E8B98" w14:textId="279B19A5" w:rsidR="00A17EBE" w:rsidRPr="00E133C2" w:rsidRDefault="00A17EBE" w:rsidP="00A17EBE">
      <w:pPr>
        <w:pStyle w:val="Odstavecseseznamem"/>
        <w:numPr>
          <w:ilvl w:val="0"/>
          <w:numId w:val="19"/>
        </w:numPr>
        <w:spacing w:after="160" w:line="259" w:lineRule="auto"/>
        <w:jc w:val="left"/>
      </w:pPr>
      <w:r w:rsidRPr="00E133C2">
        <w:t>Počet provedených (zkontrolovaných) ekonomických hodnocení žadatele (T5A) včetně opakování, pokud byl žadatel vyzván k</w:t>
      </w:r>
      <w:r w:rsidR="0012794A">
        <w:t> </w:t>
      </w:r>
      <w:r w:rsidRPr="00E133C2">
        <w:t>opravě</w:t>
      </w:r>
      <w:r w:rsidR="0012794A">
        <w:t>.</w:t>
      </w:r>
    </w:p>
    <w:p w14:paraId="211E11C0" w14:textId="0433971A" w:rsidR="00A17EBE" w:rsidRPr="00E133C2" w:rsidRDefault="00A17EBE" w:rsidP="00A17EBE">
      <w:pPr>
        <w:pStyle w:val="Odstavecseseznamem"/>
        <w:numPr>
          <w:ilvl w:val="0"/>
          <w:numId w:val="19"/>
        </w:numPr>
        <w:spacing w:after="160" w:line="259" w:lineRule="auto"/>
        <w:jc w:val="left"/>
      </w:pPr>
      <w:r w:rsidRPr="00E133C2">
        <w:t>Počet provedených (zkontrolovaných) ekonomických hodnocení žadatele (T5B) včetně opakování, pokud byl žadatel vyzván k</w:t>
      </w:r>
      <w:r w:rsidR="0012794A">
        <w:t> </w:t>
      </w:r>
      <w:r w:rsidRPr="00E133C2">
        <w:t>opravě</w:t>
      </w:r>
      <w:r w:rsidR="0012794A">
        <w:t>.</w:t>
      </w:r>
    </w:p>
    <w:p w14:paraId="199BA9D3" w14:textId="4A3870D9" w:rsidR="00A17EBE" w:rsidRPr="00E133C2" w:rsidRDefault="00A17EBE" w:rsidP="00A17EBE">
      <w:pPr>
        <w:pStyle w:val="Odstavecseseznamem"/>
        <w:numPr>
          <w:ilvl w:val="0"/>
          <w:numId w:val="19"/>
        </w:numPr>
        <w:spacing w:after="160" w:line="259" w:lineRule="auto"/>
        <w:jc w:val="left"/>
      </w:pPr>
      <w:r w:rsidRPr="00E133C2">
        <w:t>Počet provedených (zkontrolovaných) ověření statutu MSP žadatele (T5D) včetně opakování, pokud byl žadatel vyzván k</w:t>
      </w:r>
      <w:r w:rsidR="0012794A">
        <w:t> </w:t>
      </w:r>
      <w:r w:rsidRPr="00E133C2">
        <w:t>opravě</w:t>
      </w:r>
      <w:r w:rsidR="0012794A">
        <w:t>.</w:t>
      </w:r>
    </w:p>
    <w:p w14:paraId="03CECA8A" w14:textId="724E1BB5" w:rsidR="00A17EBE" w:rsidRPr="00E133C2" w:rsidRDefault="00A17EBE" w:rsidP="00A17EBE">
      <w:pPr>
        <w:pStyle w:val="Odstavecseseznamem"/>
        <w:numPr>
          <w:ilvl w:val="0"/>
          <w:numId w:val="19"/>
        </w:numPr>
        <w:spacing w:after="160" w:line="259" w:lineRule="auto"/>
        <w:jc w:val="left"/>
      </w:pPr>
      <w:r w:rsidRPr="00E133C2">
        <w:t>Počet zkontrolovaných žádostí o podporu I. stupeň (předběžná žádost o podporu) (D1) včetně opakování, pokud byl žadatel vyzván k</w:t>
      </w:r>
      <w:r w:rsidR="0012794A">
        <w:t> </w:t>
      </w:r>
      <w:r w:rsidRPr="00E133C2">
        <w:t>opravě</w:t>
      </w:r>
      <w:r w:rsidR="0012794A">
        <w:t>.</w:t>
      </w:r>
    </w:p>
    <w:p w14:paraId="2F3CBD2B" w14:textId="3989D7A7" w:rsidR="00A17EBE" w:rsidRPr="00E133C2" w:rsidRDefault="00A17EBE" w:rsidP="00A17EBE">
      <w:pPr>
        <w:pStyle w:val="Odstavecseseznamem"/>
        <w:numPr>
          <w:ilvl w:val="0"/>
          <w:numId w:val="19"/>
        </w:numPr>
        <w:spacing w:after="160" w:line="259" w:lineRule="auto"/>
        <w:jc w:val="left"/>
      </w:pPr>
      <w:r w:rsidRPr="00E133C2">
        <w:t>Počet zkontrolovaných žádostí o podporu II. stupeň (předběžná žádost o podporu) (D2) včetně opakování, pokud byl žadatel vyzván k</w:t>
      </w:r>
      <w:r w:rsidR="0012794A">
        <w:t> </w:t>
      </w:r>
      <w:r w:rsidRPr="00E133C2">
        <w:t>opravě</w:t>
      </w:r>
      <w:r w:rsidR="0012794A">
        <w:t>.</w:t>
      </w:r>
    </w:p>
    <w:p w14:paraId="4831D477" w14:textId="77777777" w:rsidR="00A17EBE" w:rsidRPr="00E133C2" w:rsidRDefault="00A17EBE" w:rsidP="00A17EBE">
      <w:pPr>
        <w:pStyle w:val="Odstavecseseznamem"/>
        <w:numPr>
          <w:ilvl w:val="0"/>
          <w:numId w:val="19"/>
        </w:numPr>
        <w:spacing w:after="160" w:line="259" w:lineRule="auto"/>
        <w:jc w:val="left"/>
      </w:pPr>
      <w:r w:rsidRPr="00E133C2">
        <w:t>Počet zpracovaných posudků interního hodnotitele (věcné hodnocení) (D3)</w:t>
      </w:r>
      <w:r w:rsidR="0012794A">
        <w:t>.</w:t>
      </w:r>
    </w:p>
    <w:p w14:paraId="3AB0BBC3" w14:textId="77777777" w:rsidR="00A17EBE" w:rsidRPr="00E133C2" w:rsidRDefault="00A17EBE" w:rsidP="00A17EBE">
      <w:pPr>
        <w:pStyle w:val="Odstavecseseznamem"/>
        <w:numPr>
          <w:ilvl w:val="0"/>
          <w:numId w:val="19"/>
        </w:numPr>
        <w:spacing w:after="160" w:line="259" w:lineRule="auto"/>
        <w:jc w:val="left"/>
      </w:pPr>
      <w:r w:rsidRPr="00E133C2">
        <w:t>Počet zpracovaných arbitrážních hodnocení (D3)</w:t>
      </w:r>
      <w:r w:rsidR="0012794A">
        <w:t>.</w:t>
      </w:r>
    </w:p>
    <w:p w14:paraId="291FFC36" w14:textId="77777777" w:rsidR="00A17EBE" w:rsidRPr="00E133C2" w:rsidRDefault="00A17EBE" w:rsidP="00A17EBE">
      <w:pPr>
        <w:pStyle w:val="Odstavecseseznamem"/>
        <w:numPr>
          <w:ilvl w:val="0"/>
          <w:numId w:val="19"/>
        </w:numPr>
        <w:spacing w:after="160" w:line="259" w:lineRule="auto"/>
        <w:jc w:val="left"/>
      </w:pPr>
      <w:r w:rsidRPr="00E133C2">
        <w:t>Počet zadaných externích posudků (D3)</w:t>
      </w:r>
      <w:r w:rsidR="0012794A">
        <w:t>.</w:t>
      </w:r>
    </w:p>
    <w:p w14:paraId="4B1B6B53" w14:textId="77777777" w:rsidR="00A17EBE" w:rsidRPr="00E133C2" w:rsidRDefault="00A17EBE" w:rsidP="00A17EBE">
      <w:pPr>
        <w:pStyle w:val="Odstavecseseznamem"/>
        <w:numPr>
          <w:ilvl w:val="0"/>
          <w:numId w:val="19"/>
        </w:numPr>
        <w:spacing w:after="160" w:line="259" w:lineRule="auto"/>
        <w:jc w:val="left"/>
      </w:pPr>
      <w:r w:rsidRPr="00E133C2">
        <w:t>Počet realizovaných hodnotících komisí (D4)</w:t>
      </w:r>
      <w:r w:rsidR="0012794A">
        <w:t>.</w:t>
      </w:r>
    </w:p>
    <w:p w14:paraId="75F12278" w14:textId="77777777" w:rsidR="00A17EBE" w:rsidRPr="00E133C2" w:rsidRDefault="00A17EBE" w:rsidP="00A17EBE">
      <w:pPr>
        <w:pStyle w:val="Odstavecseseznamem"/>
        <w:numPr>
          <w:ilvl w:val="0"/>
          <w:numId w:val="19"/>
        </w:numPr>
        <w:spacing w:after="160" w:line="259" w:lineRule="auto"/>
        <w:jc w:val="left"/>
      </w:pPr>
      <w:r w:rsidRPr="00E133C2">
        <w:t>Počet vydaných RoPD (D6-7)</w:t>
      </w:r>
      <w:r w:rsidR="0012794A">
        <w:t>.</w:t>
      </w:r>
    </w:p>
    <w:p w14:paraId="3EC45532" w14:textId="77777777" w:rsidR="00A17EBE" w:rsidRPr="00E133C2" w:rsidRDefault="00A17EBE" w:rsidP="00A17EBE">
      <w:pPr>
        <w:pStyle w:val="Odstavecseseznamem"/>
        <w:numPr>
          <w:ilvl w:val="0"/>
          <w:numId w:val="19"/>
        </w:numPr>
        <w:spacing w:after="160" w:line="259" w:lineRule="auto"/>
        <w:jc w:val="left"/>
      </w:pPr>
      <w:r w:rsidRPr="00E133C2">
        <w:t>Počet realizovaných přezkumných řízení (D8)</w:t>
      </w:r>
      <w:r w:rsidR="0012794A">
        <w:t>.</w:t>
      </w:r>
    </w:p>
    <w:p w14:paraId="0D0545E5" w14:textId="77777777" w:rsidR="00A17EBE" w:rsidRPr="00E133C2" w:rsidRDefault="00A17EBE" w:rsidP="00A17EBE">
      <w:pPr>
        <w:pStyle w:val="Odstavecseseznamem"/>
        <w:numPr>
          <w:ilvl w:val="0"/>
          <w:numId w:val="19"/>
        </w:numPr>
        <w:spacing w:after="160" w:line="259" w:lineRule="auto"/>
        <w:jc w:val="left"/>
      </w:pPr>
      <w:r w:rsidRPr="00E133C2">
        <w:t>Počet zpracovaných opravných posudků (D8)</w:t>
      </w:r>
      <w:r w:rsidR="0012794A">
        <w:t>.</w:t>
      </w:r>
    </w:p>
    <w:p w14:paraId="1E5716CB" w14:textId="77777777" w:rsidR="00A17EBE" w:rsidRPr="00E133C2" w:rsidRDefault="00A17EBE" w:rsidP="00A17EBE">
      <w:pPr>
        <w:pStyle w:val="Odstavecseseznamem"/>
        <w:numPr>
          <w:ilvl w:val="0"/>
          <w:numId w:val="19"/>
        </w:numPr>
        <w:spacing w:after="160" w:line="259" w:lineRule="auto"/>
        <w:jc w:val="left"/>
      </w:pPr>
      <w:r w:rsidRPr="00E133C2">
        <w:t>Počet změn projektů před vydáním rozhodnutí posuzovaných pouze PM API (D9)</w:t>
      </w:r>
      <w:r w:rsidR="0012794A">
        <w:t>.</w:t>
      </w:r>
    </w:p>
    <w:p w14:paraId="0E1230DB" w14:textId="77777777" w:rsidR="00A17EBE" w:rsidRPr="00E133C2" w:rsidRDefault="00A17EBE" w:rsidP="00A17EBE">
      <w:pPr>
        <w:pStyle w:val="Odstavecseseznamem"/>
        <w:numPr>
          <w:ilvl w:val="0"/>
          <w:numId w:val="19"/>
        </w:numPr>
        <w:spacing w:after="160" w:line="259" w:lineRule="auto"/>
        <w:jc w:val="left"/>
      </w:pPr>
      <w:r w:rsidRPr="00E133C2">
        <w:t>Počet změn projektů před vydáním rozhodnutí posuzovaných v plném rozsahu (D9)</w:t>
      </w:r>
      <w:r w:rsidR="0012794A">
        <w:t>.</w:t>
      </w:r>
    </w:p>
    <w:p w14:paraId="6AE9037E" w14:textId="77777777" w:rsidR="00A17EBE" w:rsidRPr="00E133C2" w:rsidRDefault="00A17EBE" w:rsidP="00A17EBE">
      <w:pPr>
        <w:pStyle w:val="Odstavecseseznamem"/>
        <w:numPr>
          <w:ilvl w:val="0"/>
          <w:numId w:val="19"/>
        </w:numPr>
        <w:spacing w:after="160" w:line="259" w:lineRule="auto"/>
        <w:jc w:val="left"/>
      </w:pPr>
      <w:r w:rsidRPr="00E133C2">
        <w:t>Počet změn projektů po vydání rozhodnutí (D10)</w:t>
      </w:r>
      <w:r w:rsidR="0012794A">
        <w:t>.</w:t>
      </w:r>
    </w:p>
    <w:p w14:paraId="0837F2FC" w14:textId="77777777" w:rsidR="00A17EBE" w:rsidRPr="00E133C2" w:rsidRDefault="00A17EBE" w:rsidP="00A17EBE">
      <w:pPr>
        <w:pStyle w:val="Odstavecseseznamem"/>
        <w:numPr>
          <w:ilvl w:val="0"/>
          <w:numId w:val="19"/>
        </w:numPr>
        <w:spacing w:after="160" w:line="259" w:lineRule="auto"/>
        <w:jc w:val="left"/>
      </w:pPr>
      <w:r w:rsidRPr="00E133C2">
        <w:t>Počet řešených řízení o odnětí dotace (D11)</w:t>
      </w:r>
      <w:r w:rsidR="0012794A">
        <w:t>.</w:t>
      </w:r>
    </w:p>
    <w:p w14:paraId="65716AE9" w14:textId="782306E5" w:rsidR="00A17EBE" w:rsidRPr="00E133C2" w:rsidRDefault="00A17EBE" w:rsidP="00A17EBE">
      <w:pPr>
        <w:pStyle w:val="Odstavecseseznamem"/>
        <w:numPr>
          <w:ilvl w:val="0"/>
          <w:numId w:val="19"/>
        </w:numPr>
        <w:spacing w:after="160" w:line="259" w:lineRule="auto"/>
        <w:jc w:val="left"/>
      </w:pPr>
      <w:r w:rsidRPr="00E133C2">
        <w:t>Počet kontrol zakázek před Rozhodnutím dle PpVD (D12) včetně opakování, pokud byl žadatel vyzván k</w:t>
      </w:r>
      <w:r w:rsidR="0012794A">
        <w:t> </w:t>
      </w:r>
      <w:r w:rsidRPr="00E133C2">
        <w:t>opravě</w:t>
      </w:r>
      <w:r w:rsidR="0012794A">
        <w:t>.</w:t>
      </w:r>
    </w:p>
    <w:p w14:paraId="4B1F63C8" w14:textId="72CC683D" w:rsidR="00A17EBE" w:rsidRPr="00E133C2" w:rsidRDefault="00A17EBE" w:rsidP="00A17EBE">
      <w:pPr>
        <w:pStyle w:val="Odstavecseseznamem"/>
        <w:numPr>
          <w:ilvl w:val="0"/>
          <w:numId w:val="19"/>
        </w:numPr>
        <w:spacing w:after="160" w:line="259" w:lineRule="auto"/>
        <w:jc w:val="left"/>
      </w:pPr>
      <w:r w:rsidRPr="00E133C2">
        <w:t>Počet kontrol zakázek před Rozhodnutím dle ZzVZ (D12) včetně opakování, pokud byl žadatel vyzván k</w:t>
      </w:r>
      <w:r w:rsidR="0012794A">
        <w:t> </w:t>
      </w:r>
      <w:r w:rsidRPr="00E133C2">
        <w:t>opravě</w:t>
      </w:r>
      <w:r w:rsidR="0012794A">
        <w:t>.</w:t>
      </w:r>
    </w:p>
    <w:p w14:paraId="0E43C228" w14:textId="26C7DF7A" w:rsidR="00A17EBE" w:rsidRPr="00E133C2" w:rsidRDefault="00A17EBE" w:rsidP="00A17EBE">
      <w:pPr>
        <w:pStyle w:val="Odstavecseseznamem"/>
        <w:numPr>
          <w:ilvl w:val="0"/>
          <w:numId w:val="19"/>
        </w:numPr>
        <w:spacing w:after="160" w:line="259" w:lineRule="auto"/>
        <w:jc w:val="left"/>
      </w:pPr>
      <w:r w:rsidRPr="00E133C2">
        <w:t>Počet kontrol zakázek po Rozhodnutí dle PpVD v I. stupni (D12) včetně opakování, pokud byl příjemce vyzván k</w:t>
      </w:r>
      <w:r w:rsidR="0012794A">
        <w:t> </w:t>
      </w:r>
      <w:r w:rsidRPr="00E133C2">
        <w:t>opravě</w:t>
      </w:r>
      <w:r w:rsidR="0012794A">
        <w:t>.</w:t>
      </w:r>
    </w:p>
    <w:p w14:paraId="587C2B7B" w14:textId="5CD513C6" w:rsidR="00A17EBE" w:rsidRPr="00E133C2" w:rsidRDefault="00A17EBE" w:rsidP="00A17EBE">
      <w:pPr>
        <w:pStyle w:val="Odstavecseseznamem"/>
        <w:numPr>
          <w:ilvl w:val="0"/>
          <w:numId w:val="19"/>
        </w:numPr>
        <w:spacing w:after="160" w:line="259" w:lineRule="auto"/>
        <w:jc w:val="left"/>
      </w:pPr>
      <w:r w:rsidRPr="00E133C2">
        <w:t>Počet kontrol zakázek po Rozhodnutí dle PpVD ve II. stupni (D12) včetně opakování, pokud byl příjemce vyzván k</w:t>
      </w:r>
      <w:r w:rsidR="0012794A">
        <w:t> </w:t>
      </w:r>
      <w:r w:rsidRPr="00E133C2">
        <w:t>opravě</w:t>
      </w:r>
      <w:r w:rsidR="0012794A">
        <w:t>.</w:t>
      </w:r>
    </w:p>
    <w:p w14:paraId="2E9CFB4E" w14:textId="75648591" w:rsidR="00A17EBE" w:rsidRPr="00E133C2" w:rsidRDefault="00A17EBE" w:rsidP="00A17EBE">
      <w:pPr>
        <w:pStyle w:val="Odstavecseseznamem"/>
        <w:numPr>
          <w:ilvl w:val="0"/>
          <w:numId w:val="19"/>
        </w:numPr>
        <w:spacing w:after="160" w:line="259" w:lineRule="auto"/>
        <w:jc w:val="left"/>
      </w:pPr>
      <w:r w:rsidRPr="00E133C2">
        <w:t>Počet kontrol zakázek po Rozhodnutí dle PpVD ve III. stupni (D12) včetně opakování, pokud byl příjemce vyzván k</w:t>
      </w:r>
      <w:r w:rsidR="0012794A">
        <w:t> </w:t>
      </w:r>
      <w:r w:rsidRPr="00E133C2">
        <w:t>opravě</w:t>
      </w:r>
      <w:r w:rsidR="0012794A">
        <w:t>.</w:t>
      </w:r>
    </w:p>
    <w:p w14:paraId="5761AF35" w14:textId="2C65086F" w:rsidR="00A17EBE" w:rsidRPr="00E133C2" w:rsidRDefault="00A17EBE" w:rsidP="00A17EBE">
      <w:pPr>
        <w:pStyle w:val="Odstavecseseznamem"/>
        <w:numPr>
          <w:ilvl w:val="0"/>
          <w:numId w:val="19"/>
        </w:numPr>
        <w:spacing w:after="160" w:line="259" w:lineRule="auto"/>
        <w:jc w:val="left"/>
      </w:pPr>
      <w:r w:rsidRPr="00E133C2">
        <w:t>Počet kontrol zakázek po Rozhodnutí dle ZzVZ v I. stupni (D12) včetně opakování, pokud byl příjemce vyzván k</w:t>
      </w:r>
      <w:r w:rsidR="0012794A">
        <w:t> </w:t>
      </w:r>
      <w:r w:rsidRPr="00E133C2">
        <w:t>opravě</w:t>
      </w:r>
      <w:r w:rsidR="0012794A">
        <w:t>.</w:t>
      </w:r>
    </w:p>
    <w:p w14:paraId="598B7638" w14:textId="3B014E6F" w:rsidR="00A17EBE" w:rsidRPr="00E133C2" w:rsidRDefault="00A17EBE" w:rsidP="00A17EBE">
      <w:pPr>
        <w:pStyle w:val="Odstavecseseznamem"/>
        <w:numPr>
          <w:ilvl w:val="0"/>
          <w:numId w:val="19"/>
        </w:numPr>
        <w:spacing w:after="160" w:line="259" w:lineRule="auto"/>
        <w:jc w:val="left"/>
      </w:pPr>
      <w:r w:rsidRPr="00E133C2">
        <w:t>Počet kontrol zakázek po Rozhodnutí dle ZzVZ ve II. stupni (D12) včetně opakování, pokud byl příjemce vyzván k</w:t>
      </w:r>
      <w:r w:rsidR="0012794A">
        <w:t> </w:t>
      </w:r>
      <w:r w:rsidRPr="00E133C2">
        <w:t>opravě</w:t>
      </w:r>
      <w:r w:rsidR="0012794A">
        <w:t>.</w:t>
      </w:r>
    </w:p>
    <w:p w14:paraId="564326BF" w14:textId="3C2AD66F" w:rsidR="00A17EBE" w:rsidRPr="00E133C2" w:rsidRDefault="00A17EBE" w:rsidP="00A17EBE">
      <w:pPr>
        <w:pStyle w:val="Odstavecseseznamem"/>
        <w:numPr>
          <w:ilvl w:val="0"/>
          <w:numId w:val="19"/>
        </w:numPr>
        <w:spacing w:after="160" w:line="259" w:lineRule="auto"/>
        <w:jc w:val="left"/>
      </w:pPr>
      <w:r w:rsidRPr="00E133C2">
        <w:t>Počet kontrol zakázek po Rozhodnutí dle ZzVZ ve III. stupni (D12) včetně opakování, pokud byl příjemce vyzván k</w:t>
      </w:r>
      <w:r w:rsidR="0012794A">
        <w:t> </w:t>
      </w:r>
      <w:r w:rsidRPr="00E133C2">
        <w:t>opravě</w:t>
      </w:r>
      <w:r w:rsidR="0012794A">
        <w:t>.</w:t>
      </w:r>
    </w:p>
    <w:p w14:paraId="69325682" w14:textId="52713F8F" w:rsidR="00A17EBE" w:rsidRPr="00E133C2" w:rsidRDefault="00A17EBE" w:rsidP="00A17EBE">
      <w:pPr>
        <w:pStyle w:val="Odstavecseseznamem"/>
        <w:numPr>
          <w:ilvl w:val="0"/>
          <w:numId w:val="19"/>
        </w:numPr>
        <w:spacing w:after="160" w:line="259" w:lineRule="auto"/>
        <w:jc w:val="left"/>
      </w:pPr>
      <w:r w:rsidRPr="00E133C2">
        <w:lastRenderedPageBreak/>
        <w:t>Počet kontrol ŽoP v I. stupni (úplnost a finanční kontrola) (D16) včetně opakování, pokud byl příjemce vyzván k</w:t>
      </w:r>
      <w:r w:rsidR="0012794A">
        <w:t> </w:t>
      </w:r>
      <w:r w:rsidRPr="00E133C2">
        <w:t>opravě</w:t>
      </w:r>
      <w:r w:rsidR="0012794A">
        <w:t>.</w:t>
      </w:r>
    </w:p>
    <w:p w14:paraId="4B2DB35C" w14:textId="5DA0259E" w:rsidR="00A17EBE" w:rsidRPr="00E133C2" w:rsidRDefault="00A17EBE" w:rsidP="00A17EBE">
      <w:pPr>
        <w:pStyle w:val="Odstavecseseznamem"/>
        <w:numPr>
          <w:ilvl w:val="0"/>
          <w:numId w:val="19"/>
        </w:numPr>
        <w:spacing w:after="160" w:line="259" w:lineRule="auto"/>
        <w:jc w:val="left"/>
      </w:pPr>
      <w:r w:rsidRPr="00E133C2">
        <w:t>Počet kontrolovaných průběžných zpráv (D17) včetně opakování, pokud byl příjemce vyzván k</w:t>
      </w:r>
      <w:r w:rsidR="0012794A">
        <w:t> </w:t>
      </w:r>
      <w:r w:rsidRPr="00E133C2">
        <w:t>opravě</w:t>
      </w:r>
      <w:r w:rsidR="0012794A">
        <w:t>.</w:t>
      </w:r>
    </w:p>
    <w:p w14:paraId="3346AD1C" w14:textId="63D001FA" w:rsidR="00A17EBE" w:rsidRPr="00E133C2" w:rsidRDefault="00A17EBE" w:rsidP="00A17EBE">
      <w:pPr>
        <w:pStyle w:val="Odstavecseseznamem"/>
        <w:numPr>
          <w:ilvl w:val="0"/>
          <w:numId w:val="19"/>
        </w:numPr>
        <w:spacing w:after="160" w:line="259" w:lineRule="auto"/>
        <w:jc w:val="left"/>
      </w:pPr>
      <w:r w:rsidRPr="00E133C2">
        <w:t>Počet kontrolovaných závěrečných zpráv (D17) včetně opakování, pokud byl příjemce vyzván k</w:t>
      </w:r>
      <w:r w:rsidR="0012794A">
        <w:t> </w:t>
      </w:r>
      <w:r w:rsidRPr="00E133C2">
        <w:t>opravě</w:t>
      </w:r>
      <w:r w:rsidR="0012794A">
        <w:t>.</w:t>
      </w:r>
    </w:p>
    <w:p w14:paraId="396BD919" w14:textId="3DE8BD05" w:rsidR="00A17EBE" w:rsidRPr="00E133C2" w:rsidRDefault="00A17EBE" w:rsidP="00A17EBE">
      <w:pPr>
        <w:pStyle w:val="Odstavecseseznamem"/>
        <w:numPr>
          <w:ilvl w:val="0"/>
          <w:numId w:val="19"/>
        </w:numPr>
        <w:spacing w:after="160" w:line="259" w:lineRule="auto"/>
        <w:jc w:val="left"/>
      </w:pPr>
      <w:r w:rsidRPr="00E133C2">
        <w:t>Počet kontrolovaných IoP projektu (D17) včetně opakování, pokud byl příjemce vyzván k</w:t>
      </w:r>
      <w:r w:rsidR="0012794A">
        <w:t> </w:t>
      </w:r>
      <w:r w:rsidRPr="00E133C2">
        <w:t>opravě</w:t>
      </w:r>
      <w:r w:rsidR="0012794A">
        <w:t>.</w:t>
      </w:r>
    </w:p>
    <w:p w14:paraId="79746A52" w14:textId="77777777" w:rsidR="00A17EBE" w:rsidRPr="00E133C2" w:rsidRDefault="00A17EBE" w:rsidP="00A17EBE">
      <w:pPr>
        <w:pStyle w:val="Odstavecseseznamem"/>
        <w:numPr>
          <w:ilvl w:val="0"/>
          <w:numId w:val="19"/>
        </w:numPr>
        <w:spacing w:after="160" w:line="259" w:lineRule="auto"/>
        <w:jc w:val="left"/>
      </w:pPr>
      <w:r w:rsidRPr="00E133C2">
        <w:t>Počet realizovaných kontrol na místě (D18)</w:t>
      </w:r>
      <w:r w:rsidR="0012794A">
        <w:t>.</w:t>
      </w:r>
    </w:p>
    <w:p w14:paraId="021FCE9E" w14:textId="77777777" w:rsidR="00A17EBE" w:rsidRPr="00E133C2" w:rsidRDefault="00A17EBE" w:rsidP="00A17EBE">
      <w:pPr>
        <w:pStyle w:val="Odstavecseseznamem"/>
        <w:numPr>
          <w:ilvl w:val="0"/>
          <w:numId w:val="19"/>
        </w:numPr>
        <w:spacing w:after="160" w:line="259" w:lineRule="auto"/>
        <w:jc w:val="left"/>
      </w:pPr>
      <w:r w:rsidRPr="00E133C2">
        <w:t>Počet kontrol ŽoP v I. stupni (věcná) (D19)</w:t>
      </w:r>
      <w:r w:rsidR="0012794A">
        <w:t>.</w:t>
      </w:r>
    </w:p>
    <w:p w14:paraId="19463C92" w14:textId="77777777" w:rsidR="00A17EBE" w:rsidRPr="00E133C2" w:rsidRDefault="00A17EBE" w:rsidP="00A17EBE">
      <w:pPr>
        <w:pStyle w:val="Odstavecseseznamem"/>
        <w:numPr>
          <w:ilvl w:val="0"/>
          <w:numId w:val="19"/>
        </w:numPr>
        <w:spacing w:after="160" w:line="259" w:lineRule="auto"/>
        <w:jc w:val="left"/>
      </w:pPr>
      <w:r w:rsidRPr="00E133C2">
        <w:t>Počet krácených ŽoP dle §14e (D20)</w:t>
      </w:r>
      <w:r w:rsidR="0012794A">
        <w:t>.</w:t>
      </w:r>
    </w:p>
    <w:p w14:paraId="368E7739" w14:textId="77777777" w:rsidR="00A17EBE" w:rsidRPr="00E133C2" w:rsidRDefault="00A17EBE" w:rsidP="00A17EBE">
      <w:pPr>
        <w:pStyle w:val="Odstavecseseznamem"/>
        <w:numPr>
          <w:ilvl w:val="0"/>
          <w:numId w:val="19"/>
        </w:numPr>
        <w:spacing w:after="160" w:line="259" w:lineRule="auto"/>
        <w:jc w:val="left"/>
      </w:pPr>
      <w:r w:rsidRPr="00E133C2">
        <w:t>Počet kontrol ŽoP ve II. stupni (autorizace) (D21)</w:t>
      </w:r>
      <w:r w:rsidR="0012794A">
        <w:t>.</w:t>
      </w:r>
    </w:p>
    <w:p w14:paraId="12808972" w14:textId="24A8438E" w:rsidR="00A17EBE" w:rsidRPr="00E133C2" w:rsidRDefault="00A17EBE" w:rsidP="00A17EBE">
      <w:pPr>
        <w:pStyle w:val="Odstavecseseznamem"/>
        <w:numPr>
          <w:ilvl w:val="0"/>
          <w:numId w:val="19"/>
        </w:numPr>
        <w:spacing w:after="160" w:line="259" w:lineRule="auto"/>
        <w:jc w:val="left"/>
      </w:pPr>
      <w:r w:rsidRPr="00E133C2">
        <w:t>Počet administrovaných průběžných zpráv o udržitelnosti projektu (D22) včetně opakování, pokud byl příjemce vyzván k</w:t>
      </w:r>
      <w:r w:rsidR="0012794A">
        <w:t> </w:t>
      </w:r>
      <w:r w:rsidRPr="00E133C2">
        <w:t>opravě</w:t>
      </w:r>
      <w:r w:rsidR="0012794A">
        <w:t>.</w:t>
      </w:r>
    </w:p>
    <w:p w14:paraId="682595AE" w14:textId="66347726" w:rsidR="00A17EBE" w:rsidRDefault="00A17EBE" w:rsidP="00A17EBE">
      <w:pPr>
        <w:pStyle w:val="Odstavecseseznamem"/>
        <w:numPr>
          <w:ilvl w:val="0"/>
          <w:numId w:val="19"/>
        </w:numPr>
        <w:spacing w:after="160" w:line="259" w:lineRule="auto"/>
        <w:jc w:val="left"/>
      </w:pPr>
      <w:r>
        <w:t>Počet administrovaných závěrečných zpráv o udržitelnosti projektu (D22) včetně opakování, pokud byl příjemce vyzván k</w:t>
      </w:r>
      <w:r w:rsidR="0012794A">
        <w:t> </w:t>
      </w:r>
      <w:r>
        <w:t>opravě</w:t>
      </w:r>
      <w:r w:rsidR="0012794A">
        <w:t>.</w:t>
      </w:r>
    </w:p>
    <w:p w14:paraId="04EC280E" w14:textId="77777777" w:rsidR="002958F7" w:rsidRDefault="002958F7" w:rsidP="002958F7">
      <w:r>
        <w:t xml:space="preserve">Dotazník, který byl rozesílán vedoucím pracovníkům útvarů, jejichž hlavní náplní jsou právě úkony v rámci hlavních procesů implementace OP PIK, sbíral krom odpovědí na časovou náročnost úkonů také informace o těchto úkonech. Co ovlivňuje časovou náročnost i délku samotného procesu, zda existují rozdíly mezi programy či prioritními osami nebo, zda by bylo možné snížit časovou náročnost daného úkonu. </w:t>
      </w:r>
    </w:p>
    <w:p w14:paraId="72C94D84" w14:textId="77777777" w:rsidR="002958F7" w:rsidRDefault="002958F7" w:rsidP="002958F7">
      <w:r>
        <w:t>Dotazníkem bylo osloveno 5 odborů ZS – všechny odbory ze Sekce rozvoje podnikatelského prostředí a ze Sekce konkurenceschopnosti a jeden ze Sekce řízení a podpory fondů EU. Celkově byl tedy dotazník rozeslán 16 vedoucím oddělení a 5 ředitelům odborů. V rámci ŘO byli osloveni 4 ředitelé odborů, 3 vedoucí oddělení a 1 poradce NM, tj. celkem 8 osob.</w:t>
      </w:r>
    </w:p>
    <w:p w14:paraId="2FAFB624" w14:textId="77777777" w:rsidR="002958F7" w:rsidRDefault="002958F7" w:rsidP="002958F7">
      <w:r>
        <w:t>Z tohoto šetření se vrátilo 12 odpovědí, přičemž 11 z ZS. Bohužel odpovědí z oddělení ze sekcí konkurenceschopnosti a rozvoje podnikatelského prostředí přišlo pouze 5 a dotazník většinou neobsahoval odpovědi na všechny úkony, které dané oddělení vykonává. I přes opakované rozesílání dotazníku tak došlo k tomu, že nebyla získána žádná data 5 následujícím úkonům:</w:t>
      </w:r>
    </w:p>
    <w:p w14:paraId="02EB6038" w14:textId="05CBE179" w:rsidR="002958F7" w:rsidRDefault="002958F7" w:rsidP="002958F7">
      <w:pPr>
        <w:pStyle w:val="Odstavecseseznamem"/>
        <w:numPr>
          <w:ilvl w:val="0"/>
          <w:numId w:val="19"/>
        </w:numPr>
        <w:spacing w:after="160" w:line="259" w:lineRule="auto"/>
        <w:jc w:val="left"/>
      </w:pPr>
      <w:r>
        <w:t>Počet provedených (zkontrolovaných) ekonomických hodnocení žadatele (T5A) včetně opakování, pokud byl žadatel vyzván k</w:t>
      </w:r>
      <w:r w:rsidR="006F1F4B">
        <w:t> </w:t>
      </w:r>
      <w:r>
        <w:t>opravě</w:t>
      </w:r>
      <w:r w:rsidR="006F1F4B">
        <w:t>.</w:t>
      </w:r>
    </w:p>
    <w:p w14:paraId="1AD6EF5B" w14:textId="77777777" w:rsidR="002958F7" w:rsidRDefault="002958F7" w:rsidP="002958F7">
      <w:pPr>
        <w:pStyle w:val="Odstavecseseznamem"/>
        <w:numPr>
          <w:ilvl w:val="0"/>
          <w:numId w:val="19"/>
        </w:numPr>
        <w:spacing w:after="160" w:line="259" w:lineRule="auto"/>
        <w:jc w:val="left"/>
      </w:pPr>
      <w:r>
        <w:t xml:space="preserve">Počet provedených (zkontrolovaných) ekonomických hodnocení žadatele (T5B) včetně opakování, pokud byl žadatel vyzván k opravě </w:t>
      </w:r>
      <w:r w:rsidR="006F1F4B">
        <w:t>.</w:t>
      </w:r>
    </w:p>
    <w:p w14:paraId="42A93394" w14:textId="79958B50" w:rsidR="002958F7" w:rsidRDefault="002958F7" w:rsidP="002958F7">
      <w:pPr>
        <w:pStyle w:val="Odstavecseseznamem"/>
        <w:numPr>
          <w:ilvl w:val="0"/>
          <w:numId w:val="19"/>
        </w:numPr>
        <w:spacing w:after="160" w:line="259" w:lineRule="auto"/>
        <w:jc w:val="left"/>
      </w:pPr>
      <w:r w:rsidRPr="004068DB">
        <w:t>Počet zkontrolovaných žádostí o podporu I. stupeň (předběžná žádost o podporu) (D1) včetně opakování, pokud byl žadatel vyzván k</w:t>
      </w:r>
      <w:r w:rsidR="006F1F4B">
        <w:t> </w:t>
      </w:r>
      <w:r w:rsidRPr="004068DB">
        <w:t>opravě</w:t>
      </w:r>
      <w:r w:rsidR="006F1F4B">
        <w:t>.</w:t>
      </w:r>
    </w:p>
    <w:p w14:paraId="702C841D" w14:textId="790E6A47" w:rsidR="002958F7" w:rsidRDefault="002958F7" w:rsidP="002958F7">
      <w:pPr>
        <w:pStyle w:val="Odstavecseseznamem"/>
        <w:numPr>
          <w:ilvl w:val="0"/>
          <w:numId w:val="19"/>
        </w:numPr>
        <w:spacing w:after="160" w:line="259" w:lineRule="auto"/>
        <w:jc w:val="left"/>
      </w:pPr>
      <w:r w:rsidRPr="00B86BB9">
        <w:t>Počet kontrolovaných IoP projektu (D17) včetně opakování, pokud byl příjemce vyzván k</w:t>
      </w:r>
      <w:r w:rsidR="006F1F4B">
        <w:t> </w:t>
      </w:r>
      <w:r w:rsidRPr="00B86BB9">
        <w:t>opravě</w:t>
      </w:r>
      <w:r w:rsidR="006F1F4B">
        <w:t>.</w:t>
      </w:r>
      <w:r w:rsidRPr="00B86BB9">
        <w:t xml:space="preserve"> </w:t>
      </w:r>
    </w:p>
    <w:p w14:paraId="76D53415" w14:textId="77777777" w:rsidR="002958F7" w:rsidRDefault="002958F7" w:rsidP="002958F7">
      <w:pPr>
        <w:pStyle w:val="Odstavecseseznamem"/>
        <w:numPr>
          <w:ilvl w:val="0"/>
          <w:numId w:val="19"/>
        </w:numPr>
        <w:spacing w:after="160" w:line="259" w:lineRule="auto"/>
        <w:jc w:val="left"/>
      </w:pPr>
      <w:r w:rsidRPr="00B86BB9">
        <w:t>Počet realizovaných kontrol na místě (D18)</w:t>
      </w:r>
      <w:r w:rsidR="006F1F4B">
        <w:t>.</w:t>
      </w:r>
      <w:r w:rsidRPr="00B86BB9">
        <w:t xml:space="preserve"> </w:t>
      </w:r>
    </w:p>
    <w:p w14:paraId="6C3C0B07" w14:textId="77777777" w:rsidR="002958F7" w:rsidRDefault="002958F7" w:rsidP="002958F7">
      <w:pPr>
        <w:pStyle w:val="Odstavecseseznamem"/>
        <w:numPr>
          <w:ilvl w:val="0"/>
          <w:numId w:val="19"/>
        </w:numPr>
        <w:spacing w:after="160" w:line="259" w:lineRule="auto"/>
        <w:jc w:val="left"/>
      </w:pPr>
      <w:r w:rsidRPr="00B86BB9">
        <w:t>Počet kontrol ŽoP ve II. stupni (autorizace) (D21)</w:t>
      </w:r>
      <w:r w:rsidR="006F1F4B">
        <w:t>.</w:t>
      </w:r>
      <w:r w:rsidRPr="00B86BB9">
        <w:t xml:space="preserve"> </w:t>
      </w:r>
    </w:p>
    <w:p w14:paraId="5680000E" w14:textId="77777777" w:rsidR="002958F7" w:rsidRDefault="002958F7" w:rsidP="002958F7">
      <w:r>
        <w:t>Z dalšího hodnocení byly vyřazeny také ty úkony, které tvořily marginální část agendy útvaru, který se jimi zaobírá. U těchto útvarů by tak nebylo možné určit, zda je jejich administrativní kapacita optimální. Jedná se o tyto procesy:</w:t>
      </w:r>
    </w:p>
    <w:p w14:paraId="078F0450" w14:textId="77777777" w:rsidR="002958F7" w:rsidRDefault="002958F7" w:rsidP="002958F7">
      <w:pPr>
        <w:pStyle w:val="Odstavecseseznamem"/>
        <w:numPr>
          <w:ilvl w:val="0"/>
          <w:numId w:val="20"/>
        </w:numPr>
        <w:spacing w:after="160" w:line="259" w:lineRule="auto"/>
        <w:jc w:val="left"/>
      </w:pPr>
      <w:r>
        <w:lastRenderedPageBreak/>
        <w:t>Počet zpracovaných arbitrážních hodnocení (D3)</w:t>
      </w:r>
      <w:r w:rsidR="006F1F4B">
        <w:t>.</w:t>
      </w:r>
    </w:p>
    <w:p w14:paraId="14A521C5" w14:textId="77777777" w:rsidR="002958F7" w:rsidRDefault="002958F7" w:rsidP="002958F7">
      <w:pPr>
        <w:pStyle w:val="Odstavecseseznamem"/>
        <w:numPr>
          <w:ilvl w:val="0"/>
          <w:numId w:val="20"/>
        </w:numPr>
        <w:spacing w:after="160" w:line="259" w:lineRule="auto"/>
        <w:jc w:val="left"/>
      </w:pPr>
      <w:r>
        <w:t>Počet zadaných externích posudků (D3)</w:t>
      </w:r>
      <w:r w:rsidR="006F1F4B">
        <w:t>.</w:t>
      </w:r>
    </w:p>
    <w:p w14:paraId="1E0D3898" w14:textId="39102D7D" w:rsidR="002958F7" w:rsidRDefault="002958F7" w:rsidP="002958F7">
      <w:pPr>
        <w:pStyle w:val="Odstavecseseznamem"/>
        <w:numPr>
          <w:ilvl w:val="0"/>
          <w:numId w:val="20"/>
        </w:numPr>
        <w:spacing w:after="160" w:line="259" w:lineRule="auto"/>
        <w:jc w:val="left"/>
      </w:pPr>
      <w:r>
        <w:t>Počet administrovaných průběžných zpráv o udržitelnosti projektu (D22) včetně opakování, pokud byl příjemce vyzván k</w:t>
      </w:r>
      <w:r w:rsidR="006F1F4B">
        <w:t> </w:t>
      </w:r>
      <w:r>
        <w:t>opravě</w:t>
      </w:r>
      <w:r w:rsidR="006F1F4B">
        <w:t>.</w:t>
      </w:r>
    </w:p>
    <w:p w14:paraId="7C40D144" w14:textId="3CADEC74" w:rsidR="002958F7" w:rsidRDefault="002958F7" w:rsidP="002958F7">
      <w:pPr>
        <w:pStyle w:val="Odstavecseseznamem"/>
        <w:numPr>
          <w:ilvl w:val="0"/>
          <w:numId w:val="20"/>
        </w:numPr>
        <w:spacing w:after="160" w:line="259" w:lineRule="auto"/>
        <w:jc w:val="left"/>
      </w:pPr>
      <w:r>
        <w:t>Počet administrovaných závěrečných zpráv o udržitelnosti projektu (D22) včetně opakování, pokud byl příjemce vyzván k</w:t>
      </w:r>
      <w:r w:rsidR="006F1F4B">
        <w:t> </w:t>
      </w:r>
      <w:r>
        <w:t>opravě</w:t>
      </w:r>
      <w:r w:rsidR="006F1F4B">
        <w:t>.</w:t>
      </w:r>
    </w:p>
    <w:p w14:paraId="5DA92ACB" w14:textId="77777777" w:rsidR="002958F7" w:rsidRDefault="002958F7" w:rsidP="002958F7">
      <w:r>
        <w:t>K ostatním úkonům se podařilo většinou získat jen jeden nebo maximálně dva odhady jejich časové náročnosti. Níže uvedené závěry tak primárně vycházejí z dotazníku Odboru ICT programů a podpory MSP, v němž bylo vyplněno nejvíce údajů. Výsledné doby trvání jednotlivých úkonů shrnuje níže uvedená tabulka. Ačkoliv informace o době trvání kontroly na místě nebyly dotazníkovým šetřením zjištěny, byly doplněny na základě řízeného rozhovoru s ředitelem odboru 61500. Kontroly na místě jsou časově velice náročné, a pokud by jejich doba trvání nebyla známá, nebylo by možné blíže specifikovat, zda je administrativní kapacita odpovídající či nikoliv.</w:t>
      </w:r>
    </w:p>
    <w:p w14:paraId="3DDB88C9" w14:textId="0CFCA14F" w:rsidR="002958F7" w:rsidRDefault="002958F7" w:rsidP="002958F7">
      <w:pPr>
        <w:pStyle w:val="Titulek"/>
      </w:pPr>
      <w:bookmarkStart w:id="131" w:name="_Toc50456757"/>
      <w:r>
        <w:t xml:space="preserve">Tabulka </w:t>
      </w:r>
      <w:r w:rsidR="00C050DB">
        <w:fldChar w:fldCharType="begin"/>
      </w:r>
      <w:r w:rsidR="00C050DB">
        <w:instrText xml:space="preserve"> SEQ Tabulka \* ARABIC </w:instrText>
      </w:r>
      <w:r w:rsidR="00C050DB">
        <w:fldChar w:fldCharType="separate"/>
      </w:r>
      <w:r w:rsidR="00E96F43">
        <w:rPr>
          <w:noProof/>
        </w:rPr>
        <w:t>24</w:t>
      </w:r>
      <w:r w:rsidR="00C050DB">
        <w:rPr>
          <w:noProof/>
        </w:rPr>
        <w:fldChar w:fldCharType="end"/>
      </w:r>
      <w:r>
        <w:t>: Počet úkonů a délka jejich trvání</w:t>
      </w:r>
      <w:bookmarkEnd w:id="131"/>
    </w:p>
    <w:tbl>
      <w:tblPr>
        <w:tblStyle w:val="Styl1"/>
        <w:tblW w:w="5000" w:type="pct"/>
        <w:tblLook w:val="04A0" w:firstRow="1" w:lastRow="0" w:firstColumn="1" w:lastColumn="0" w:noHBand="0" w:noVBand="1"/>
      </w:tblPr>
      <w:tblGrid>
        <w:gridCol w:w="5902"/>
        <w:gridCol w:w="1360"/>
        <w:gridCol w:w="1810"/>
      </w:tblGrid>
      <w:tr w:rsidR="002958F7" w:rsidRPr="00AE2CE6" w14:paraId="0ACB14C7" w14:textId="77777777" w:rsidTr="00C173BC">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3550" w:type="pct"/>
            <w:vMerge w:val="restart"/>
            <w:hideMark/>
          </w:tcPr>
          <w:p w14:paraId="2A1B5519" w14:textId="77777777" w:rsidR="002958F7" w:rsidRPr="004561DD" w:rsidRDefault="002958F7" w:rsidP="00C173BC">
            <w:pPr>
              <w:rPr>
                <w:rFonts w:ascii="Times New Roman" w:eastAsia="Times New Roman" w:hAnsi="Times New Roman" w:cs="Times New Roman"/>
                <w:sz w:val="24"/>
                <w:szCs w:val="24"/>
                <w:lang w:eastAsia="cs-CZ"/>
              </w:rPr>
            </w:pPr>
          </w:p>
        </w:tc>
        <w:tc>
          <w:tcPr>
            <w:tcW w:w="1450" w:type="pct"/>
            <w:gridSpan w:val="2"/>
            <w:hideMark/>
          </w:tcPr>
          <w:p w14:paraId="759C5DE5" w14:textId="77777777" w:rsidR="002958F7" w:rsidRPr="004561DD" w:rsidRDefault="002958F7" w:rsidP="00C173B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cs-CZ"/>
              </w:rPr>
            </w:pPr>
            <w:r w:rsidRPr="004561DD">
              <w:rPr>
                <w:rFonts w:ascii="Calibri" w:eastAsia="Times New Roman" w:hAnsi="Calibri" w:cs="Calibri"/>
                <w:lang w:eastAsia="cs-CZ"/>
              </w:rPr>
              <w:t>Celkem</w:t>
            </w:r>
          </w:p>
        </w:tc>
      </w:tr>
      <w:tr w:rsidR="002958F7" w:rsidRPr="00AE2CE6" w14:paraId="2DC4657B" w14:textId="77777777" w:rsidTr="00C173B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50" w:type="pct"/>
            <w:vMerge/>
            <w:hideMark/>
          </w:tcPr>
          <w:p w14:paraId="2BE8D010" w14:textId="77777777" w:rsidR="002958F7" w:rsidRPr="004561DD" w:rsidRDefault="002958F7" w:rsidP="00C173BC">
            <w:pPr>
              <w:rPr>
                <w:rFonts w:ascii="Times New Roman" w:eastAsia="Times New Roman" w:hAnsi="Times New Roman" w:cs="Times New Roman"/>
                <w:color w:val="FFFFFF" w:themeColor="background1"/>
                <w:sz w:val="24"/>
                <w:szCs w:val="24"/>
                <w:lang w:eastAsia="cs-CZ"/>
              </w:rPr>
            </w:pPr>
          </w:p>
        </w:tc>
        <w:tc>
          <w:tcPr>
            <w:tcW w:w="750" w:type="pct"/>
            <w:shd w:val="clear" w:color="auto" w:fill="0D3B5E" w:themeFill="accent1"/>
            <w:noWrap/>
            <w:hideMark/>
          </w:tcPr>
          <w:p w14:paraId="1D82D161" w14:textId="77777777" w:rsidR="002958F7" w:rsidRPr="004561DD" w:rsidRDefault="002958F7" w:rsidP="00C173B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eastAsia="cs-CZ"/>
              </w:rPr>
            </w:pPr>
            <w:r w:rsidRPr="004561DD">
              <w:rPr>
                <w:rFonts w:ascii="Calibri" w:eastAsia="Times New Roman" w:hAnsi="Calibri" w:cs="Calibri"/>
                <w:b/>
                <w:bCs/>
                <w:color w:val="FFFFFF" w:themeColor="background1"/>
                <w:lang w:eastAsia="cs-CZ"/>
              </w:rPr>
              <w:t>počet úkonů</w:t>
            </w:r>
          </w:p>
        </w:tc>
        <w:tc>
          <w:tcPr>
            <w:tcW w:w="700" w:type="pct"/>
            <w:shd w:val="clear" w:color="auto" w:fill="0D3B5E" w:themeFill="accent1"/>
            <w:noWrap/>
            <w:hideMark/>
          </w:tcPr>
          <w:p w14:paraId="3EA7285E" w14:textId="77777777" w:rsidR="002958F7" w:rsidRPr="004561DD" w:rsidRDefault="002958F7" w:rsidP="00C173B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eastAsia="cs-CZ"/>
              </w:rPr>
            </w:pPr>
            <w:r w:rsidRPr="004561DD">
              <w:rPr>
                <w:rFonts w:ascii="Calibri" w:eastAsia="Times New Roman" w:hAnsi="Calibri" w:cs="Calibri"/>
                <w:b/>
                <w:bCs/>
                <w:color w:val="FFFFFF" w:themeColor="background1"/>
                <w:lang w:eastAsia="cs-CZ"/>
              </w:rPr>
              <w:t>doba trvání (hod)</w:t>
            </w:r>
          </w:p>
        </w:tc>
      </w:tr>
      <w:tr w:rsidR="002958F7" w:rsidRPr="00AE2CE6" w14:paraId="5AF1431B" w14:textId="77777777" w:rsidTr="00C173BC">
        <w:trPr>
          <w:trHeight w:val="288"/>
        </w:trPr>
        <w:tc>
          <w:tcPr>
            <w:cnfStyle w:val="001000000000" w:firstRow="0" w:lastRow="0" w:firstColumn="1" w:lastColumn="0" w:oddVBand="0" w:evenVBand="0" w:oddHBand="0" w:evenHBand="0" w:firstRowFirstColumn="0" w:firstRowLastColumn="0" w:lastRowFirstColumn="0" w:lastRowLastColumn="0"/>
            <w:tcW w:w="3550" w:type="pct"/>
            <w:hideMark/>
          </w:tcPr>
          <w:p w14:paraId="6275F686" w14:textId="77777777" w:rsidR="002958F7" w:rsidRPr="00AE2CE6" w:rsidRDefault="002958F7" w:rsidP="00C173BC">
            <w:pPr>
              <w:rPr>
                <w:rFonts w:ascii="Calibri" w:eastAsia="Times New Roman" w:hAnsi="Calibri" w:cs="Calibri"/>
                <w:color w:val="000000"/>
                <w:lang w:eastAsia="cs-CZ"/>
              </w:rPr>
            </w:pPr>
            <w:r w:rsidRPr="00AE2CE6">
              <w:rPr>
                <w:rFonts w:ascii="Calibri" w:eastAsia="Times New Roman" w:hAnsi="Calibri" w:cs="Calibri"/>
                <w:color w:val="000000"/>
                <w:lang w:eastAsia="cs-CZ"/>
              </w:rPr>
              <w:t>Počet provedených (zkontrolovaných) ověření statutu MSP žadatele (T5D)</w:t>
            </w:r>
            <w:r>
              <w:rPr>
                <w:rFonts w:ascii="Calibri" w:eastAsia="Times New Roman" w:hAnsi="Calibri" w:cs="Calibri"/>
                <w:color w:val="000000"/>
                <w:lang w:eastAsia="cs-CZ"/>
              </w:rPr>
              <w:t>*</w:t>
            </w:r>
            <w:r w:rsidRPr="00AE2CE6">
              <w:rPr>
                <w:rFonts w:ascii="Calibri" w:eastAsia="Times New Roman" w:hAnsi="Calibri" w:cs="Calibri"/>
                <w:color w:val="000000"/>
                <w:lang w:eastAsia="cs-CZ"/>
              </w:rPr>
              <w:t xml:space="preserve"> </w:t>
            </w:r>
          </w:p>
        </w:tc>
        <w:tc>
          <w:tcPr>
            <w:tcW w:w="750" w:type="pct"/>
            <w:noWrap/>
            <w:hideMark/>
          </w:tcPr>
          <w:p w14:paraId="627F6086" w14:textId="77777777" w:rsidR="002958F7" w:rsidRPr="00AE2CE6" w:rsidRDefault="002958F7" w:rsidP="00C173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cs-CZ"/>
              </w:rPr>
            </w:pPr>
            <w:r w:rsidRPr="00AE2CE6">
              <w:rPr>
                <w:rFonts w:ascii="Calibri" w:eastAsia="Times New Roman" w:hAnsi="Calibri" w:cs="Calibri"/>
                <w:color w:val="000000"/>
                <w:lang w:eastAsia="cs-CZ"/>
              </w:rPr>
              <w:t>9</w:t>
            </w:r>
            <w:r>
              <w:rPr>
                <w:rFonts w:ascii="Calibri" w:eastAsia="Times New Roman" w:hAnsi="Calibri" w:cs="Calibri"/>
                <w:color w:val="000000"/>
                <w:lang w:eastAsia="cs-CZ"/>
              </w:rPr>
              <w:t xml:space="preserve"> </w:t>
            </w:r>
            <w:r w:rsidRPr="00AE2CE6">
              <w:rPr>
                <w:rFonts w:ascii="Calibri" w:eastAsia="Times New Roman" w:hAnsi="Calibri" w:cs="Calibri"/>
                <w:color w:val="000000"/>
                <w:lang w:eastAsia="cs-CZ"/>
              </w:rPr>
              <w:t>238</w:t>
            </w:r>
          </w:p>
        </w:tc>
        <w:tc>
          <w:tcPr>
            <w:tcW w:w="700" w:type="pct"/>
            <w:noWrap/>
            <w:hideMark/>
          </w:tcPr>
          <w:p w14:paraId="4BA6D975" w14:textId="77777777" w:rsidR="002958F7" w:rsidRPr="00AE2CE6" w:rsidRDefault="002958F7" w:rsidP="00C173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cs-CZ"/>
              </w:rPr>
            </w:pPr>
            <w:r w:rsidRPr="00AE2CE6">
              <w:rPr>
                <w:rFonts w:ascii="Calibri" w:eastAsia="Times New Roman" w:hAnsi="Calibri" w:cs="Calibri"/>
                <w:color w:val="000000"/>
                <w:lang w:eastAsia="cs-CZ"/>
              </w:rPr>
              <w:t>2,5</w:t>
            </w:r>
          </w:p>
        </w:tc>
      </w:tr>
      <w:tr w:rsidR="002958F7" w:rsidRPr="00AE2CE6" w14:paraId="5430BA4A" w14:textId="77777777" w:rsidTr="00C173B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50" w:type="pct"/>
            <w:hideMark/>
          </w:tcPr>
          <w:p w14:paraId="74A84855" w14:textId="77777777" w:rsidR="002958F7" w:rsidRPr="00AE2CE6" w:rsidRDefault="002958F7" w:rsidP="00C173BC">
            <w:pPr>
              <w:rPr>
                <w:rFonts w:ascii="Calibri" w:eastAsia="Times New Roman" w:hAnsi="Calibri" w:cs="Calibri"/>
                <w:color w:val="000000"/>
                <w:lang w:eastAsia="cs-CZ"/>
              </w:rPr>
            </w:pPr>
            <w:r w:rsidRPr="00AE2CE6">
              <w:rPr>
                <w:rFonts w:ascii="Calibri" w:eastAsia="Times New Roman" w:hAnsi="Calibri" w:cs="Calibri"/>
                <w:color w:val="000000"/>
                <w:lang w:eastAsia="cs-CZ"/>
              </w:rPr>
              <w:t>Počet zkontrolovaných žádostí o podporu II. stupeň (žádost o podporu) (D2)</w:t>
            </w:r>
            <w:r>
              <w:rPr>
                <w:rFonts w:ascii="Calibri" w:eastAsia="Times New Roman" w:hAnsi="Calibri" w:cs="Calibri"/>
                <w:color w:val="000000"/>
                <w:lang w:eastAsia="cs-CZ"/>
              </w:rPr>
              <w:t>*</w:t>
            </w:r>
            <w:r w:rsidRPr="00AE2CE6">
              <w:rPr>
                <w:rFonts w:ascii="Calibri" w:eastAsia="Times New Roman" w:hAnsi="Calibri" w:cs="Calibri"/>
                <w:color w:val="000000"/>
                <w:lang w:eastAsia="cs-CZ"/>
              </w:rPr>
              <w:t xml:space="preserve"> </w:t>
            </w:r>
          </w:p>
        </w:tc>
        <w:tc>
          <w:tcPr>
            <w:tcW w:w="750" w:type="pct"/>
            <w:noWrap/>
            <w:hideMark/>
          </w:tcPr>
          <w:p w14:paraId="76EBE9CC" w14:textId="77777777" w:rsidR="002958F7" w:rsidRPr="00AE2CE6" w:rsidRDefault="002958F7" w:rsidP="00C173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cs-CZ"/>
              </w:rPr>
            </w:pPr>
            <w:r w:rsidRPr="00AE2CE6">
              <w:rPr>
                <w:rFonts w:ascii="Calibri" w:eastAsia="Times New Roman" w:hAnsi="Calibri" w:cs="Calibri"/>
                <w:color w:val="000000"/>
                <w:lang w:eastAsia="cs-CZ"/>
              </w:rPr>
              <w:t>3</w:t>
            </w:r>
            <w:r>
              <w:rPr>
                <w:rFonts w:ascii="Calibri" w:eastAsia="Times New Roman" w:hAnsi="Calibri" w:cs="Calibri"/>
                <w:color w:val="000000"/>
                <w:lang w:eastAsia="cs-CZ"/>
              </w:rPr>
              <w:t xml:space="preserve"> </w:t>
            </w:r>
            <w:r w:rsidRPr="00AE2CE6">
              <w:rPr>
                <w:rFonts w:ascii="Calibri" w:eastAsia="Times New Roman" w:hAnsi="Calibri" w:cs="Calibri"/>
                <w:color w:val="000000"/>
                <w:lang w:eastAsia="cs-CZ"/>
              </w:rPr>
              <w:t>801</w:t>
            </w:r>
          </w:p>
        </w:tc>
        <w:tc>
          <w:tcPr>
            <w:tcW w:w="700" w:type="pct"/>
            <w:noWrap/>
            <w:hideMark/>
          </w:tcPr>
          <w:p w14:paraId="5375404D" w14:textId="77777777" w:rsidR="002958F7" w:rsidRPr="00AE2CE6" w:rsidRDefault="002958F7" w:rsidP="00C173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cs-CZ"/>
              </w:rPr>
            </w:pPr>
            <w:r w:rsidRPr="00AE2CE6">
              <w:rPr>
                <w:rFonts w:ascii="Calibri" w:eastAsia="Times New Roman" w:hAnsi="Calibri" w:cs="Calibri"/>
                <w:color w:val="000000"/>
                <w:lang w:eastAsia="cs-CZ"/>
              </w:rPr>
              <w:t>2,5</w:t>
            </w:r>
          </w:p>
        </w:tc>
      </w:tr>
      <w:tr w:rsidR="002958F7" w:rsidRPr="00AE2CE6" w14:paraId="1471FE15" w14:textId="77777777" w:rsidTr="00C173BC">
        <w:trPr>
          <w:trHeight w:val="288"/>
        </w:trPr>
        <w:tc>
          <w:tcPr>
            <w:cnfStyle w:val="001000000000" w:firstRow="0" w:lastRow="0" w:firstColumn="1" w:lastColumn="0" w:oddVBand="0" w:evenVBand="0" w:oddHBand="0" w:evenHBand="0" w:firstRowFirstColumn="0" w:firstRowLastColumn="0" w:lastRowFirstColumn="0" w:lastRowLastColumn="0"/>
            <w:tcW w:w="3550" w:type="pct"/>
          </w:tcPr>
          <w:p w14:paraId="6C678D6F" w14:textId="77777777" w:rsidR="002958F7" w:rsidRPr="00AE2CE6" w:rsidRDefault="002958F7" w:rsidP="00C173BC">
            <w:pPr>
              <w:rPr>
                <w:rFonts w:ascii="Calibri" w:eastAsia="Times New Roman" w:hAnsi="Calibri" w:cs="Calibri"/>
                <w:color w:val="000000"/>
                <w:lang w:eastAsia="cs-CZ"/>
              </w:rPr>
            </w:pPr>
            <w:r w:rsidRPr="004068DB">
              <w:rPr>
                <w:rFonts w:ascii="Calibri" w:eastAsia="Times New Roman" w:hAnsi="Calibri" w:cs="Calibri"/>
                <w:color w:val="000000"/>
                <w:lang w:eastAsia="cs-CZ"/>
              </w:rPr>
              <w:t>Počet zpracovaných posudků interního hodnotitele (věcné hodnocení) (D3)</w:t>
            </w:r>
          </w:p>
        </w:tc>
        <w:tc>
          <w:tcPr>
            <w:tcW w:w="750" w:type="pct"/>
            <w:noWrap/>
          </w:tcPr>
          <w:p w14:paraId="5BA9D262" w14:textId="77777777" w:rsidR="002958F7" w:rsidRPr="00AE2CE6" w:rsidRDefault="002958F7" w:rsidP="00C173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cs-CZ"/>
              </w:rPr>
            </w:pPr>
            <w:r>
              <w:rPr>
                <w:rFonts w:ascii="Calibri" w:eastAsia="Times New Roman" w:hAnsi="Calibri" w:cs="Calibri"/>
                <w:color w:val="000000"/>
                <w:lang w:eastAsia="cs-CZ"/>
              </w:rPr>
              <w:t>7349</w:t>
            </w:r>
          </w:p>
        </w:tc>
        <w:tc>
          <w:tcPr>
            <w:tcW w:w="700" w:type="pct"/>
            <w:noWrap/>
          </w:tcPr>
          <w:p w14:paraId="1CF8EB92" w14:textId="77777777" w:rsidR="002958F7" w:rsidRPr="00AE2CE6" w:rsidRDefault="002958F7" w:rsidP="00C173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cs-CZ"/>
              </w:rPr>
            </w:pPr>
            <w:r>
              <w:rPr>
                <w:rFonts w:ascii="Calibri" w:eastAsia="Times New Roman" w:hAnsi="Calibri" w:cs="Calibri"/>
                <w:color w:val="000000"/>
                <w:lang w:eastAsia="cs-CZ"/>
              </w:rPr>
              <w:t>1,0</w:t>
            </w:r>
          </w:p>
        </w:tc>
      </w:tr>
      <w:tr w:rsidR="002958F7" w:rsidRPr="00AE2CE6" w14:paraId="6372983B" w14:textId="77777777" w:rsidTr="00C173B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50" w:type="pct"/>
            <w:hideMark/>
          </w:tcPr>
          <w:p w14:paraId="742D2E63" w14:textId="77777777" w:rsidR="002958F7" w:rsidRPr="00AE2CE6" w:rsidRDefault="002958F7" w:rsidP="00C173BC">
            <w:pPr>
              <w:rPr>
                <w:rFonts w:ascii="Calibri" w:eastAsia="Times New Roman" w:hAnsi="Calibri" w:cs="Calibri"/>
                <w:color w:val="000000"/>
                <w:lang w:eastAsia="cs-CZ"/>
              </w:rPr>
            </w:pPr>
            <w:r w:rsidRPr="00AE2CE6">
              <w:rPr>
                <w:rFonts w:ascii="Calibri" w:eastAsia="Times New Roman" w:hAnsi="Calibri" w:cs="Calibri"/>
                <w:color w:val="000000"/>
                <w:lang w:eastAsia="cs-CZ"/>
              </w:rPr>
              <w:t>Počet realizovaných hodnotících komisí (D4)</w:t>
            </w:r>
          </w:p>
        </w:tc>
        <w:tc>
          <w:tcPr>
            <w:tcW w:w="750" w:type="pct"/>
            <w:noWrap/>
            <w:hideMark/>
          </w:tcPr>
          <w:p w14:paraId="0459861A" w14:textId="77777777" w:rsidR="002958F7" w:rsidRPr="00AE2CE6" w:rsidRDefault="002958F7" w:rsidP="00C173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cs-CZ"/>
              </w:rPr>
            </w:pPr>
            <w:r w:rsidRPr="00AE2CE6">
              <w:rPr>
                <w:rFonts w:ascii="Calibri" w:eastAsia="Times New Roman" w:hAnsi="Calibri" w:cs="Calibri"/>
                <w:color w:val="000000"/>
                <w:lang w:eastAsia="cs-CZ"/>
              </w:rPr>
              <w:t>197</w:t>
            </w:r>
          </w:p>
        </w:tc>
        <w:tc>
          <w:tcPr>
            <w:tcW w:w="700" w:type="pct"/>
            <w:noWrap/>
            <w:hideMark/>
          </w:tcPr>
          <w:p w14:paraId="797A49EA" w14:textId="77777777" w:rsidR="002958F7" w:rsidRPr="00AE2CE6" w:rsidRDefault="002958F7" w:rsidP="00C173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cs-CZ"/>
              </w:rPr>
            </w:pPr>
            <w:r w:rsidRPr="00AE2CE6">
              <w:rPr>
                <w:rFonts w:ascii="Calibri" w:eastAsia="Times New Roman" w:hAnsi="Calibri" w:cs="Calibri"/>
                <w:color w:val="000000"/>
                <w:lang w:eastAsia="cs-CZ"/>
              </w:rPr>
              <w:t>2,5</w:t>
            </w:r>
          </w:p>
        </w:tc>
      </w:tr>
      <w:tr w:rsidR="002958F7" w:rsidRPr="00AE2CE6" w14:paraId="16A00228" w14:textId="77777777" w:rsidTr="00C173BC">
        <w:trPr>
          <w:trHeight w:val="288"/>
        </w:trPr>
        <w:tc>
          <w:tcPr>
            <w:cnfStyle w:val="001000000000" w:firstRow="0" w:lastRow="0" w:firstColumn="1" w:lastColumn="0" w:oddVBand="0" w:evenVBand="0" w:oddHBand="0" w:evenHBand="0" w:firstRowFirstColumn="0" w:firstRowLastColumn="0" w:lastRowFirstColumn="0" w:lastRowLastColumn="0"/>
            <w:tcW w:w="3550" w:type="pct"/>
            <w:hideMark/>
          </w:tcPr>
          <w:p w14:paraId="3E4703F3" w14:textId="77777777" w:rsidR="002958F7" w:rsidRPr="00AE2CE6" w:rsidRDefault="002958F7" w:rsidP="00C173BC">
            <w:pPr>
              <w:rPr>
                <w:rFonts w:ascii="Calibri" w:eastAsia="Times New Roman" w:hAnsi="Calibri" w:cs="Calibri"/>
                <w:color w:val="000000"/>
                <w:lang w:eastAsia="cs-CZ"/>
              </w:rPr>
            </w:pPr>
            <w:r w:rsidRPr="00AE2CE6">
              <w:rPr>
                <w:rFonts w:ascii="Calibri" w:eastAsia="Times New Roman" w:hAnsi="Calibri" w:cs="Calibri"/>
                <w:color w:val="000000"/>
                <w:lang w:eastAsia="cs-CZ"/>
              </w:rPr>
              <w:t>Počet vydaných RoPD (D6-7)</w:t>
            </w:r>
          </w:p>
        </w:tc>
        <w:tc>
          <w:tcPr>
            <w:tcW w:w="750" w:type="pct"/>
            <w:noWrap/>
            <w:hideMark/>
          </w:tcPr>
          <w:p w14:paraId="456F4610" w14:textId="77777777" w:rsidR="002958F7" w:rsidRPr="00AE2CE6" w:rsidRDefault="002958F7" w:rsidP="00C173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cs-CZ"/>
              </w:rPr>
            </w:pPr>
            <w:r w:rsidRPr="00AE2CE6">
              <w:rPr>
                <w:rFonts w:ascii="Calibri" w:eastAsia="Times New Roman" w:hAnsi="Calibri" w:cs="Calibri"/>
                <w:color w:val="000000"/>
                <w:lang w:eastAsia="cs-CZ"/>
              </w:rPr>
              <w:t>2</w:t>
            </w:r>
            <w:r>
              <w:rPr>
                <w:rFonts w:ascii="Calibri" w:eastAsia="Times New Roman" w:hAnsi="Calibri" w:cs="Calibri"/>
                <w:color w:val="000000"/>
                <w:lang w:eastAsia="cs-CZ"/>
              </w:rPr>
              <w:t xml:space="preserve"> </w:t>
            </w:r>
            <w:r w:rsidRPr="00AE2CE6">
              <w:rPr>
                <w:rFonts w:ascii="Calibri" w:eastAsia="Times New Roman" w:hAnsi="Calibri" w:cs="Calibri"/>
                <w:color w:val="000000"/>
                <w:lang w:eastAsia="cs-CZ"/>
              </w:rPr>
              <w:t>488</w:t>
            </w:r>
          </w:p>
        </w:tc>
        <w:tc>
          <w:tcPr>
            <w:tcW w:w="700" w:type="pct"/>
            <w:noWrap/>
            <w:hideMark/>
          </w:tcPr>
          <w:p w14:paraId="58DFA3E9" w14:textId="77777777" w:rsidR="002958F7" w:rsidRPr="00AE2CE6" w:rsidRDefault="002958F7" w:rsidP="00C173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cs-CZ"/>
              </w:rPr>
            </w:pPr>
            <w:r w:rsidRPr="00AE2CE6">
              <w:rPr>
                <w:rFonts w:ascii="Calibri" w:eastAsia="Times New Roman" w:hAnsi="Calibri" w:cs="Calibri"/>
                <w:color w:val="000000"/>
                <w:lang w:eastAsia="cs-CZ"/>
              </w:rPr>
              <w:t>1</w:t>
            </w:r>
            <w:r>
              <w:rPr>
                <w:rFonts w:ascii="Calibri" w:eastAsia="Times New Roman" w:hAnsi="Calibri" w:cs="Calibri"/>
                <w:color w:val="000000"/>
                <w:lang w:eastAsia="cs-CZ"/>
              </w:rPr>
              <w:t>,0</w:t>
            </w:r>
          </w:p>
        </w:tc>
      </w:tr>
      <w:tr w:rsidR="002958F7" w:rsidRPr="00AE2CE6" w14:paraId="128A62C7" w14:textId="77777777" w:rsidTr="00C173B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50" w:type="pct"/>
          </w:tcPr>
          <w:p w14:paraId="137F6A36" w14:textId="77777777" w:rsidR="002958F7" w:rsidRPr="00AE2CE6" w:rsidRDefault="002958F7" w:rsidP="00C173BC">
            <w:pPr>
              <w:rPr>
                <w:rFonts w:ascii="Calibri" w:eastAsia="Times New Roman" w:hAnsi="Calibri" w:cs="Calibri"/>
                <w:color w:val="000000"/>
                <w:lang w:eastAsia="cs-CZ"/>
              </w:rPr>
            </w:pPr>
            <w:r w:rsidRPr="00B86BB9">
              <w:rPr>
                <w:rFonts w:ascii="Calibri" w:eastAsia="Times New Roman" w:hAnsi="Calibri" w:cs="Calibri"/>
                <w:color w:val="000000"/>
                <w:lang w:eastAsia="cs-CZ"/>
              </w:rPr>
              <w:t>Počet realizovaných přezkumných řízení (D8)</w:t>
            </w:r>
          </w:p>
        </w:tc>
        <w:tc>
          <w:tcPr>
            <w:tcW w:w="750" w:type="pct"/>
            <w:noWrap/>
          </w:tcPr>
          <w:p w14:paraId="1A1A5D81" w14:textId="77777777" w:rsidR="002958F7" w:rsidRPr="00AE2CE6" w:rsidRDefault="002958F7" w:rsidP="00C173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cs-CZ"/>
              </w:rPr>
            </w:pPr>
            <w:r>
              <w:rPr>
                <w:rFonts w:ascii="Calibri" w:eastAsia="Times New Roman" w:hAnsi="Calibri" w:cs="Calibri"/>
                <w:color w:val="000000"/>
                <w:lang w:eastAsia="cs-CZ"/>
              </w:rPr>
              <w:t>414</w:t>
            </w:r>
          </w:p>
        </w:tc>
        <w:tc>
          <w:tcPr>
            <w:tcW w:w="700" w:type="pct"/>
            <w:noWrap/>
          </w:tcPr>
          <w:p w14:paraId="0081E713" w14:textId="77777777" w:rsidR="002958F7" w:rsidRPr="00AE2CE6" w:rsidRDefault="002958F7" w:rsidP="00C173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cs-CZ"/>
              </w:rPr>
            </w:pPr>
            <w:r>
              <w:rPr>
                <w:rFonts w:ascii="Calibri" w:eastAsia="Times New Roman" w:hAnsi="Calibri" w:cs="Calibri"/>
                <w:color w:val="000000"/>
                <w:lang w:eastAsia="cs-CZ"/>
              </w:rPr>
              <w:t>0,3</w:t>
            </w:r>
          </w:p>
        </w:tc>
      </w:tr>
      <w:tr w:rsidR="002958F7" w:rsidRPr="00AE2CE6" w14:paraId="2E777FB3" w14:textId="77777777" w:rsidTr="00C173BC">
        <w:trPr>
          <w:trHeight w:val="288"/>
        </w:trPr>
        <w:tc>
          <w:tcPr>
            <w:cnfStyle w:val="001000000000" w:firstRow="0" w:lastRow="0" w:firstColumn="1" w:lastColumn="0" w:oddVBand="0" w:evenVBand="0" w:oddHBand="0" w:evenHBand="0" w:firstRowFirstColumn="0" w:firstRowLastColumn="0" w:lastRowFirstColumn="0" w:lastRowLastColumn="0"/>
            <w:tcW w:w="3550" w:type="pct"/>
            <w:hideMark/>
          </w:tcPr>
          <w:p w14:paraId="61FC1979" w14:textId="77777777" w:rsidR="002958F7" w:rsidRPr="00AE2CE6" w:rsidRDefault="002958F7" w:rsidP="00C173BC">
            <w:pPr>
              <w:rPr>
                <w:rFonts w:ascii="Calibri" w:eastAsia="Times New Roman" w:hAnsi="Calibri" w:cs="Calibri"/>
                <w:color w:val="000000"/>
                <w:lang w:eastAsia="cs-CZ"/>
              </w:rPr>
            </w:pPr>
            <w:r w:rsidRPr="00AE2CE6">
              <w:rPr>
                <w:rFonts w:ascii="Calibri" w:eastAsia="Times New Roman" w:hAnsi="Calibri" w:cs="Calibri"/>
                <w:color w:val="000000"/>
                <w:lang w:eastAsia="cs-CZ"/>
              </w:rPr>
              <w:t>Počet zpracovaných opravných posudků (D8)</w:t>
            </w:r>
          </w:p>
        </w:tc>
        <w:tc>
          <w:tcPr>
            <w:tcW w:w="750" w:type="pct"/>
            <w:noWrap/>
            <w:hideMark/>
          </w:tcPr>
          <w:p w14:paraId="1F6A309B" w14:textId="77777777" w:rsidR="002958F7" w:rsidRPr="00AE2CE6" w:rsidRDefault="002958F7" w:rsidP="00C173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cs-CZ"/>
              </w:rPr>
            </w:pPr>
            <w:r w:rsidRPr="00AE2CE6">
              <w:rPr>
                <w:rFonts w:ascii="Calibri" w:eastAsia="Times New Roman" w:hAnsi="Calibri" w:cs="Calibri"/>
                <w:color w:val="000000"/>
                <w:lang w:eastAsia="cs-CZ"/>
              </w:rPr>
              <w:t>128</w:t>
            </w:r>
          </w:p>
        </w:tc>
        <w:tc>
          <w:tcPr>
            <w:tcW w:w="700" w:type="pct"/>
            <w:noWrap/>
            <w:hideMark/>
          </w:tcPr>
          <w:p w14:paraId="47D76CD8" w14:textId="77777777" w:rsidR="002958F7" w:rsidRPr="00AE2CE6" w:rsidRDefault="002958F7" w:rsidP="00C173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cs-CZ"/>
              </w:rPr>
            </w:pPr>
            <w:r w:rsidRPr="00AE2CE6">
              <w:rPr>
                <w:rFonts w:ascii="Calibri" w:eastAsia="Times New Roman" w:hAnsi="Calibri" w:cs="Calibri"/>
                <w:color w:val="000000"/>
                <w:lang w:eastAsia="cs-CZ"/>
              </w:rPr>
              <w:t>0,1</w:t>
            </w:r>
          </w:p>
        </w:tc>
      </w:tr>
      <w:tr w:rsidR="002958F7" w:rsidRPr="00AE2CE6" w14:paraId="2885EC48" w14:textId="77777777" w:rsidTr="00C173B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50" w:type="pct"/>
            <w:hideMark/>
          </w:tcPr>
          <w:p w14:paraId="396AB8B7" w14:textId="77777777" w:rsidR="002958F7" w:rsidRPr="00AE2CE6" w:rsidRDefault="002958F7" w:rsidP="00C173BC">
            <w:pPr>
              <w:rPr>
                <w:rFonts w:ascii="Calibri" w:eastAsia="Times New Roman" w:hAnsi="Calibri" w:cs="Calibri"/>
                <w:color w:val="000000"/>
                <w:lang w:eastAsia="cs-CZ"/>
              </w:rPr>
            </w:pPr>
            <w:r w:rsidRPr="00AE2CE6">
              <w:rPr>
                <w:rFonts w:ascii="Calibri" w:eastAsia="Times New Roman" w:hAnsi="Calibri" w:cs="Calibri"/>
                <w:color w:val="000000"/>
                <w:lang w:eastAsia="cs-CZ"/>
              </w:rPr>
              <w:t>Počet změn projektů před vydáním rozhodnutí posuzovaných v plném rozsahu (D9)</w:t>
            </w:r>
          </w:p>
        </w:tc>
        <w:tc>
          <w:tcPr>
            <w:tcW w:w="750" w:type="pct"/>
            <w:noWrap/>
            <w:hideMark/>
          </w:tcPr>
          <w:p w14:paraId="4E3D1148" w14:textId="77777777" w:rsidR="002958F7" w:rsidRPr="00AE2CE6" w:rsidRDefault="002958F7" w:rsidP="00C173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cs-CZ"/>
              </w:rPr>
            </w:pPr>
            <w:r w:rsidRPr="00AE2CE6">
              <w:rPr>
                <w:rFonts w:ascii="Calibri" w:eastAsia="Times New Roman" w:hAnsi="Calibri" w:cs="Calibri"/>
                <w:color w:val="000000"/>
                <w:lang w:eastAsia="cs-CZ"/>
              </w:rPr>
              <w:t>3</w:t>
            </w:r>
            <w:r>
              <w:rPr>
                <w:rFonts w:ascii="Calibri" w:eastAsia="Times New Roman" w:hAnsi="Calibri" w:cs="Calibri"/>
                <w:color w:val="000000"/>
                <w:lang w:eastAsia="cs-CZ"/>
              </w:rPr>
              <w:t xml:space="preserve"> </w:t>
            </w:r>
            <w:r w:rsidRPr="00AE2CE6">
              <w:rPr>
                <w:rFonts w:ascii="Calibri" w:eastAsia="Times New Roman" w:hAnsi="Calibri" w:cs="Calibri"/>
                <w:color w:val="000000"/>
                <w:lang w:eastAsia="cs-CZ"/>
              </w:rPr>
              <w:t>149</w:t>
            </w:r>
          </w:p>
        </w:tc>
        <w:tc>
          <w:tcPr>
            <w:tcW w:w="700" w:type="pct"/>
            <w:noWrap/>
            <w:hideMark/>
          </w:tcPr>
          <w:p w14:paraId="17CCD7F7" w14:textId="77777777" w:rsidR="002958F7" w:rsidRPr="00AE2CE6" w:rsidRDefault="002958F7" w:rsidP="00C173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cs-CZ"/>
              </w:rPr>
            </w:pPr>
            <w:r w:rsidRPr="00AE2CE6">
              <w:rPr>
                <w:rFonts w:ascii="Calibri" w:eastAsia="Times New Roman" w:hAnsi="Calibri" w:cs="Calibri"/>
                <w:color w:val="000000"/>
                <w:lang w:eastAsia="cs-CZ"/>
              </w:rPr>
              <w:t>1</w:t>
            </w:r>
            <w:r>
              <w:rPr>
                <w:rFonts w:ascii="Calibri" w:eastAsia="Times New Roman" w:hAnsi="Calibri" w:cs="Calibri"/>
                <w:color w:val="000000"/>
                <w:lang w:eastAsia="cs-CZ"/>
              </w:rPr>
              <w:t>,0</w:t>
            </w:r>
          </w:p>
        </w:tc>
      </w:tr>
      <w:tr w:rsidR="002958F7" w:rsidRPr="00AE2CE6" w14:paraId="68ED0360" w14:textId="77777777" w:rsidTr="00C173BC">
        <w:trPr>
          <w:trHeight w:val="288"/>
        </w:trPr>
        <w:tc>
          <w:tcPr>
            <w:cnfStyle w:val="001000000000" w:firstRow="0" w:lastRow="0" w:firstColumn="1" w:lastColumn="0" w:oddVBand="0" w:evenVBand="0" w:oddHBand="0" w:evenHBand="0" w:firstRowFirstColumn="0" w:firstRowLastColumn="0" w:lastRowFirstColumn="0" w:lastRowLastColumn="0"/>
            <w:tcW w:w="3550" w:type="pct"/>
            <w:hideMark/>
          </w:tcPr>
          <w:p w14:paraId="34C65FEC" w14:textId="77777777" w:rsidR="002958F7" w:rsidRPr="00AE2CE6" w:rsidRDefault="002958F7" w:rsidP="00C173BC">
            <w:pPr>
              <w:rPr>
                <w:rFonts w:ascii="Calibri" w:eastAsia="Times New Roman" w:hAnsi="Calibri" w:cs="Calibri"/>
                <w:color w:val="000000"/>
                <w:lang w:eastAsia="cs-CZ"/>
              </w:rPr>
            </w:pPr>
            <w:r w:rsidRPr="00AE2CE6">
              <w:rPr>
                <w:rFonts w:ascii="Calibri" w:eastAsia="Times New Roman" w:hAnsi="Calibri" w:cs="Calibri"/>
                <w:color w:val="000000"/>
                <w:lang w:eastAsia="cs-CZ"/>
              </w:rPr>
              <w:t>Počet změn projektů po vydání rozhodnutí (D10)</w:t>
            </w:r>
          </w:p>
        </w:tc>
        <w:tc>
          <w:tcPr>
            <w:tcW w:w="750" w:type="pct"/>
            <w:noWrap/>
            <w:hideMark/>
          </w:tcPr>
          <w:p w14:paraId="395AAB70" w14:textId="77777777" w:rsidR="002958F7" w:rsidRPr="00AE2CE6" w:rsidRDefault="002958F7" w:rsidP="00C173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cs-CZ"/>
              </w:rPr>
            </w:pPr>
            <w:r w:rsidRPr="00AE2CE6">
              <w:rPr>
                <w:rFonts w:ascii="Calibri" w:eastAsia="Times New Roman" w:hAnsi="Calibri" w:cs="Calibri"/>
                <w:color w:val="000000"/>
                <w:lang w:eastAsia="cs-CZ"/>
              </w:rPr>
              <w:t>4</w:t>
            </w:r>
            <w:r>
              <w:rPr>
                <w:rFonts w:ascii="Calibri" w:eastAsia="Times New Roman" w:hAnsi="Calibri" w:cs="Calibri"/>
                <w:color w:val="000000"/>
                <w:lang w:eastAsia="cs-CZ"/>
              </w:rPr>
              <w:t xml:space="preserve"> </w:t>
            </w:r>
            <w:r w:rsidRPr="00AE2CE6">
              <w:rPr>
                <w:rFonts w:ascii="Calibri" w:eastAsia="Times New Roman" w:hAnsi="Calibri" w:cs="Calibri"/>
                <w:color w:val="000000"/>
                <w:lang w:eastAsia="cs-CZ"/>
              </w:rPr>
              <w:t>461</w:t>
            </w:r>
          </w:p>
        </w:tc>
        <w:tc>
          <w:tcPr>
            <w:tcW w:w="700" w:type="pct"/>
            <w:noWrap/>
            <w:hideMark/>
          </w:tcPr>
          <w:p w14:paraId="666FC532" w14:textId="77777777" w:rsidR="002958F7" w:rsidRPr="00AE2CE6" w:rsidRDefault="002958F7" w:rsidP="00C173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cs-CZ"/>
              </w:rPr>
            </w:pPr>
            <w:r>
              <w:rPr>
                <w:rFonts w:ascii="Calibri" w:eastAsia="Times New Roman" w:hAnsi="Calibri" w:cs="Calibri"/>
                <w:color w:val="000000"/>
                <w:lang w:eastAsia="cs-CZ"/>
              </w:rPr>
              <w:t>2,0</w:t>
            </w:r>
          </w:p>
        </w:tc>
      </w:tr>
      <w:tr w:rsidR="002958F7" w:rsidRPr="00AE2CE6" w14:paraId="71461166" w14:textId="77777777" w:rsidTr="00C173B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50" w:type="pct"/>
            <w:hideMark/>
          </w:tcPr>
          <w:p w14:paraId="67A76F83" w14:textId="77777777" w:rsidR="002958F7" w:rsidRPr="00AE2CE6" w:rsidRDefault="002958F7" w:rsidP="00C173BC">
            <w:pPr>
              <w:rPr>
                <w:rFonts w:ascii="Calibri" w:eastAsia="Times New Roman" w:hAnsi="Calibri" w:cs="Calibri"/>
                <w:color w:val="000000"/>
                <w:lang w:eastAsia="cs-CZ"/>
              </w:rPr>
            </w:pPr>
            <w:r w:rsidRPr="00AE2CE6">
              <w:rPr>
                <w:rFonts w:ascii="Calibri" w:eastAsia="Times New Roman" w:hAnsi="Calibri" w:cs="Calibri"/>
                <w:color w:val="000000"/>
                <w:lang w:eastAsia="cs-CZ"/>
              </w:rPr>
              <w:t>Počet řešených řízení o odnětí dotace (D11)</w:t>
            </w:r>
          </w:p>
        </w:tc>
        <w:tc>
          <w:tcPr>
            <w:tcW w:w="750" w:type="pct"/>
            <w:noWrap/>
            <w:hideMark/>
          </w:tcPr>
          <w:p w14:paraId="1D6DD52D" w14:textId="77777777" w:rsidR="002958F7" w:rsidRPr="00AE2CE6" w:rsidRDefault="002958F7" w:rsidP="00C173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cs-CZ"/>
              </w:rPr>
            </w:pPr>
            <w:r w:rsidRPr="00AE2CE6">
              <w:rPr>
                <w:rFonts w:ascii="Calibri" w:eastAsia="Times New Roman" w:hAnsi="Calibri" w:cs="Calibri"/>
                <w:color w:val="000000"/>
                <w:lang w:eastAsia="cs-CZ"/>
              </w:rPr>
              <w:t>383</w:t>
            </w:r>
          </w:p>
        </w:tc>
        <w:tc>
          <w:tcPr>
            <w:tcW w:w="700" w:type="pct"/>
            <w:noWrap/>
            <w:hideMark/>
          </w:tcPr>
          <w:p w14:paraId="1997D7FF" w14:textId="77777777" w:rsidR="002958F7" w:rsidRPr="00AE2CE6" w:rsidRDefault="002958F7" w:rsidP="00C173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cs-CZ"/>
              </w:rPr>
            </w:pPr>
            <w:r w:rsidRPr="00AE2CE6">
              <w:rPr>
                <w:rFonts w:ascii="Calibri" w:eastAsia="Times New Roman" w:hAnsi="Calibri" w:cs="Calibri"/>
                <w:color w:val="000000"/>
                <w:lang w:eastAsia="cs-CZ"/>
              </w:rPr>
              <w:t>2</w:t>
            </w:r>
            <w:r>
              <w:rPr>
                <w:rFonts w:ascii="Calibri" w:eastAsia="Times New Roman" w:hAnsi="Calibri" w:cs="Calibri"/>
                <w:color w:val="000000"/>
                <w:lang w:eastAsia="cs-CZ"/>
              </w:rPr>
              <w:t>,0</w:t>
            </w:r>
          </w:p>
        </w:tc>
      </w:tr>
      <w:tr w:rsidR="002958F7" w:rsidRPr="00AE2CE6" w14:paraId="4C43F2D2" w14:textId="77777777" w:rsidTr="00C173BC">
        <w:trPr>
          <w:trHeight w:val="288"/>
        </w:trPr>
        <w:tc>
          <w:tcPr>
            <w:cnfStyle w:val="001000000000" w:firstRow="0" w:lastRow="0" w:firstColumn="1" w:lastColumn="0" w:oddVBand="0" w:evenVBand="0" w:oddHBand="0" w:evenHBand="0" w:firstRowFirstColumn="0" w:firstRowLastColumn="0" w:lastRowFirstColumn="0" w:lastRowLastColumn="0"/>
            <w:tcW w:w="3550" w:type="pct"/>
          </w:tcPr>
          <w:p w14:paraId="28166600" w14:textId="77777777" w:rsidR="002958F7" w:rsidRPr="00AE2CE6" w:rsidRDefault="002958F7" w:rsidP="00C173BC">
            <w:pPr>
              <w:rPr>
                <w:rFonts w:ascii="Calibri" w:eastAsia="Times New Roman" w:hAnsi="Calibri" w:cs="Calibri"/>
                <w:color w:val="000000"/>
                <w:lang w:eastAsia="cs-CZ"/>
              </w:rPr>
            </w:pPr>
            <w:r w:rsidRPr="00AE2CE6">
              <w:rPr>
                <w:rFonts w:ascii="Calibri" w:eastAsia="Times New Roman" w:hAnsi="Calibri" w:cs="Calibri"/>
                <w:color w:val="000000"/>
                <w:lang w:eastAsia="cs-CZ"/>
              </w:rPr>
              <w:t xml:space="preserve">Počet kontrolovaných </w:t>
            </w:r>
            <w:r>
              <w:rPr>
                <w:rFonts w:ascii="Calibri" w:eastAsia="Times New Roman" w:hAnsi="Calibri" w:cs="Calibri"/>
                <w:color w:val="000000"/>
                <w:lang w:eastAsia="cs-CZ"/>
              </w:rPr>
              <w:t>průběžných</w:t>
            </w:r>
            <w:r w:rsidRPr="00AE2CE6">
              <w:rPr>
                <w:rFonts w:ascii="Calibri" w:eastAsia="Times New Roman" w:hAnsi="Calibri" w:cs="Calibri"/>
                <w:color w:val="000000"/>
                <w:lang w:eastAsia="cs-CZ"/>
              </w:rPr>
              <w:t xml:space="preserve"> zpráv (D17)</w:t>
            </w:r>
            <w:r>
              <w:rPr>
                <w:rFonts w:ascii="Calibri" w:eastAsia="Times New Roman" w:hAnsi="Calibri" w:cs="Calibri"/>
                <w:color w:val="000000"/>
                <w:lang w:eastAsia="cs-CZ"/>
              </w:rPr>
              <w:t>*</w:t>
            </w:r>
            <w:r w:rsidRPr="00AE2CE6">
              <w:rPr>
                <w:rFonts w:ascii="Calibri" w:eastAsia="Times New Roman" w:hAnsi="Calibri" w:cs="Calibri"/>
                <w:color w:val="000000"/>
                <w:lang w:eastAsia="cs-CZ"/>
              </w:rPr>
              <w:t xml:space="preserve"> </w:t>
            </w:r>
          </w:p>
        </w:tc>
        <w:tc>
          <w:tcPr>
            <w:tcW w:w="750" w:type="pct"/>
            <w:noWrap/>
          </w:tcPr>
          <w:p w14:paraId="7E53CFDC" w14:textId="77777777" w:rsidR="002958F7" w:rsidRPr="00AE2CE6" w:rsidRDefault="002958F7" w:rsidP="00C173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cs-CZ"/>
              </w:rPr>
            </w:pPr>
            <w:r>
              <w:rPr>
                <w:rFonts w:ascii="Calibri" w:eastAsia="Times New Roman" w:hAnsi="Calibri" w:cs="Calibri"/>
                <w:color w:val="000000"/>
                <w:lang w:eastAsia="cs-CZ"/>
              </w:rPr>
              <w:t>1525</w:t>
            </w:r>
          </w:p>
        </w:tc>
        <w:tc>
          <w:tcPr>
            <w:tcW w:w="700" w:type="pct"/>
            <w:noWrap/>
          </w:tcPr>
          <w:p w14:paraId="705A1E29" w14:textId="77777777" w:rsidR="002958F7" w:rsidRPr="00AE2CE6" w:rsidRDefault="002958F7" w:rsidP="00C173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cs-CZ"/>
              </w:rPr>
            </w:pPr>
            <w:r>
              <w:rPr>
                <w:rFonts w:ascii="Calibri" w:eastAsia="Times New Roman" w:hAnsi="Calibri" w:cs="Calibri"/>
                <w:color w:val="000000"/>
                <w:lang w:eastAsia="cs-CZ"/>
              </w:rPr>
              <w:t>1,0</w:t>
            </w:r>
          </w:p>
        </w:tc>
      </w:tr>
      <w:tr w:rsidR="002958F7" w:rsidRPr="00AE2CE6" w14:paraId="2BB429C2" w14:textId="77777777" w:rsidTr="00C173B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50" w:type="pct"/>
            <w:hideMark/>
          </w:tcPr>
          <w:p w14:paraId="65C739BA" w14:textId="77777777" w:rsidR="002958F7" w:rsidRPr="00AE2CE6" w:rsidRDefault="002958F7" w:rsidP="00C173BC">
            <w:pPr>
              <w:rPr>
                <w:rFonts w:ascii="Calibri" w:eastAsia="Times New Roman" w:hAnsi="Calibri" w:cs="Calibri"/>
                <w:color w:val="000000"/>
                <w:lang w:eastAsia="cs-CZ"/>
              </w:rPr>
            </w:pPr>
            <w:r w:rsidRPr="00AE2CE6">
              <w:rPr>
                <w:rFonts w:ascii="Calibri" w:eastAsia="Times New Roman" w:hAnsi="Calibri" w:cs="Calibri"/>
                <w:color w:val="000000"/>
                <w:lang w:eastAsia="cs-CZ"/>
              </w:rPr>
              <w:t>Počet kontrolovaných závěrečných zpráv (D17)</w:t>
            </w:r>
            <w:r>
              <w:rPr>
                <w:rFonts w:ascii="Calibri" w:eastAsia="Times New Roman" w:hAnsi="Calibri" w:cs="Calibri"/>
                <w:color w:val="000000"/>
                <w:lang w:eastAsia="cs-CZ"/>
              </w:rPr>
              <w:t>*</w:t>
            </w:r>
            <w:r w:rsidRPr="00AE2CE6">
              <w:rPr>
                <w:rFonts w:ascii="Calibri" w:eastAsia="Times New Roman" w:hAnsi="Calibri" w:cs="Calibri"/>
                <w:color w:val="000000"/>
                <w:lang w:eastAsia="cs-CZ"/>
              </w:rPr>
              <w:t xml:space="preserve"> </w:t>
            </w:r>
          </w:p>
        </w:tc>
        <w:tc>
          <w:tcPr>
            <w:tcW w:w="750" w:type="pct"/>
            <w:noWrap/>
            <w:hideMark/>
          </w:tcPr>
          <w:p w14:paraId="26FE93CD" w14:textId="77777777" w:rsidR="002958F7" w:rsidRPr="00AE2CE6" w:rsidRDefault="002958F7" w:rsidP="00C173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cs-CZ"/>
              </w:rPr>
            </w:pPr>
            <w:r w:rsidRPr="00AE2CE6">
              <w:rPr>
                <w:rFonts w:ascii="Calibri" w:eastAsia="Times New Roman" w:hAnsi="Calibri" w:cs="Calibri"/>
                <w:color w:val="000000"/>
                <w:lang w:eastAsia="cs-CZ"/>
              </w:rPr>
              <w:t>1</w:t>
            </w:r>
            <w:r>
              <w:rPr>
                <w:rFonts w:ascii="Calibri" w:eastAsia="Times New Roman" w:hAnsi="Calibri" w:cs="Calibri"/>
                <w:color w:val="000000"/>
                <w:lang w:eastAsia="cs-CZ"/>
              </w:rPr>
              <w:t xml:space="preserve"> </w:t>
            </w:r>
            <w:r w:rsidRPr="00AE2CE6">
              <w:rPr>
                <w:rFonts w:ascii="Calibri" w:eastAsia="Times New Roman" w:hAnsi="Calibri" w:cs="Calibri"/>
                <w:color w:val="000000"/>
                <w:lang w:eastAsia="cs-CZ"/>
              </w:rPr>
              <w:t>866</w:t>
            </w:r>
          </w:p>
        </w:tc>
        <w:tc>
          <w:tcPr>
            <w:tcW w:w="700" w:type="pct"/>
            <w:noWrap/>
            <w:hideMark/>
          </w:tcPr>
          <w:p w14:paraId="0F78E349" w14:textId="77777777" w:rsidR="002958F7" w:rsidRPr="00AE2CE6" w:rsidRDefault="002958F7" w:rsidP="00C173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cs-CZ"/>
              </w:rPr>
            </w:pPr>
            <w:r>
              <w:rPr>
                <w:rFonts w:ascii="Calibri" w:eastAsia="Times New Roman" w:hAnsi="Calibri" w:cs="Calibri"/>
                <w:color w:val="000000"/>
                <w:lang w:eastAsia="cs-CZ"/>
              </w:rPr>
              <w:t>1,0</w:t>
            </w:r>
          </w:p>
        </w:tc>
      </w:tr>
      <w:tr w:rsidR="002958F7" w:rsidRPr="00AE2CE6" w14:paraId="2660AD93" w14:textId="77777777" w:rsidTr="00C173BC">
        <w:trPr>
          <w:trHeight w:val="288"/>
        </w:trPr>
        <w:tc>
          <w:tcPr>
            <w:cnfStyle w:val="001000000000" w:firstRow="0" w:lastRow="0" w:firstColumn="1" w:lastColumn="0" w:oddVBand="0" w:evenVBand="0" w:oddHBand="0" w:evenHBand="0" w:firstRowFirstColumn="0" w:firstRowLastColumn="0" w:lastRowFirstColumn="0" w:lastRowLastColumn="0"/>
            <w:tcW w:w="3550" w:type="pct"/>
            <w:hideMark/>
          </w:tcPr>
          <w:p w14:paraId="39B2C0D5" w14:textId="77777777" w:rsidR="002958F7" w:rsidRPr="00AE2CE6" w:rsidRDefault="002958F7" w:rsidP="00C173BC">
            <w:pPr>
              <w:rPr>
                <w:rFonts w:ascii="Calibri" w:eastAsia="Times New Roman" w:hAnsi="Calibri" w:cs="Calibri"/>
                <w:color w:val="000000"/>
                <w:lang w:eastAsia="cs-CZ"/>
              </w:rPr>
            </w:pPr>
            <w:r w:rsidRPr="00AE2CE6">
              <w:rPr>
                <w:rFonts w:ascii="Calibri" w:eastAsia="Times New Roman" w:hAnsi="Calibri" w:cs="Calibri"/>
                <w:color w:val="000000"/>
                <w:lang w:eastAsia="cs-CZ"/>
              </w:rPr>
              <w:t>Počet realizovaných kontrol na místě (D18)</w:t>
            </w:r>
          </w:p>
        </w:tc>
        <w:tc>
          <w:tcPr>
            <w:tcW w:w="750" w:type="pct"/>
            <w:noWrap/>
            <w:hideMark/>
          </w:tcPr>
          <w:p w14:paraId="199C7E8D" w14:textId="77777777" w:rsidR="002958F7" w:rsidRPr="00AE2CE6" w:rsidRDefault="002958F7" w:rsidP="00C173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cs-CZ"/>
              </w:rPr>
            </w:pPr>
            <w:r w:rsidRPr="00AE2CE6">
              <w:rPr>
                <w:rFonts w:ascii="Calibri" w:eastAsia="Times New Roman" w:hAnsi="Calibri" w:cs="Calibri"/>
                <w:color w:val="000000"/>
                <w:lang w:eastAsia="cs-CZ"/>
              </w:rPr>
              <w:t>222</w:t>
            </w:r>
          </w:p>
        </w:tc>
        <w:tc>
          <w:tcPr>
            <w:tcW w:w="700" w:type="pct"/>
            <w:noWrap/>
            <w:hideMark/>
          </w:tcPr>
          <w:p w14:paraId="23AFB287" w14:textId="77777777" w:rsidR="002958F7" w:rsidRPr="00AE2CE6" w:rsidRDefault="002958F7" w:rsidP="00C173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cs-CZ"/>
              </w:rPr>
            </w:pPr>
            <w:r w:rsidRPr="00AE2CE6">
              <w:rPr>
                <w:rFonts w:ascii="Calibri" w:eastAsia="Times New Roman" w:hAnsi="Calibri" w:cs="Calibri"/>
                <w:color w:val="000000"/>
                <w:lang w:eastAsia="cs-CZ"/>
              </w:rPr>
              <w:t>24</w:t>
            </w:r>
            <w:r>
              <w:rPr>
                <w:rFonts w:ascii="Calibri" w:eastAsia="Times New Roman" w:hAnsi="Calibri" w:cs="Calibri"/>
                <w:color w:val="000000"/>
                <w:lang w:eastAsia="cs-CZ"/>
              </w:rPr>
              <w:t>,0</w:t>
            </w:r>
          </w:p>
        </w:tc>
      </w:tr>
      <w:tr w:rsidR="002958F7" w:rsidRPr="00AE2CE6" w14:paraId="643ABCF7" w14:textId="77777777" w:rsidTr="00C173B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50" w:type="pct"/>
            <w:hideMark/>
          </w:tcPr>
          <w:p w14:paraId="65EFB3A5" w14:textId="77777777" w:rsidR="002958F7" w:rsidRPr="00AE2CE6" w:rsidRDefault="002958F7" w:rsidP="00C173BC">
            <w:pPr>
              <w:rPr>
                <w:rFonts w:ascii="Calibri" w:eastAsia="Times New Roman" w:hAnsi="Calibri" w:cs="Calibri"/>
                <w:color w:val="000000"/>
                <w:lang w:eastAsia="cs-CZ"/>
              </w:rPr>
            </w:pPr>
            <w:r w:rsidRPr="00AE2CE6">
              <w:rPr>
                <w:rFonts w:ascii="Calibri" w:eastAsia="Times New Roman" w:hAnsi="Calibri" w:cs="Calibri"/>
                <w:color w:val="000000"/>
                <w:lang w:eastAsia="cs-CZ"/>
              </w:rPr>
              <w:t>Počet kontrol ŽoP v I. stupni (věcná) (D19)</w:t>
            </w:r>
          </w:p>
        </w:tc>
        <w:tc>
          <w:tcPr>
            <w:tcW w:w="750" w:type="pct"/>
            <w:noWrap/>
            <w:hideMark/>
          </w:tcPr>
          <w:p w14:paraId="37CBB994" w14:textId="77777777" w:rsidR="002958F7" w:rsidRPr="00AE2CE6" w:rsidRDefault="002958F7" w:rsidP="00C173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cs-CZ"/>
              </w:rPr>
            </w:pPr>
            <w:r w:rsidRPr="00AE2CE6">
              <w:rPr>
                <w:rFonts w:ascii="Calibri" w:eastAsia="Times New Roman" w:hAnsi="Calibri" w:cs="Calibri"/>
                <w:color w:val="000000"/>
                <w:lang w:eastAsia="cs-CZ"/>
              </w:rPr>
              <w:t>3</w:t>
            </w:r>
            <w:r>
              <w:rPr>
                <w:rFonts w:ascii="Calibri" w:eastAsia="Times New Roman" w:hAnsi="Calibri" w:cs="Calibri"/>
                <w:color w:val="000000"/>
                <w:lang w:eastAsia="cs-CZ"/>
              </w:rPr>
              <w:t xml:space="preserve"> </w:t>
            </w:r>
            <w:r w:rsidRPr="00AE2CE6">
              <w:rPr>
                <w:rFonts w:ascii="Calibri" w:eastAsia="Times New Roman" w:hAnsi="Calibri" w:cs="Calibri"/>
                <w:color w:val="000000"/>
                <w:lang w:eastAsia="cs-CZ"/>
              </w:rPr>
              <w:t>057</w:t>
            </w:r>
          </w:p>
        </w:tc>
        <w:tc>
          <w:tcPr>
            <w:tcW w:w="700" w:type="pct"/>
            <w:noWrap/>
            <w:hideMark/>
          </w:tcPr>
          <w:p w14:paraId="1D9B272D" w14:textId="77777777" w:rsidR="002958F7" w:rsidRPr="00AE2CE6" w:rsidRDefault="002958F7" w:rsidP="00C173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cs-CZ"/>
              </w:rPr>
            </w:pPr>
            <w:r>
              <w:rPr>
                <w:rFonts w:ascii="Calibri" w:eastAsia="Times New Roman" w:hAnsi="Calibri" w:cs="Calibri"/>
                <w:color w:val="000000"/>
                <w:lang w:eastAsia="cs-CZ"/>
              </w:rPr>
              <w:t>5,0</w:t>
            </w:r>
          </w:p>
        </w:tc>
      </w:tr>
      <w:tr w:rsidR="002958F7" w:rsidRPr="00AE2CE6" w14:paraId="70B02542" w14:textId="77777777" w:rsidTr="00C173BC">
        <w:trPr>
          <w:trHeight w:val="288"/>
        </w:trPr>
        <w:tc>
          <w:tcPr>
            <w:cnfStyle w:val="001000000000" w:firstRow="0" w:lastRow="0" w:firstColumn="1" w:lastColumn="0" w:oddVBand="0" w:evenVBand="0" w:oddHBand="0" w:evenHBand="0" w:firstRowFirstColumn="0" w:firstRowLastColumn="0" w:lastRowFirstColumn="0" w:lastRowLastColumn="0"/>
            <w:tcW w:w="3550" w:type="pct"/>
            <w:hideMark/>
          </w:tcPr>
          <w:p w14:paraId="3C7044D8" w14:textId="77777777" w:rsidR="002958F7" w:rsidRPr="00AE2CE6" w:rsidRDefault="002958F7" w:rsidP="00C173BC">
            <w:pPr>
              <w:rPr>
                <w:rFonts w:ascii="Calibri" w:eastAsia="Times New Roman" w:hAnsi="Calibri" w:cs="Calibri"/>
                <w:color w:val="000000"/>
                <w:lang w:eastAsia="cs-CZ"/>
              </w:rPr>
            </w:pPr>
            <w:r w:rsidRPr="00AE2CE6">
              <w:rPr>
                <w:rFonts w:ascii="Calibri" w:eastAsia="Times New Roman" w:hAnsi="Calibri" w:cs="Calibri"/>
                <w:color w:val="000000"/>
                <w:lang w:eastAsia="cs-CZ"/>
              </w:rPr>
              <w:t>Počet krácených ŽoP dle §14e (D20)</w:t>
            </w:r>
          </w:p>
        </w:tc>
        <w:tc>
          <w:tcPr>
            <w:tcW w:w="750" w:type="pct"/>
            <w:noWrap/>
            <w:hideMark/>
          </w:tcPr>
          <w:p w14:paraId="3A0DE8A3" w14:textId="77777777" w:rsidR="002958F7" w:rsidRPr="00AE2CE6" w:rsidRDefault="002958F7" w:rsidP="00C173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cs-CZ"/>
              </w:rPr>
            </w:pPr>
            <w:r w:rsidRPr="00AE2CE6">
              <w:rPr>
                <w:rFonts w:ascii="Calibri" w:eastAsia="Times New Roman" w:hAnsi="Calibri" w:cs="Calibri"/>
                <w:color w:val="000000"/>
                <w:lang w:eastAsia="cs-CZ"/>
              </w:rPr>
              <w:t>437</w:t>
            </w:r>
          </w:p>
        </w:tc>
        <w:tc>
          <w:tcPr>
            <w:tcW w:w="700" w:type="pct"/>
            <w:noWrap/>
            <w:hideMark/>
          </w:tcPr>
          <w:p w14:paraId="42A28AB5" w14:textId="77777777" w:rsidR="002958F7" w:rsidRPr="00AE2CE6" w:rsidRDefault="002958F7" w:rsidP="00C173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cs-CZ"/>
              </w:rPr>
            </w:pPr>
            <w:r w:rsidRPr="00AE2CE6">
              <w:rPr>
                <w:rFonts w:ascii="Calibri" w:eastAsia="Times New Roman" w:hAnsi="Calibri" w:cs="Calibri"/>
                <w:color w:val="000000"/>
                <w:lang w:eastAsia="cs-CZ"/>
              </w:rPr>
              <w:t>2,5</w:t>
            </w:r>
          </w:p>
        </w:tc>
      </w:tr>
      <w:tr w:rsidR="002958F7" w:rsidRPr="00AE2CE6" w14:paraId="3F87EE6F" w14:textId="77777777" w:rsidTr="00C173B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50" w:type="pct"/>
            <w:hideMark/>
          </w:tcPr>
          <w:p w14:paraId="30923735" w14:textId="77777777" w:rsidR="002958F7" w:rsidRPr="00AE2CE6" w:rsidRDefault="002958F7" w:rsidP="00C173BC">
            <w:pPr>
              <w:rPr>
                <w:rFonts w:ascii="Calibri" w:eastAsia="Times New Roman" w:hAnsi="Calibri" w:cs="Calibri"/>
                <w:color w:val="000000"/>
                <w:lang w:eastAsia="cs-CZ"/>
              </w:rPr>
            </w:pPr>
            <w:r w:rsidRPr="00AE2CE6">
              <w:rPr>
                <w:rFonts w:ascii="Calibri" w:eastAsia="Times New Roman" w:hAnsi="Calibri" w:cs="Calibri"/>
                <w:color w:val="000000"/>
                <w:lang w:eastAsia="cs-CZ"/>
              </w:rPr>
              <w:t>Celkem</w:t>
            </w:r>
          </w:p>
        </w:tc>
        <w:tc>
          <w:tcPr>
            <w:tcW w:w="750" w:type="pct"/>
            <w:noWrap/>
            <w:hideMark/>
          </w:tcPr>
          <w:p w14:paraId="745CCB2F" w14:textId="77777777" w:rsidR="002958F7" w:rsidRPr="00AE2CE6" w:rsidRDefault="002958F7" w:rsidP="00C173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lang w:eastAsia="cs-CZ"/>
              </w:rPr>
            </w:pPr>
            <w:r>
              <w:rPr>
                <w:rFonts w:ascii="Calibri" w:eastAsia="Times New Roman" w:hAnsi="Calibri" w:cs="Calibri"/>
                <w:b/>
                <w:color w:val="000000"/>
                <w:lang w:eastAsia="cs-CZ"/>
              </w:rPr>
              <w:t>38 715</w:t>
            </w:r>
          </w:p>
        </w:tc>
        <w:tc>
          <w:tcPr>
            <w:tcW w:w="700" w:type="pct"/>
            <w:noWrap/>
            <w:hideMark/>
          </w:tcPr>
          <w:p w14:paraId="26EBCF99" w14:textId="77777777" w:rsidR="002958F7" w:rsidRPr="00AE2CE6" w:rsidRDefault="002958F7" w:rsidP="00C173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lang w:eastAsia="cs-CZ"/>
              </w:rPr>
            </w:pPr>
            <w:r>
              <w:rPr>
                <w:rFonts w:ascii="Calibri" w:eastAsia="Times New Roman" w:hAnsi="Calibri" w:cs="Calibri"/>
                <w:b/>
                <w:color w:val="000000"/>
                <w:lang w:eastAsia="cs-CZ"/>
              </w:rPr>
              <w:t>49,4</w:t>
            </w:r>
          </w:p>
        </w:tc>
      </w:tr>
    </w:tbl>
    <w:p w14:paraId="5CD2E799" w14:textId="77777777" w:rsidR="002958F7" w:rsidRDefault="002958F7" w:rsidP="002958F7">
      <w:pPr>
        <w:spacing w:after="0"/>
        <w:rPr>
          <w:i/>
        </w:rPr>
      </w:pPr>
      <w:r>
        <w:rPr>
          <w:i/>
        </w:rPr>
        <w:t>Pozn.: * - vč. opakování, pokud byl žadatel vyzván k opravě</w:t>
      </w:r>
    </w:p>
    <w:p w14:paraId="220BB92B" w14:textId="77777777" w:rsidR="002958F7" w:rsidRDefault="002958F7" w:rsidP="002958F7">
      <w:pPr>
        <w:rPr>
          <w:i/>
        </w:rPr>
      </w:pPr>
      <w:r w:rsidRPr="00AE2CE6">
        <w:rPr>
          <w:i/>
        </w:rPr>
        <w:t>Zdroj: vlastní šetření</w:t>
      </w:r>
    </w:p>
    <w:p w14:paraId="36CB5F45" w14:textId="77777777" w:rsidR="002958F7" w:rsidRDefault="002958F7" w:rsidP="002958F7">
      <w:r>
        <w:lastRenderedPageBreak/>
        <w:t xml:space="preserve">Časově náročnými a zároveň velmi častými úkony jsou ověření statutu malého a středního podniku (MSP), kontrola žádosti o podporu a kontrola žádosti o platbu (ŽoP). Ověřování statutu MSP probíhalo v roce 2019 nejen u žádostí o podporu, ale zpětně také u projektů, které již v realizaci byli, proto počet těchto úkonů významně převyšuje všechny ostatní. Ačkoliv se jedná o kontrolu jednoho dílčího faktoru, je tato kontrola velmi náročná. Jednak, dle respondentů, je problém na straně metodiky, v níž je řada nejasností. V důsledku toho bývají podklady od žadatelů/příjemců podpory často chybové. Problematické je také kontrolování doložených dokladů, neboť neexistuje nástroj, který by umožnil snadnou kontrolu MSP, tj. obsahoval by </w:t>
      </w:r>
      <w:r w:rsidRPr="00A72C75">
        <w:t>detailní informace nutné k určení statusu velikosti podniku</w:t>
      </w:r>
      <w:r>
        <w:t xml:space="preserve"> a měl</w:t>
      </w:r>
      <w:r w:rsidRPr="00A72C75">
        <w:t xml:space="preserve"> mezinárodní přesah. </w:t>
      </w:r>
      <w:r>
        <w:t>K</w:t>
      </w:r>
      <w:r w:rsidRPr="00A72C75">
        <w:t xml:space="preserve">ontrola statusu detektivní prací, kterou není možné žádným způsobem </w:t>
      </w:r>
      <w:r>
        <w:t>zjednodušit.</w:t>
      </w:r>
    </w:p>
    <w:p w14:paraId="331299D5" w14:textId="77777777" w:rsidR="002958F7" w:rsidRDefault="002958F7" w:rsidP="002958F7">
      <w:r>
        <w:t>Kontrola žádostí o podporu je dle respondentů náročná zejména v důsledku neakceptování podmínek výzvy žadateli, nesprávnosti či neúplnosti podkladů (např. podnikatelský záměr), které žadatel k žádosti o podporu dokládá. Řešením časové náročnosti tohoto úkonu tak může být zjednodušení výzev, snížení počtu kritérií, která musí projekt splnit či zjednodušení podnikatelského záměru.</w:t>
      </w:r>
    </w:p>
    <w:p w14:paraId="6BA449F5" w14:textId="77777777" w:rsidR="002958F7" w:rsidRDefault="002958F7" w:rsidP="002958F7">
      <w:r w:rsidRPr="002160A7">
        <w:t xml:space="preserve">Také v případě </w:t>
      </w:r>
      <w:r>
        <w:t>žádostí o platbu vyplývá relativně vysoká časová náročnost z neúplnosti doložených dokladů či z nesprávného vyplnění údajů v MS2014+. Ke snížení administrace by částečně přispělo snížení počtu etap v projektech, tj. např. vyžadováním delších etap již ve výzvách k předkládání žádostí o podporu.</w:t>
      </w:r>
    </w:p>
    <w:p w14:paraId="18B62415" w14:textId="77777777" w:rsidR="002958F7" w:rsidRDefault="002958F7" w:rsidP="002958F7">
      <w:r>
        <w:t xml:space="preserve">Problematickou se u části projektů jeví administrace žádosti o změnu (před i po vydání rozhodnutí </w:t>
      </w:r>
      <w:r w:rsidR="006F1F4B">
        <w:br/>
      </w:r>
      <w:r>
        <w:t xml:space="preserve">o poskytnutí dotace), a to zejména v programu Aplikace, v němž se pracuje se směsnými poměry podpory. Vzhledem k tomu, že tento poměr je dán výpočtem z více faktorů, které nelze zanést </w:t>
      </w:r>
      <w:r w:rsidR="006F1F4B">
        <w:br/>
      </w:r>
      <w:r>
        <w:t>do MS2014+, musí o</w:t>
      </w:r>
      <w:r w:rsidRPr="000F3540">
        <w:t xml:space="preserve">věřování správnosti </w:t>
      </w:r>
      <w:r>
        <w:t xml:space="preserve">probíhat </w:t>
      </w:r>
      <w:r w:rsidRPr="000F3540">
        <w:t>přes celou řadu pomocných kontrolních nástrojů</w:t>
      </w:r>
      <w:r>
        <w:t xml:space="preserve">, čímž se samozřejmě časová náročnost celé administrace protahuje, a to a dvojnásobně v porovnání s ostatními programy OP PIK. Řešením by dle respondentů mohlo být spíše než se směsným poměrem pracovat s </w:t>
      </w:r>
      <w:r w:rsidRPr="000F3540">
        <w:t xml:space="preserve">přiřazením konkrétních měr podpory ke konkrétním rozpočtovým položkám, </w:t>
      </w:r>
      <w:r w:rsidR="006F1F4B">
        <w:br/>
      </w:r>
      <w:r w:rsidRPr="000F3540">
        <w:t xml:space="preserve">tj. kompletní úprava rozpočtu v MS2014+ a především jeho provázání do žádostí o změnu a žádostí </w:t>
      </w:r>
      <w:r w:rsidR="006F1F4B">
        <w:br/>
      </w:r>
      <w:r w:rsidRPr="000F3540">
        <w:t>o platbu.</w:t>
      </w:r>
    </w:p>
    <w:p w14:paraId="1E92F8A5" w14:textId="77777777" w:rsidR="002958F7" w:rsidRDefault="002958F7" w:rsidP="00C173BC">
      <w:pPr>
        <w:pStyle w:val="Standardntext"/>
        <w:rPr>
          <w:rFonts w:eastAsiaTheme="majorEastAsia"/>
        </w:rPr>
      </w:pPr>
      <w:r w:rsidRPr="00C173BC">
        <w:rPr>
          <w:b/>
          <w:bCs/>
          <w:color w:val="EF4350" w:themeColor="accent2"/>
        </w:rPr>
        <w:t>Administrativní kapacita</w:t>
      </w:r>
    </w:p>
    <w:p w14:paraId="0759A291" w14:textId="77777777" w:rsidR="002958F7" w:rsidRDefault="002958F7" w:rsidP="002958F7">
      <w:r>
        <w:t xml:space="preserve">Pro vypočtení administrativní kapacity bylo vycházeno z celkového časofondu každého útvaru. </w:t>
      </w:r>
      <w:r w:rsidR="006F1F4B">
        <w:br/>
      </w:r>
      <w:r>
        <w:t xml:space="preserve">Ten byl vypočten jako roční časofond pracovních hodin (2008 hodin pro rok 2019) připadajících </w:t>
      </w:r>
      <w:r w:rsidR="006F1F4B">
        <w:br/>
      </w:r>
      <w:r>
        <w:t>na celkové FTE daného útvaru, od něhož byly odečteny hodiny připadající na čerpání řádné dovolené a na nepřítomnost na pracovišti z důvodu nemoci</w:t>
      </w:r>
      <w:r>
        <w:rPr>
          <w:rStyle w:val="Znakapoznpodarou"/>
        </w:rPr>
        <w:footnoteReference w:id="17"/>
      </w:r>
      <w:r>
        <w:t xml:space="preserve">. Nezbytné bylo také vyčíslení podílu žádostí </w:t>
      </w:r>
      <w:r w:rsidR="006F1F4B">
        <w:br/>
      </w:r>
      <w:r>
        <w:t xml:space="preserve">o podporu, resp. administrovaných projektů připadající na každý odbor dle programu, který administruje. </w:t>
      </w:r>
    </w:p>
    <w:p w14:paraId="14BE593D" w14:textId="77777777" w:rsidR="002958F7" w:rsidRDefault="002958F7" w:rsidP="002958F7">
      <w:r>
        <w:t>Doba trvání jednotlivých úkonů vycházela z výše uvedené tabulky. Vzhledem k náročnější administraci programu Aplikace však musely být doby trvání upraveny u 3 úkonů – kontrola žádosti o změnu (D9 a D10) a kontrola ŽoP (D19). Pro odbor výzkumu, vývoje a inovací, který administruje program Aplikace, byly tyto doby o polovinu navýšeny.</w:t>
      </w:r>
    </w:p>
    <w:p w14:paraId="6572345A" w14:textId="77777777" w:rsidR="002958F7" w:rsidRDefault="002958F7" w:rsidP="002958F7">
      <w:r>
        <w:lastRenderedPageBreak/>
        <w:t xml:space="preserve">Aby mohla být posouzena velikost administrativní kapacity, bylo nutné počítat také s řídícími </w:t>
      </w:r>
      <w:r w:rsidR="006F1F4B">
        <w:br/>
      </w:r>
      <w:r>
        <w:t xml:space="preserve">a podpůrnými procesy, které každý útvar musí v rámci svého časofondu také obstarat. Z odpovědí respondentů vyplynulo, že tyto procesy zabírají </w:t>
      </w:r>
      <w:r w:rsidR="001C2369">
        <w:t>30</w:t>
      </w:r>
      <w:r w:rsidR="006F1F4B">
        <w:t xml:space="preserve"> </w:t>
      </w:r>
      <w:r w:rsidR="001C2369">
        <w:t>–</w:t>
      </w:r>
      <w:r w:rsidR="006F1F4B">
        <w:t xml:space="preserve"> </w:t>
      </w:r>
      <w:r w:rsidR="001C2369">
        <w:t>40</w:t>
      </w:r>
      <w:r>
        <w:t xml:space="preserve"> % časofondu. Pro účely této analýzy </w:t>
      </w:r>
      <w:r w:rsidR="72BFDFCB">
        <w:t>b</w:t>
      </w:r>
      <w:r>
        <w:t xml:space="preserve">yla zvolena střední hodnota, tj. 35 %. </w:t>
      </w:r>
    </w:p>
    <w:p w14:paraId="694F4D90" w14:textId="77777777" w:rsidR="002958F7" w:rsidRDefault="002958F7" w:rsidP="002958F7">
      <w:r>
        <w:t>Výše uvedeným metodickým postupem vznikla následující tabulka. Z ní vyplývá, že s výjimkou Odboru inovační infrastruktury, v níž je kapacita nadhodnocená, by na úrovni všech odborů věnujících se implementaci OP PIK chyběla kapacita o více než 9 300 hodin ročně, což by odpovídalo 5,2 FTE. Toto by platilo za předpokladu, kdy by pomocné a řídící procesy činily odhadovaných 35 % časofondu. Samotná administrativní kapacita na úkony v hlavních implementačních procesech zabírá v celkovém časofondu 72 %. Pokud by řídící a pomocné procesy tvořily 30 % celkové</w:t>
      </w:r>
      <w:r w:rsidR="009B07E5">
        <w:t>ho</w:t>
      </w:r>
      <w:r>
        <w:t xml:space="preserve"> časofondu, chyběla by </w:t>
      </w:r>
      <w:r w:rsidR="006F1F4B">
        <w:br/>
      </w:r>
      <w:r>
        <w:t xml:space="preserve">na 4 diskutovaných odborech kapacita ve výši 1,5 FTE. </w:t>
      </w:r>
      <w:r w:rsidR="009B07E5">
        <w:t xml:space="preserve">Z výše </w:t>
      </w:r>
      <w:r w:rsidR="003A3D63">
        <w:t>uvedeného je tedy pa</w:t>
      </w:r>
      <w:r w:rsidR="009B07E5">
        <w:t>t</w:t>
      </w:r>
      <w:r w:rsidR="003A3D63">
        <w:t>r</w:t>
      </w:r>
      <w:r w:rsidR="009B07E5">
        <w:t xml:space="preserve">né, jak relativně drobná odchylka v odhadu podílu řídících a podpůrných procesů může ovlivnit </w:t>
      </w:r>
      <w:r w:rsidR="003A3D63">
        <w:t xml:space="preserve">hodnocení celkové administrativní kapacity. </w:t>
      </w:r>
      <w:r>
        <w:t xml:space="preserve">Protože jsou tyto závěry založeny na odhadu několika málo respondentů, byly konfrontovány s dvěma dalšími aspekty. </w:t>
      </w:r>
      <w:bookmarkStart w:id="132" w:name="_Hlk46244450"/>
      <w:bookmarkStart w:id="133" w:name="_Hlk46244532"/>
      <w:bookmarkEnd w:id="132"/>
      <w:bookmarkEnd w:id="133"/>
    </w:p>
    <w:p w14:paraId="225F8A98" w14:textId="5B277E93" w:rsidR="002958F7" w:rsidRDefault="002958F7" w:rsidP="002958F7">
      <w:pPr>
        <w:pStyle w:val="Titulek"/>
      </w:pPr>
      <w:bookmarkStart w:id="134" w:name="_Toc50456758"/>
      <w:bookmarkStart w:id="135" w:name="_Hlk46244171"/>
      <w:r>
        <w:t xml:space="preserve">Tabulka </w:t>
      </w:r>
      <w:r w:rsidR="00C050DB">
        <w:fldChar w:fldCharType="begin"/>
      </w:r>
      <w:r w:rsidR="00C050DB">
        <w:instrText xml:space="preserve"> SEQ Tabulka \* ARABIC </w:instrText>
      </w:r>
      <w:r w:rsidR="00C050DB">
        <w:fldChar w:fldCharType="separate"/>
      </w:r>
      <w:r w:rsidR="00E96F43">
        <w:rPr>
          <w:noProof/>
        </w:rPr>
        <w:t>25</w:t>
      </w:r>
      <w:r w:rsidR="00C050DB">
        <w:rPr>
          <w:noProof/>
        </w:rPr>
        <w:fldChar w:fldCharType="end"/>
      </w:r>
      <w:r>
        <w:t>: Vypočtená administrativní kapacita dle odborů</w:t>
      </w:r>
      <w:bookmarkEnd w:id="134"/>
    </w:p>
    <w:tbl>
      <w:tblPr>
        <w:tblStyle w:val="Styl1"/>
        <w:tblW w:w="4998" w:type="pct"/>
        <w:tblLayout w:type="fixed"/>
        <w:tblLook w:val="04A0" w:firstRow="1" w:lastRow="0" w:firstColumn="1" w:lastColumn="0" w:noHBand="0" w:noVBand="1"/>
      </w:tblPr>
      <w:tblGrid>
        <w:gridCol w:w="2126"/>
        <w:gridCol w:w="1021"/>
        <w:gridCol w:w="680"/>
        <w:gridCol w:w="1135"/>
        <w:gridCol w:w="1703"/>
        <w:gridCol w:w="1135"/>
        <w:gridCol w:w="1268"/>
      </w:tblGrid>
      <w:tr w:rsidR="002958F7" w:rsidRPr="004561DD" w14:paraId="128D8C38" w14:textId="77777777" w:rsidTr="00C173BC">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1172" w:type="pct"/>
            <w:hideMark/>
          </w:tcPr>
          <w:p w14:paraId="4654B7AB" w14:textId="77777777" w:rsidR="002958F7" w:rsidRPr="004561DD" w:rsidRDefault="002958F7" w:rsidP="00C173BC">
            <w:pPr>
              <w:rPr>
                <w:rFonts w:ascii="Times New Roman" w:eastAsia="Times New Roman" w:hAnsi="Times New Roman" w:cs="Times New Roman"/>
                <w:sz w:val="24"/>
                <w:szCs w:val="24"/>
                <w:lang w:eastAsia="cs-CZ"/>
              </w:rPr>
            </w:pPr>
          </w:p>
        </w:tc>
        <w:tc>
          <w:tcPr>
            <w:tcW w:w="563" w:type="pct"/>
            <w:noWrap/>
            <w:hideMark/>
          </w:tcPr>
          <w:p w14:paraId="3B16FBC7" w14:textId="77777777" w:rsidR="002958F7" w:rsidRPr="004561DD" w:rsidRDefault="002958F7" w:rsidP="00C173B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cs-CZ"/>
              </w:rPr>
            </w:pPr>
            <w:r w:rsidRPr="004561DD">
              <w:rPr>
                <w:rFonts w:ascii="Calibri" w:eastAsia="Times New Roman" w:hAnsi="Calibri" w:cs="Calibri"/>
                <w:lang w:eastAsia="cs-CZ"/>
              </w:rPr>
              <w:t>Podíl admin. projektů</w:t>
            </w:r>
          </w:p>
        </w:tc>
        <w:tc>
          <w:tcPr>
            <w:tcW w:w="375" w:type="pct"/>
            <w:noWrap/>
            <w:hideMark/>
          </w:tcPr>
          <w:p w14:paraId="7BC5E744" w14:textId="77777777" w:rsidR="002958F7" w:rsidRPr="004561DD" w:rsidRDefault="002958F7" w:rsidP="00C173B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cs-CZ"/>
              </w:rPr>
            </w:pPr>
            <w:r w:rsidRPr="004561DD">
              <w:rPr>
                <w:rFonts w:ascii="Calibri" w:eastAsia="Times New Roman" w:hAnsi="Calibri" w:cs="Calibri"/>
                <w:lang w:eastAsia="cs-CZ"/>
              </w:rPr>
              <w:t>FTE 2019</w:t>
            </w:r>
          </w:p>
        </w:tc>
        <w:tc>
          <w:tcPr>
            <w:tcW w:w="626" w:type="pct"/>
            <w:noWrap/>
            <w:hideMark/>
          </w:tcPr>
          <w:p w14:paraId="72462412" w14:textId="77777777" w:rsidR="002958F7" w:rsidRPr="004561DD" w:rsidRDefault="002958F7" w:rsidP="00C173B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cs-CZ"/>
              </w:rPr>
            </w:pPr>
            <w:r w:rsidRPr="004561DD">
              <w:rPr>
                <w:rFonts w:ascii="Calibri" w:eastAsia="Times New Roman" w:hAnsi="Calibri" w:cs="Calibri"/>
                <w:lang w:eastAsia="cs-CZ"/>
              </w:rPr>
              <w:t xml:space="preserve">Celkový časofond </w:t>
            </w:r>
          </w:p>
        </w:tc>
        <w:tc>
          <w:tcPr>
            <w:tcW w:w="939" w:type="pct"/>
            <w:noWrap/>
            <w:hideMark/>
          </w:tcPr>
          <w:p w14:paraId="07E2B6DC" w14:textId="77777777" w:rsidR="002958F7" w:rsidRPr="004561DD" w:rsidRDefault="002958F7" w:rsidP="00C173B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cs-CZ"/>
              </w:rPr>
            </w:pPr>
            <w:r w:rsidRPr="004561DD">
              <w:rPr>
                <w:rFonts w:ascii="Calibri" w:eastAsia="Times New Roman" w:hAnsi="Calibri" w:cs="Calibri"/>
                <w:lang w:eastAsia="cs-CZ"/>
              </w:rPr>
              <w:t>Implementační procesy</w:t>
            </w:r>
          </w:p>
        </w:tc>
        <w:tc>
          <w:tcPr>
            <w:tcW w:w="626" w:type="pct"/>
            <w:noWrap/>
            <w:hideMark/>
          </w:tcPr>
          <w:p w14:paraId="1F8DD431" w14:textId="77777777" w:rsidR="002958F7" w:rsidRPr="004561DD" w:rsidRDefault="002958F7" w:rsidP="00C173B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lang w:eastAsia="cs-CZ"/>
              </w:rPr>
            </w:pPr>
            <w:r w:rsidRPr="004561DD">
              <w:rPr>
                <w:rFonts w:ascii="Calibri" w:eastAsia="Times New Roman" w:hAnsi="Calibri" w:cs="Calibri"/>
                <w:lang w:eastAsia="cs-CZ"/>
              </w:rPr>
              <w:t>Pomocné a řídící procesy</w:t>
            </w:r>
          </w:p>
        </w:tc>
        <w:tc>
          <w:tcPr>
            <w:tcW w:w="699" w:type="pct"/>
          </w:tcPr>
          <w:p w14:paraId="1F120D1B" w14:textId="77777777" w:rsidR="002958F7" w:rsidRPr="004561DD" w:rsidRDefault="002958F7" w:rsidP="00C173B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cs-CZ"/>
              </w:rPr>
            </w:pPr>
            <w:r w:rsidRPr="004561DD">
              <w:rPr>
                <w:rFonts w:ascii="Calibri" w:eastAsia="Times New Roman" w:hAnsi="Calibri" w:cs="Calibri"/>
                <w:lang w:eastAsia="cs-CZ"/>
              </w:rPr>
              <w:t>Rozdíl (časofond – procesy)</w:t>
            </w:r>
          </w:p>
        </w:tc>
      </w:tr>
      <w:tr w:rsidR="002958F7" w:rsidRPr="007D102F" w14:paraId="6F6BA880" w14:textId="77777777" w:rsidTr="00C173B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2" w:type="pct"/>
            <w:hideMark/>
          </w:tcPr>
          <w:p w14:paraId="5B48F7CA" w14:textId="77777777" w:rsidR="002958F7" w:rsidRPr="007D102F" w:rsidRDefault="002958F7" w:rsidP="00C173BC">
            <w:pPr>
              <w:rPr>
                <w:rFonts w:ascii="Calibri" w:eastAsia="Times New Roman" w:hAnsi="Calibri" w:cs="Calibri"/>
                <w:color w:val="000000"/>
                <w:lang w:eastAsia="cs-CZ"/>
              </w:rPr>
            </w:pPr>
            <w:r w:rsidRPr="007D102F">
              <w:rPr>
                <w:rFonts w:ascii="Calibri" w:eastAsia="Times New Roman" w:hAnsi="Calibri" w:cs="Calibri"/>
                <w:color w:val="000000"/>
                <w:lang w:eastAsia="cs-CZ"/>
              </w:rPr>
              <w:t>Celkem</w:t>
            </w:r>
            <w:r>
              <w:rPr>
                <w:rStyle w:val="Znakapoznpodarou"/>
                <w:rFonts w:ascii="Calibri" w:eastAsia="Times New Roman" w:hAnsi="Calibri" w:cs="Calibri"/>
                <w:color w:val="000000"/>
                <w:lang w:eastAsia="cs-CZ"/>
              </w:rPr>
              <w:footnoteReference w:id="18"/>
            </w:r>
          </w:p>
        </w:tc>
        <w:tc>
          <w:tcPr>
            <w:tcW w:w="563" w:type="pct"/>
            <w:noWrap/>
            <w:hideMark/>
          </w:tcPr>
          <w:p w14:paraId="1956EA1C" w14:textId="77777777" w:rsidR="002958F7" w:rsidRPr="007D102F" w:rsidRDefault="002958F7" w:rsidP="00C173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cs-CZ"/>
              </w:rPr>
            </w:pPr>
            <w:r>
              <w:rPr>
                <w:rFonts w:ascii="Calibri" w:hAnsi="Calibri" w:cs="Calibri"/>
                <w:color w:val="000000"/>
              </w:rPr>
              <w:t>100%</w:t>
            </w:r>
          </w:p>
        </w:tc>
        <w:tc>
          <w:tcPr>
            <w:tcW w:w="375" w:type="pct"/>
            <w:noWrap/>
            <w:hideMark/>
          </w:tcPr>
          <w:p w14:paraId="365FF2F6" w14:textId="77777777" w:rsidR="002958F7" w:rsidRPr="007D102F" w:rsidRDefault="002958F7" w:rsidP="00C173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cs-CZ"/>
              </w:rPr>
            </w:pPr>
            <w:r>
              <w:rPr>
                <w:rFonts w:ascii="Calibri" w:hAnsi="Calibri" w:cs="Calibri"/>
                <w:color w:val="000000"/>
              </w:rPr>
              <w:t>73,4</w:t>
            </w:r>
          </w:p>
        </w:tc>
        <w:tc>
          <w:tcPr>
            <w:tcW w:w="626" w:type="pct"/>
            <w:noWrap/>
            <w:hideMark/>
          </w:tcPr>
          <w:p w14:paraId="19F8A973" w14:textId="77777777" w:rsidR="002958F7" w:rsidRPr="007D102F" w:rsidRDefault="002958F7" w:rsidP="00C173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cs-CZ"/>
              </w:rPr>
            </w:pPr>
            <w:r>
              <w:rPr>
                <w:rFonts w:ascii="Calibri" w:hAnsi="Calibri" w:cs="Calibri"/>
                <w:color w:val="000000"/>
              </w:rPr>
              <w:t>132 707</w:t>
            </w:r>
          </w:p>
        </w:tc>
        <w:tc>
          <w:tcPr>
            <w:tcW w:w="939" w:type="pct"/>
            <w:noWrap/>
            <w:hideMark/>
          </w:tcPr>
          <w:p w14:paraId="738971B2" w14:textId="77777777" w:rsidR="002958F7" w:rsidRPr="007D102F" w:rsidRDefault="002958F7" w:rsidP="00C173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cs-CZ"/>
              </w:rPr>
            </w:pPr>
            <w:r>
              <w:rPr>
                <w:rFonts w:ascii="Calibri" w:hAnsi="Calibri" w:cs="Calibri"/>
                <w:color w:val="000000"/>
              </w:rPr>
              <w:t>95 599</w:t>
            </w:r>
          </w:p>
        </w:tc>
        <w:tc>
          <w:tcPr>
            <w:tcW w:w="626" w:type="pct"/>
            <w:noWrap/>
            <w:hideMark/>
          </w:tcPr>
          <w:p w14:paraId="7ADBC075" w14:textId="77777777" w:rsidR="002958F7" w:rsidRPr="007D102F" w:rsidRDefault="002958F7" w:rsidP="00C173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cs-CZ"/>
              </w:rPr>
            </w:pPr>
            <w:r>
              <w:rPr>
                <w:rFonts w:ascii="Calibri" w:hAnsi="Calibri" w:cs="Calibri"/>
                <w:color w:val="000000"/>
              </w:rPr>
              <w:t>46 448</w:t>
            </w:r>
          </w:p>
        </w:tc>
        <w:tc>
          <w:tcPr>
            <w:tcW w:w="699" w:type="pct"/>
            <w:noWrap/>
            <w:hideMark/>
          </w:tcPr>
          <w:p w14:paraId="5B734003" w14:textId="77777777" w:rsidR="002958F7" w:rsidRPr="007D102F" w:rsidRDefault="002958F7" w:rsidP="00C173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0000"/>
                <w:lang w:eastAsia="cs-CZ"/>
              </w:rPr>
            </w:pPr>
            <w:r w:rsidRPr="00C05D75">
              <w:rPr>
                <w:rFonts w:ascii="Calibri" w:hAnsi="Calibri" w:cs="Calibri"/>
                <w:b/>
                <w:color w:val="FF0000"/>
              </w:rPr>
              <w:t>-9 339</w:t>
            </w:r>
          </w:p>
        </w:tc>
      </w:tr>
      <w:tr w:rsidR="002958F7" w:rsidRPr="007D102F" w14:paraId="0C090C04" w14:textId="77777777" w:rsidTr="00C173BC">
        <w:trPr>
          <w:trHeight w:val="288"/>
        </w:trPr>
        <w:tc>
          <w:tcPr>
            <w:cnfStyle w:val="001000000000" w:firstRow="0" w:lastRow="0" w:firstColumn="1" w:lastColumn="0" w:oddVBand="0" w:evenVBand="0" w:oddHBand="0" w:evenHBand="0" w:firstRowFirstColumn="0" w:firstRowLastColumn="0" w:lastRowFirstColumn="0" w:lastRowLastColumn="0"/>
            <w:tcW w:w="1172" w:type="pct"/>
            <w:hideMark/>
          </w:tcPr>
          <w:p w14:paraId="102C288B" w14:textId="77777777" w:rsidR="002958F7" w:rsidRPr="007D102F" w:rsidRDefault="002958F7" w:rsidP="00C173BC">
            <w:pPr>
              <w:rPr>
                <w:rFonts w:ascii="Calibri" w:eastAsia="Times New Roman" w:hAnsi="Calibri" w:cs="Calibri"/>
                <w:color w:val="000000"/>
                <w:lang w:eastAsia="cs-CZ"/>
              </w:rPr>
            </w:pPr>
            <w:r w:rsidRPr="007D102F">
              <w:rPr>
                <w:rFonts w:ascii="Calibri" w:eastAsia="Times New Roman" w:hAnsi="Calibri" w:cs="Calibri"/>
                <w:color w:val="000000"/>
                <w:lang w:eastAsia="cs-CZ"/>
              </w:rPr>
              <w:t>Odbor výzkumu, vývoje a inovací</w:t>
            </w:r>
          </w:p>
        </w:tc>
        <w:tc>
          <w:tcPr>
            <w:tcW w:w="563" w:type="pct"/>
            <w:noWrap/>
            <w:hideMark/>
          </w:tcPr>
          <w:p w14:paraId="091C21A9" w14:textId="77777777" w:rsidR="002958F7" w:rsidRPr="007D102F" w:rsidRDefault="002958F7" w:rsidP="00C173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cs-CZ"/>
              </w:rPr>
            </w:pPr>
            <w:r>
              <w:rPr>
                <w:rFonts w:ascii="Calibri" w:hAnsi="Calibri" w:cs="Calibri"/>
                <w:color w:val="000000"/>
              </w:rPr>
              <w:t>26%</w:t>
            </w:r>
          </w:p>
        </w:tc>
        <w:tc>
          <w:tcPr>
            <w:tcW w:w="375" w:type="pct"/>
            <w:noWrap/>
            <w:hideMark/>
          </w:tcPr>
          <w:p w14:paraId="1743F69C" w14:textId="77777777" w:rsidR="002958F7" w:rsidRPr="007D102F" w:rsidRDefault="002958F7" w:rsidP="00C173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cs-CZ"/>
              </w:rPr>
            </w:pPr>
            <w:r>
              <w:rPr>
                <w:rFonts w:ascii="Calibri" w:hAnsi="Calibri" w:cs="Calibri"/>
                <w:color w:val="000000"/>
              </w:rPr>
              <w:t>16,8</w:t>
            </w:r>
          </w:p>
        </w:tc>
        <w:tc>
          <w:tcPr>
            <w:tcW w:w="626" w:type="pct"/>
            <w:noWrap/>
            <w:hideMark/>
          </w:tcPr>
          <w:p w14:paraId="25588A94" w14:textId="77777777" w:rsidR="002958F7" w:rsidRPr="007D102F" w:rsidRDefault="002958F7" w:rsidP="00C173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cs-CZ"/>
              </w:rPr>
            </w:pPr>
            <w:r>
              <w:rPr>
                <w:rFonts w:ascii="Calibri" w:hAnsi="Calibri" w:cs="Calibri"/>
                <w:color w:val="000000"/>
              </w:rPr>
              <w:t>30 302</w:t>
            </w:r>
          </w:p>
        </w:tc>
        <w:tc>
          <w:tcPr>
            <w:tcW w:w="939" w:type="pct"/>
            <w:noWrap/>
            <w:hideMark/>
          </w:tcPr>
          <w:p w14:paraId="50C90351" w14:textId="77777777" w:rsidR="002958F7" w:rsidRPr="007D102F" w:rsidRDefault="002958F7" w:rsidP="00C173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cs-CZ"/>
              </w:rPr>
            </w:pPr>
            <w:r>
              <w:rPr>
                <w:rFonts w:ascii="Calibri" w:hAnsi="Calibri" w:cs="Calibri"/>
                <w:color w:val="000000"/>
              </w:rPr>
              <w:t>27 193</w:t>
            </w:r>
          </w:p>
        </w:tc>
        <w:tc>
          <w:tcPr>
            <w:tcW w:w="626" w:type="pct"/>
            <w:noWrap/>
            <w:hideMark/>
          </w:tcPr>
          <w:p w14:paraId="4A911311" w14:textId="77777777" w:rsidR="002958F7" w:rsidRPr="007D102F" w:rsidRDefault="002958F7" w:rsidP="00C173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cs-CZ"/>
              </w:rPr>
            </w:pPr>
            <w:r>
              <w:rPr>
                <w:rFonts w:ascii="Calibri" w:hAnsi="Calibri" w:cs="Calibri"/>
                <w:color w:val="000000"/>
              </w:rPr>
              <w:t>10 606</w:t>
            </w:r>
          </w:p>
        </w:tc>
        <w:tc>
          <w:tcPr>
            <w:tcW w:w="699" w:type="pct"/>
            <w:noWrap/>
            <w:hideMark/>
          </w:tcPr>
          <w:p w14:paraId="3A954872" w14:textId="77777777" w:rsidR="002958F7" w:rsidRPr="007D102F" w:rsidRDefault="002958F7" w:rsidP="00C173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FF0000"/>
                <w:lang w:eastAsia="cs-CZ"/>
              </w:rPr>
            </w:pPr>
            <w:r w:rsidRPr="00C05D75">
              <w:rPr>
                <w:rFonts w:ascii="Calibri" w:hAnsi="Calibri" w:cs="Calibri"/>
                <w:b/>
                <w:color w:val="FF0000"/>
              </w:rPr>
              <w:t>-7 497</w:t>
            </w:r>
          </w:p>
        </w:tc>
      </w:tr>
      <w:tr w:rsidR="002958F7" w:rsidRPr="007D102F" w14:paraId="56140DC3" w14:textId="77777777" w:rsidTr="00C173B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2" w:type="pct"/>
            <w:hideMark/>
          </w:tcPr>
          <w:p w14:paraId="521EBDAF" w14:textId="77777777" w:rsidR="002958F7" w:rsidRPr="007D102F" w:rsidRDefault="002958F7" w:rsidP="00C173BC">
            <w:pPr>
              <w:rPr>
                <w:rFonts w:ascii="Calibri" w:eastAsia="Times New Roman" w:hAnsi="Calibri" w:cs="Calibri"/>
                <w:color w:val="000000"/>
                <w:lang w:eastAsia="cs-CZ"/>
              </w:rPr>
            </w:pPr>
            <w:r w:rsidRPr="007D102F">
              <w:rPr>
                <w:rFonts w:ascii="Calibri" w:eastAsia="Times New Roman" w:hAnsi="Calibri" w:cs="Calibri"/>
                <w:color w:val="000000"/>
                <w:lang w:eastAsia="cs-CZ"/>
              </w:rPr>
              <w:t>Odbor ICT programů a podpory MSP</w:t>
            </w:r>
          </w:p>
        </w:tc>
        <w:tc>
          <w:tcPr>
            <w:tcW w:w="563" w:type="pct"/>
            <w:noWrap/>
            <w:hideMark/>
          </w:tcPr>
          <w:p w14:paraId="005FC050" w14:textId="77777777" w:rsidR="002958F7" w:rsidRPr="007D102F" w:rsidRDefault="002958F7" w:rsidP="00C173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cs-CZ"/>
              </w:rPr>
            </w:pPr>
            <w:r>
              <w:rPr>
                <w:rFonts w:ascii="Calibri" w:hAnsi="Calibri" w:cs="Calibri"/>
                <w:color w:val="000000"/>
              </w:rPr>
              <w:t>26%</w:t>
            </w:r>
          </w:p>
        </w:tc>
        <w:tc>
          <w:tcPr>
            <w:tcW w:w="375" w:type="pct"/>
            <w:noWrap/>
            <w:hideMark/>
          </w:tcPr>
          <w:p w14:paraId="74617974" w14:textId="77777777" w:rsidR="002958F7" w:rsidRPr="007D102F" w:rsidRDefault="002958F7" w:rsidP="00C173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cs-CZ"/>
              </w:rPr>
            </w:pPr>
            <w:r>
              <w:rPr>
                <w:rFonts w:ascii="Calibri" w:hAnsi="Calibri" w:cs="Calibri"/>
                <w:color w:val="000000"/>
              </w:rPr>
              <w:t>17,6</w:t>
            </w:r>
          </w:p>
        </w:tc>
        <w:tc>
          <w:tcPr>
            <w:tcW w:w="626" w:type="pct"/>
            <w:noWrap/>
            <w:hideMark/>
          </w:tcPr>
          <w:p w14:paraId="5A7D406A" w14:textId="77777777" w:rsidR="002958F7" w:rsidRPr="007D102F" w:rsidRDefault="002958F7" w:rsidP="00C173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cs-CZ"/>
              </w:rPr>
            </w:pPr>
            <w:r>
              <w:rPr>
                <w:rFonts w:ascii="Calibri" w:hAnsi="Calibri" w:cs="Calibri"/>
                <w:color w:val="000000"/>
              </w:rPr>
              <w:t>31 893</w:t>
            </w:r>
          </w:p>
        </w:tc>
        <w:tc>
          <w:tcPr>
            <w:tcW w:w="939" w:type="pct"/>
            <w:noWrap/>
            <w:hideMark/>
          </w:tcPr>
          <w:p w14:paraId="121D12AE" w14:textId="77777777" w:rsidR="002958F7" w:rsidRPr="007D102F" w:rsidRDefault="002958F7" w:rsidP="00C173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cs-CZ"/>
              </w:rPr>
            </w:pPr>
            <w:r>
              <w:rPr>
                <w:rFonts w:ascii="Calibri" w:hAnsi="Calibri" w:cs="Calibri"/>
                <w:color w:val="000000"/>
              </w:rPr>
              <w:t>24 034</w:t>
            </w:r>
          </w:p>
        </w:tc>
        <w:tc>
          <w:tcPr>
            <w:tcW w:w="626" w:type="pct"/>
            <w:noWrap/>
            <w:hideMark/>
          </w:tcPr>
          <w:p w14:paraId="00624D78" w14:textId="77777777" w:rsidR="002958F7" w:rsidRPr="007D102F" w:rsidRDefault="002958F7" w:rsidP="00C173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cs-CZ"/>
              </w:rPr>
            </w:pPr>
            <w:r>
              <w:rPr>
                <w:rFonts w:ascii="Calibri" w:hAnsi="Calibri" w:cs="Calibri"/>
                <w:color w:val="000000"/>
              </w:rPr>
              <w:t>11 163</w:t>
            </w:r>
          </w:p>
        </w:tc>
        <w:tc>
          <w:tcPr>
            <w:tcW w:w="699" w:type="pct"/>
            <w:noWrap/>
            <w:hideMark/>
          </w:tcPr>
          <w:p w14:paraId="5642A72B" w14:textId="77777777" w:rsidR="002958F7" w:rsidRPr="007D102F" w:rsidRDefault="002958F7" w:rsidP="00C173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0000"/>
                <w:lang w:eastAsia="cs-CZ"/>
              </w:rPr>
            </w:pPr>
            <w:r w:rsidRPr="00C05D75">
              <w:rPr>
                <w:rFonts w:ascii="Calibri" w:hAnsi="Calibri" w:cs="Calibri"/>
                <w:b/>
                <w:color w:val="FF0000"/>
              </w:rPr>
              <w:t>-3 304</w:t>
            </w:r>
          </w:p>
        </w:tc>
      </w:tr>
      <w:tr w:rsidR="002958F7" w:rsidRPr="007D102F" w14:paraId="4CC7D167" w14:textId="77777777" w:rsidTr="00C173BC">
        <w:trPr>
          <w:trHeight w:val="288"/>
        </w:trPr>
        <w:tc>
          <w:tcPr>
            <w:cnfStyle w:val="001000000000" w:firstRow="0" w:lastRow="0" w:firstColumn="1" w:lastColumn="0" w:oddVBand="0" w:evenVBand="0" w:oddHBand="0" w:evenHBand="0" w:firstRowFirstColumn="0" w:firstRowLastColumn="0" w:lastRowFirstColumn="0" w:lastRowLastColumn="0"/>
            <w:tcW w:w="1172" w:type="pct"/>
            <w:hideMark/>
          </w:tcPr>
          <w:p w14:paraId="5A60E4B4" w14:textId="77777777" w:rsidR="002958F7" w:rsidRPr="007D102F" w:rsidRDefault="002958F7" w:rsidP="00C173BC">
            <w:pPr>
              <w:rPr>
                <w:rFonts w:ascii="Calibri" w:eastAsia="Times New Roman" w:hAnsi="Calibri" w:cs="Calibri"/>
                <w:color w:val="000000"/>
                <w:lang w:eastAsia="cs-CZ"/>
              </w:rPr>
            </w:pPr>
            <w:r w:rsidRPr="007D102F">
              <w:rPr>
                <w:rFonts w:ascii="Calibri" w:eastAsia="Times New Roman" w:hAnsi="Calibri" w:cs="Calibri"/>
                <w:color w:val="000000"/>
                <w:lang w:eastAsia="cs-CZ"/>
              </w:rPr>
              <w:t>Odbor inovační infrastruktury</w:t>
            </w:r>
          </w:p>
        </w:tc>
        <w:tc>
          <w:tcPr>
            <w:tcW w:w="563" w:type="pct"/>
            <w:noWrap/>
            <w:hideMark/>
          </w:tcPr>
          <w:p w14:paraId="5232B8B0" w14:textId="77777777" w:rsidR="002958F7" w:rsidRPr="007D102F" w:rsidRDefault="002958F7" w:rsidP="00C173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cs-CZ"/>
              </w:rPr>
            </w:pPr>
            <w:r>
              <w:rPr>
                <w:rFonts w:ascii="Calibri" w:hAnsi="Calibri" w:cs="Calibri"/>
                <w:color w:val="000000"/>
              </w:rPr>
              <w:t>6%</w:t>
            </w:r>
          </w:p>
        </w:tc>
        <w:tc>
          <w:tcPr>
            <w:tcW w:w="375" w:type="pct"/>
            <w:noWrap/>
            <w:hideMark/>
          </w:tcPr>
          <w:p w14:paraId="7EE415F8" w14:textId="77777777" w:rsidR="002958F7" w:rsidRPr="007D102F" w:rsidRDefault="002958F7" w:rsidP="00C173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cs-CZ"/>
              </w:rPr>
            </w:pPr>
            <w:r>
              <w:rPr>
                <w:rFonts w:ascii="Calibri" w:hAnsi="Calibri" w:cs="Calibri"/>
                <w:color w:val="000000"/>
              </w:rPr>
              <w:t>13,6</w:t>
            </w:r>
          </w:p>
        </w:tc>
        <w:tc>
          <w:tcPr>
            <w:tcW w:w="626" w:type="pct"/>
            <w:noWrap/>
            <w:hideMark/>
          </w:tcPr>
          <w:p w14:paraId="0F2BC9BA" w14:textId="77777777" w:rsidR="002958F7" w:rsidRPr="007D102F" w:rsidRDefault="002958F7" w:rsidP="00C173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cs-CZ"/>
              </w:rPr>
            </w:pPr>
            <w:r>
              <w:rPr>
                <w:rFonts w:ascii="Calibri" w:hAnsi="Calibri" w:cs="Calibri"/>
                <w:color w:val="000000"/>
              </w:rPr>
              <w:t>24 553</w:t>
            </w:r>
          </w:p>
        </w:tc>
        <w:tc>
          <w:tcPr>
            <w:tcW w:w="939" w:type="pct"/>
            <w:noWrap/>
            <w:hideMark/>
          </w:tcPr>
          <w:p w14:paraId="1DE69726" w14:textId="77777777" w:rsidR="002958F7" w:rsidRPr="007D102F" w:rsidRDefault="002958F7" w:rsidP="00C173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cs-CZ"/>
              </w:rPr>
            </w:pPr>
            <w:r>
              <w:rPr>
                <w:rFonts w:ascii="Calibri" w:hAnsi="Calibri" w:cs="Calibri"/>
                <w:color w:val="000000"/>
              </w:rPr>
              <w:t>5 546</w:t>
            </w:r>
          </w:p>
        </w:tc>
        <w:tc>
          <w:tcPr>
            <w:tcW w:w="626" w:type="pct"/>
            <w:noWrap/>
            <w:hideMark/>
          </w:tcPr>
          <w:p w14:paraId="32415796" w14:textId="77777777" w:rsidR="002958F7" w:rsidRPr="007D102F" w:rsidRDefault="002958F7" w:rsidP="00C173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cs-CZ"/>
              </w:rPr>
            </w:pPr>
            <w:r>
              <w:rPr>
                <w:rFonts w:ascii="Calibri" w:hAnsi="Calibri" w:cs="Calibri"/>
                <w:color w:val="000000"/>
              </w:rPr>
              <w:t>8 593</w:t>
            </w:r>
          </w:p>
        </w:tc>
        <w:tc>
          <w:tcPr>
            <w:tcW w:w="699" w:type="pct"/>
            <w:noWrap/>
            <w:hideMark/>
          </w:tcPr>
          <w:p w14:paraId="0FC9D39C" w14:textId="77777777" w:rsidR="002958F7" w:rsidRPr="007D102F" w:rsidRDefault="002958F7" w:rsidP="00C173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cs-CZ"/>
              </w:rPr>
            </w:pPr>
            <w:r w:rsidRPr="00C05D75">
              <w:rPr>
                <w:rFonts w:ascii="Calibri" w:hAnsi="Calibri" w:cs="Calibri"/>
                <w:b/>
                <w:color w:val="000000"/>
              </w:rPr>
              <w:t>10 413</w:t>
            </w:r>
          </w:p>
        </w:tc>
      </w:tr>
      <w:tr w:rsidR="002958F7" w:rsidRPr="007D102F" w14:paraId="2B91E105" w14:textId="77777777" w:rsidTr="00C173B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2" w:type="pct"/>
            <w:noWrap/>
            <w:hideMark/>
          </w:tcPr>
          <w:p w14:paraId="28B92C12" w14:textId="77777777" w:rsidR="002958F7" w:rsidRPr="007D102F" w:rsidRDefault="002958F7" w:rsidP="00C173BC">
            <w:pPr>
              <w:rPr>
                <w:rFonts w:ascii="Calibri" w:eastAsia="Times New Roman" w:hAnsi="Calibri" w:cs="Calibri"/>
                <w:color w:val="000000"/>
                <w:lang w:eastAsia="cs-CZ"/>
              </w:rPr>
            </w:pPr>
            <w:r w:rsidRPr="007D102F">
              <w:rPr>
                <w:rFonts w:ascii="Calibri" w:eastAsia="Times New Roman" w:hAnsi="Calibri" w:cs="Calibri"/>
                <w:color w:val="000000"/>
                <w:lang w:eastAsia="cs-CZ"/>
              </w:rPr>
              <w:t>Odbor energet</w:t>
            </w:r>
            <w:r>
              <w:rPr>
                <w:rFonts w:ascii="Calibri" w:eastAsia="Times New Roman" w:hAnsi="Calibri" w:cs="Calibri"/>
                <w:color w:val="000000"/>
                <w:lang w:eastAsia="cs-CZ"/>
              </w:rPr>
              <w:t>.</w:t>
            </w:r>
            <w:r w:rsidRPr="007D102F">
              <w:rPr>
                <w:rFonts w:ascii="Calibri" w:eastAsia="Times New Roman" w:hAnsi="Calibri" w:cs="Calibri"/>
                <w:color w:val="000000"/>
                <w:lang w:eastAsia="cs-CZ"/>
              </w:rPr>
              <w:t xml:space="preserve"> </w:t>
            </w:r>
            <w:r>
              <w:rPr>
                <w:rFonts w:ascii="Calibri" w:eastAsia="Times New Roman" w:hAnsi="Calibri" w:cs="Calibri"/>
                <w:color w:val="000000"/>
                <w:lang w:eastAsia="cs-CZ"/>
              </w:rPr>
              <w:t>pgm</w:t>
            </w:r>
            <w:r w:rsidRPr="007D102F">
              <w:rPr>
                <w:rFonts w:ascii="Calibri" w:eastAsia="Times New Roman" w:hAnsi="Calibri" w:cs="Calibri"/>
                <w:color w:val="000000"/>
                <w:lang w:eastAsia="cs-CZ"/>
              </w:rPr>
              <w:t>ů a podnikatel</w:t>
            </w:r>
            <w:r>
              <w:rPr>
                <w:rFonts w:ascii="Calibri" w:eastAsia="Times New Roman" w:hAnsi="Calibri" w:cs="Calibri"/>
                <w:color w:val="000000"/>
                <w:lang w:eastAsia="cs-CZ"/>
              </w:rPr>
              <w:t>.</w:t>
            </w:r>
            <w:r w:rsidRPr="007D102F">
              <w:rPr>
                <w:rFonts w:ascii="Calibri" w:eastAsia="Times New Roman" w:hAnsi="Calibri" w:cs="Calibri"/>
                <w:color w:val="000000"/>
                <w:lang w:eastAsia="cs-CZ"/>
              </w:rPr>
              <w:t xml:space="preserve"> nemovitostí</w:t>
            </w:r>
          </w:p>
        </w:tc>
        <w:tc>
          <w:tcPr>
            <w:tcW w:w="563" w:type="pct"/>
            <w:noWrap/>
            <w:hideMark/>
          </w:tcPr>
          <w:p w14:paraId="62DC653C" w14:textId="77777777" w:rsidR="002958F7" w:rsidRPr="007D102F" w:rsidRDefault="002958F7" w:rsidP="00C173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cs-CZ"/>
              </w:rPr>
            </w:pPr>
            <w:r>
              <w:rPr>
                <w:rFonts w:ascii="Calibri" w:hAnsi="Calibri" w:cs="Calibri"/>
                <w:color w:val="000000"/>
              </w:rPr>
              <w:t>42%</w:t>
            </w:r>
          </w:p>
        </w:tc>
        <w:tc>
          <w:tcPr>
            <w:tcW w:w="375" w:type="pct"/>
            <w:noWrap/>
            <w:hideMark/>
          </w:tcPr>
          <w:p w14:paraId="3C249F91" w14:textId="77777777" w:rsidR="002958F7" w:rsidRPr="007D102F" w:rsidRDefault="002958F7" w:rsidP="00C173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cs-CZ"/>
              </w:rPr>
            </w:pPr>
            <w:r>
              <w:rPr>
                <w:rFonts w:ascii="Calibri" w:hAnsi="Calibri" w:cs="Calibri"/>
                <w:color w:val="000000"/>
              </w:rPr>
              <w:t>25,4</w:t>
            </w:r>
          </w:p>
        </w:tc>
        <w:tc>
          <w:tcPr>
            <w:tcW w:w="626" w:type="pct"/>
            <w:noWrap/>
            <w:hideMark/>
          </w:tcPr>
          <w:p w14:paraId="640A3F50" w14:textId="77777777" w:rsidR="002958F7" w:rsidRPr="007D102F" w:rsidRDefault="002958F7" w:rsidP="00C173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cs-CZ"/>
              </w:rPr>
            </w:pPr>
            <w:r>
              <w:rPr>
                <w:rFonts w:ascii="Calibri" w:hAnsi="Calibri" w:cs="Calibri"/>
                <w:color w:val="000000"/>
              </w:rPr>
              <w:t>45 959</w:t>
            </w:r>
          </w:p>
        </w:tc>
        <w:tc>
          <w:tcPr>
            <w:tcW w:w="939" w:type="pct"/>
            <w:noWrap/>
            <w:hideMark/>
          </w:tcPr>
          <w:p w14:paraId="782BBE65" w14:textId="77777777" w:rsidR="002958F7" w:rsidRPr="007D102F" w:rsidRDefault="002958F7" w:rsidP="00C173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cs-CZ"/>
              </w:rPr>
            </w:pPr>
            <w:r>
              <w:rPr>
                <w:rFonts w:ascii="Calibri" w:hAnsi="Calibri" w:cs="Calibri"/>
                <w:color w:val="000000"/>
              </w:rPr>
              <w:t>38 825</w:t>
            </w:r>
          </w:p>
        </w:tc>
        <w:tc>
          <w:tcPr>
            <w:tcW w:w="626" w:type="pct"/>
            <w:noWrap/>
            <w:hideMark/>
          </w:tcPr>
          <w:p w14:paraId="41341CD5" w14:textId="77777777" w:rsidR="002958F7" w:rsidRPr="007D102F" w:rsidRDefault="002958F7" w:rsidP="00C173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cs-CZ"/>
              </w:rPr>
            </w:pPr>
            <w:r>
              <w:rPr>
                <w:rFonts w:ascii="Calibri" w:hAnsi="Calibri" w:cs="Calibri"/>
                <w:color w:val="000000"/>
              </w:rPr>
              <w:t>16 086</w:t>
            </w:r>
          </w:p>
        </w:tc>
        <w:tc>
          <w:tcPr>
            <w:tcW w:w="699" w:type="pct"/>
            <w:noWrap/>
            <w:hideMark/>
          </w:tcPr>
          <w:p w14:paraId="0742DFD7" w14:textId="77777777" w:rsidR="002958F7" w:rsidRPr="007D102F" w:rsidRDefault="002958F7" w:rsidP="00C173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lang w:eastAsia="cs-CZ"/>
              </w:rPr>
            </w:pPr>
            <w:r w:rsidRPr="00C05D75">
              <w:rPr>
                <w:rFonts w:ascii="Calibri" w:hAnsi="Calibri" w:cs="Calibri"/>
                <w:b/>
                <w:color w:val="FF0000"/>
              </w:rPr>
              <w:t>-8 951</w:t>
            </w:r>
          </w:p>
        </w:tc>
      </w:tr>
    </w:tbl>
    <w:p w14:paraId="16725336" w14:textId="77777777" w:rsidR="002958F7" w:rsidRDefault="002958F7" w:rsidP="002958F7">
      <w:pPr>
        <w:rPr>
          <w:i/>
        </w:rPr>
      </w:pPr>
      <w:r w:rsidRPr="00AE2CE6">
        <w:rPr>
          <w:i/>
        </w:rPr>
        <w:t>Zdroj: vlastní šetření</w:t>
      </w:r>
      <w:bookmarkEnd w:id="135"/>
    </w:p>
    <w:p w14:paraId="3AEF02A7" w14:textId="57B3C456" w:rsidR="002958F7" w:rsidRDefault="002958F7" w:rsidP="002958F7">
      <w:r>
        <w:t xml:space="preserve">Prvním je </w:t>
      </w:r>
      <w:bookmarkStart w:id="136" w:name="_Hlk46244667"/>
      <w:r w:rsidR="003A3D63">
        <w:t xml:space="preserve">medián doby administrace žádosti o podporu a žádosti o </w:t>
      </w:r>
      <w:bookmarkEnd w:id="136"/>
      <w:r w:rsidR="006F1F4B">
        <w:t>platbu</w:t>
      </w:r>
      <w:r w:rsidR="006F1F4B" w:rsidDel="003A3D63">
        <w:t>, tj.</w:t>
      </w:r>
      <w:r>
        <w:t xml:space="preserve"> střední hodnota doby, za kterou byla daná kontrola provedena a žádost mohla přejít do další fáze administrace. Jak </w:t>
      </w:r>
      <w:r w:rsidR="006F1F4B">
        <w:br/>
      </w:r>
      <w:r>
        <w:t xml:space="preserve">u žádosti o podporu, tak u žádosti o platbu došlo v roce 2019 ke snížení doby administrace v porovnání s předešlými lety, a to i přesto, že celkový počet implementačních úkonů v roce 2019 byl vyšší než v předcházejících letech. </w:t>
      </w:r>
      <w:bookmarkStart w:id="137" w:name="_Hlk46244753"/>
      <w:r>
        <w:t>K tomu by nemohlo dojít, pokud by nebyla dostatečná administrativní kapacita na ŘO/ZS.</w:t>
      </w:r>
      <w:bookmarkEnd w:id="137"/>
    </w:p>
    <w:p w14:paraId="51D82401" w14:textId="77777777" w:rsidR="00E96F43" w:rsidRDefault="00E96F43">
      <w:pPr>
        <w:spacing w:after="200"/>
        <w:jc w:val="left"/>
        <w:rPr>
          <w:b/>
          <w:bCs/>
          <w:sz w:val="20"/>
          <w:szCs w:val="18"/>
        </w:rPr>
      </w:pPr>
      <w:bookmarkStart w:id="138" w:name="_Toc50456759"/>
      <w:r>
        <w:br w:type="page"/>
      </w:r>
    </w:p>
    <w:p w14:paraId="7E4597CE" w14:textId="2CC30D0B" w:rsidR="002958F7" w:rsidRDefault="002958F7" w:rsidP="002958F7">
      <w:pPr>
        <w:pStyle w:val="Titulek"/>
      </w:pPr>
      <w:r>
        <w:lastRenderedPageBreak/>
        <w:t xml:space="preserve">Tabulka </w:t>
      </w:r>
      <w:r w:rsidR="00C050DB">
        <w:fldChar w:fldCharType="begin"/>
      </w:r>
      <w:r w:rsidR="00C050DB">
        <w:instrText xml:space="preserve"> SEQ Tabulka \* ARABIC </w:instrText>
      </w:r>
      <w:r w:rsidR="00C050DB">
        <w:fldChar w:fldCharType="separate"/>
      </w:r>
      <w:r w:rsidR="00E96F43">
        <w:rPr>
          <w:noProof/>
        </w:rPr>
        <w:t>26</w:t>
      </w:r>
      <w:r w:rsidR="00C050DB">
        <w:rPr>
          <w:noProof/>
        </w:rPr>
        <w:fldChar w:fldCharType="end"/>
      </w:r>
      <w:r>
        <w:t>: Medián dob administrace žádosti o podporu a žádosti o platbu</w:t>
      </w:r>
      <w:bookmarkEnd w:id="138"/>
    </w:p>
    <w:tbl>
      <w:tblPr>
        <w:tblW w:w="5000" w:type="pct"/>
        <w:tblCellMar>
          <w:left w:w="70" w:type="dxa"/>
          <w:right w:w="70" w:type="dxa"/>
        </w:tblCellMar>
        <w:tblLook w:val="04A0" w:firstRow="1" w:lastRow="0" w:firstColumn="1" w:lastColumn="0" w:noHBand="0" w:noVBand="1"/>
      </w:tblPr>
      <w:tblGrid>
        <w:gridCol w:w="3298"/>
        <w:gridCol w:w="2525"/>
        <w:gridCol w:w="647"/>
        <w:gridCol w:w="647"/>
        <w:gridCol w:w="647"/>
        <w:gridCol w:w="647"/>
        <w:gridCol w:w="651"/>
      </w:tblGrid>
      <w:tr w:rsidR="002958F7" w:rsidRPr="00337390" w14:paraId="67804B53" w14:textId="77777777" w:rsidTr="00C173BC">
        <w:trPr>
          <w:trHeight w:val="288"/>
        </w:trPr>
        <w:tc>
          <w:tcPr>
            <w:tcW w:w="1820" w:type="pct"/>
            <w:vMerge w:val="restart"/>
            <w:tcBorders>
              <w:top w:val="single" w:sz="4" w:space="0" w:color="auto"/>
              <w:left w:val="single" w:sz="4" w:space="0" w:color="auto"/>
              <w:bottom w:val="single" w:sz="4" w:space="0" w:color="000000"/>
              <w:right w:val="single" w:sz="4" w:space="0" w:color="auto"/>
            </w:tcBorders>
            <w:shd w:val="clear" w:color="auto" w:fill="0D3B5E" w:themeFill="accent1"/>
            <w:vAlign w:val="center"/>
            <w:hideMark/>
          </w:tcPr>
          <w:p w14:paraId="4EDDC38E" w14:textId="77777777" w:rsidR="002958F7" w:rsidRPr="004561DD" w:rsidRDefault="002958F7" w:rsidP="00C173BC">
            <w:pPr>
              <w:spacing w:after="0" w:line="240" w:lineRule="auto"/>
              <w:jc w:val="center"/>
              <w:rPr>
                <w:rFonts w:ascii="Calibri" w:eastAsia="Times New Roman" w:hAnsi="Calibri" w:cs="Calibri"/>
                <w:b/>
                <w:bCs/>
                <w:color w:val="FFFFFF" w:themeColor="background1"/>
                <w:lang w:eastAsia="cs-CZ"/>
              </w:rPr>
            </w:pPr>
          </w:p>
        </w:tc>
        <w:tc>
          <w:tcPr>
            <w:tcW w:w="1393" w:type="pct"/>
            <w:vMerge w:val="restart"/>
            <w:tcBorders>
              <w:top w:val="single" w:sz="4" w:space="0" w:color="auto"/>
              <w:left w:val="single" w:sz="4" w:space="0" w:color="auto"/>
              <w:bottom w:val="nil"/>
              <w:right w:val="single" w:sz="4" w:space="0" w:color="auto"/>
            </w:tcBorders>
            <w:shd w:val="clear" w:color="auto" w:fill="0D3B5E" w:themeFill="accent1"/>
            <w:noWrap/>
            <w:vAlign w:val="center"/>
            <w:hideMark/>
          </w:tcPr>
          <w:p w14:paraId="2CA3F308" w14:textId="77777777" w:rsidR="002958F7" w:rsidRPr="004561DD" w:rsidRDefault="002958F7" w:rsidP="00C173BC">
            <w:pPr>
              <w:spacing w:after="0" w:line="240" w:lineRule="auto"/>
              <w:jc w:val="center"/>
              <w:rPr>
                <w:rFonts w:ascii="Calibri" w:eastAsia="Times New Roman" w:hAnsi="Calibri" w:cs="Calibri"/>
                <w:b/>
                <w:bCs/>
                <w:color w:val="FFFFFF" w:themeColor="background1"/>
                <w:lang w:eastAsia="cs-CZ"/>
              </w:rPr>
            </w:pPr>
            <w:r w:rsidRPr="004561DD">
              <w:rPr>
                <w:rFonts w:ascii="Calibri" w:eastAsia="Times New Roman" w:hAnsi="Calibri" w:cs="Calibri"/>
                <w:b/>
                <w:bCs/>
                <w:color w:val="FFFFFF" w:themeColor="background1"/>
                <w:lang w:eastAsia="cs-CZ"/>
              </w:rPr>
              <w:t>Fáze</w:t>
            </w:r>
          </w:p>
        </w:tc>
        <w:tc>
          <w:tcPr>
            <w:tcW w:w="1787" w:type="pct"/>
            <w:gridSpan w:val="5"/>
            <w:tcBorders>
              <w:top w:val="single" w:sz="4" w:space="0" w:color="auto"/>
              <w:left w:val="nil"/>
              <w:bottom w:val="single" w:sz="4" w:space="0" w:color="auto"/>
              <w:right w:val="single" w:sz="4" w:space="0" w:color="000000"/>
            </w:tcBorders>
            <w:shd w:val="clear" w:color="auto" w:fill="0D3B5E" w:themeFill="accent1"/>
            <w:noWrap/>
            <w:vAlign w:val="bottom"/>
            <w:hideMark/>
          </w:tcPr>
          <w:p w14:paraId="28AF4895" w14:textId="77777777" w:rsidR="002958F7" w:rsidRPr="004561DD" w:rsidRDefault="002958F7" w:rsidP="00C173BC">
            <w:pPr>
              <w:spacing w:after="0" w:line="240" w:lineRule="auto"/>
              <w:jc w:val="center"/>
              <w:rPr>
                <w:rFonts w:ascii="Calibri" w:eastAsia="Times New Roman" w:hAnsi="Calibri" w:cs="Calibri"/>
                <w:b/>
                <w:bCs/>
                <w:color w:val="FFFFFF" w:themeColor="background1"/>
                <w:lang w:eastAsia="cs-CZ"/>
              </w:rPr>
            </w:pPr>
            <w:r w:rsidRPr="004561DD">
              <w:rPr>
                <w:rFonts w:ascii="Calibri" w:eastAsia="Times New Roman" w:hAnsi="Calibri" w:cs="Calibri"/>
                <w:b/>
                <w:bCs/>
                <w:color w:val="FFFFFF" w:themeColor="background1"/>
                <w:lang w:eastAsia="cs-CZ"/>
              </w:rPr>
              <w:t>Rok podání žádosti o podporu</w:t>
            </w:r>
          </w:p>
        </w:tc>
      </w:tr>
      <w:tr w:rsidR="002958F7" w:rsidRPr="00337390" w14:paraId="35FA9E1A" w14:textId="77777777" w:rsidTr="00C173BC">
        <w:trPr>
          <w:trHeight w:val="288"/>
        </w:trPr>
        <w:tc>
          <w:tcPr>
            <w:tcW w:w="1820" w:type="pct"/>
            <w:vMerge/>
            <w:tcBorders>
              <w:top w:val="single" w:sz="4" w:space="0" w:color="auto"/>
              <w:left w:val="single" w:sz="4" w:space="0" w:color="auto"/>
              <w:bottom w:val="single" w:sz="4" w:space="0" w:color="000000"/>
              <w:right w:val="single" w:sz="4" w:space="0" w:color="auto"/>
            </w:tcBorders>
            <w:shd w:val="clear" w:color="auto" w:fill="0D3B5E" w:themeFill="accent1"/>
            <w:vAlign w:val="center"/>
            <w:hideMark/>
          </w:tcPr>
          <w:p w14:paraId="3FD6AF21" w14:textId="77777777" w:rsidR="002958F7" w:rsidRPr="004561DD" w:rsidRDefault="002958F7" w:rsidP="00C173BC">
            <w:pPr>
              <w:spacing w:after="0" w:line="240" w:lineRule="auto"/>
              <w:rPr>
                <w:rFonts w:ascii="Calibri" w:eastAsia="Times New Roman" w:hAnsi="Calibri" w:cs="Calibri"/>
                <w:b/>
                <w:bCs/>
                <w:color w:val="FFFFFF" w:themeColor="background1"/>
                <w:lang w:eastAsia="cs-CZ"/>
              </w:rPr>
            </w:pPr>
          </w:p>
        </w:tc>
        <w:tc>
          <w:tcPr>
            <w:tcW w:w="1393" w:type="pct"/>
            <w:vMerge/>
            <w:tcBorders>
              <w:top w:val="single" w:sz="4" w:space="0" w:color="auto"/>
              <w:left w:val="single" w:sz="4" w:space="0" w:color="auto"/>
              <w:bottom w:val="nil"/>
              <w:right w:val="single" w:sz="4" w:space="0" w:color="auto"/>
            </w:tcBorders>
            <w:shd w:val="clear" w:color="auto" w:fill="0D3B5E" w:themeFill="accent1"/>
            <w:vAlign w:val="center"/>
            <w:hideMark/>
          </w:tcPr>
          <w:p w14:paraId="2A09681F" w14:textId="77777777" w:rsidR="002958F7" w:rsidRPr="004561DD" w:rsidRDefault="002958F7" w:rsidP="00C173BC">
            <w:pPr>
              <w:spacing w:after="0" w:line="240" w:lineRule="auto"/>
              <w:rPr>
                <w:rFonts w:ascii="Calibri" w:eastAsia="Times New Roman" w:hAnsi="Calibri" w:cs="Calibri"/>
                <w:b/>
                <w:bCs/>
                <w:color w:val="FFFFFF" w:themeColor="background1"/>
                <w:lang w:eastAsia="cs-CZ"/>
              </w:rPr>
            </w:pPr>
          </w:p>
        </w:tc>
        <w:tc>
          <w:tcPr>
            <w:tcW w:w="357" w:type="pct"/>
            <w:tcBorders>
              <w:top w:val="nil"/>
              <w:left w:val="nil"/>
              <w:bottom w:val="single" w:sz="4" w:space="0" w:color="auto"/>
              <w:right w:val="nil"/>
            </w:tcBorders>
            <w:shd w:val="clear" w:color="auto" w:fill="0D3B5E" w:themeFill="accent1"/>
            <w:noWrap/>
            <w:vAlign w:val="bottom"/>
            <w:hideMark/>
          </w:tcPr>
          <w:p w14:paraId="45EC2CA7" w14:textId="77777777" w:rsidR="002958F7" w:rsidRPr="004561DD" w:rsidRDefault="002958F7" w:rsidP="00C173BC">
            <w:pPr>
              <w:spacing w:after="0" w:line="240" w:lineRule="auto"/>
              <w:jc w:val="right"/>
              <w:rPr>
                <w:rFonts w:ascii="Calibri" w:eastAsia="Times New Roman" w:hAnsi="Calibri" w:cs="Calibri"/>
                <w:b/>
                <w:bCs/>
                <w:color w:val="FFFFFF" w:themeColor="background1"/>
                <w:lang w:eastAsia="cs-CZ"/>
              </w:rPr>
            </w:pPr>
            <w:r w:rsidRPr="004561DD">
              <w:rPr>
                <w:rFonts w:ascii="Calibri" w:eastAsia="Times New Roman" w:hAnsi="Calibri" w:cs="Calibri"/>
                <w:b/>
                <w:bCs/>
                <w:color w:val="FFFFFF" w:themeColor="background1"/>
                <w:lang w:eastAsia="cs-CZ"/>
              </w:rPr>
              <w:t>2015</w:t>
            </w:r>
          </w:p>
        </w:tc>
        <w:tc>
          <w:tcPr>
            <w:tcW w:w="357" w:type="pct"/>
            <w:tcBorders>
              <w:top w:val="nil"/>
              <w:left w:val="nil"/>
              <w:bottom w:val="single" w:sz="4" w:space="0" w:color="auto"/>
              <w:right w:val="nil"/>
            </w:tcBorders>
            <w:shd w:val="clear" w:color="auto" w:fill="0D3B5E" w:themeFill="accent1"/>
            <w:noWrap/>
            <w:vAlign w:val="bottom"/>
            <w:hideMark/>
          </w:tcPr>
          <w:p w14:paraId="1079CFC6" w14:textId="77777777" w:rsidR="002958F7" w:rsidRPr="004561DD" w:rsidRDefault="002958F7" w:rsidP="00C173BC">
            <w:pPr>
              <w:spacing w:after="0" w:line="240" w:lineRule="auto"/>
              <w:jc w:val="right"/>
              <w:rPr>
                <w:rFonts w:ascii="Calibri" w:eastAsia="Times New Roman" w:hAnsi="Calibri" w:cs="Calibri"/>
                <w:b/>
                <w:bCs/>
                <w:color w:val="FFFFFF" w:themeColor="background1"/>
                <w:lang w:eastAsia="cs-CZ"/>
              </w:rPr>
            </w:pPr>
            <w:r w:rsidRPr="004561DD">
              <w:rPr>
                <w:rFonts w:ascii="Calibri" w:eastAsia="Times New Roman" w:hAnsi="Calibri" w:cs="Calibri"/>
                <w:b/>
                <w:bCs/>
                <w:color w:val="FFFFFF" w:themeColor="background1"/>
                <w:lang w:eastAsia="cs-CZ"/>
              </w:rPr>
              <w:t>2016</w:t>
            </w:r>
          </w:p>
        </w:tc>
        <w:tc>
          <w:tcPr>
            <w:tcW w:w="357" w:type="pct"/>
            <w:tcBorders>
              <w:top w:val="nil"/>
              <w:left w:val="nil"/>
              <w:bottom w:val="single" w:sz="4" w:space="0" w:color="auto"/>
              <w:right w:val="nil"/>
            </w:tcBorders>
            <w:shd w:val="clear" w:color="auto" w:fill="0D3B5E" w:themeFill="accent1"/>
            <w:noWrap/>
            <w:vAlign w:val="bottom"/>
            <w:hideMark/>
          </w:tcPr>
          <w:p w14:paraId="2C248EE3" w14:textId="77777777" w:rsidR="002958F7" w:rsidRPr="004561DD" w:rsidRDefault="002958F7" w:rsidP="00C173BC">
            <w:pPr>
              <w:spacing w:after="0" w:line="240" w:lineRule="auto"/>
              <w:jc w:val="right"/>
              <w:rPr>
                <w:rFonts w:ascii="Calibri" w:eastAsia="Times New Roman" w:hAnsi="Calibri" w:cs="Calibri"/>
                <w:b/>
                <w:bCs/>
                <w:color w:val="FFFFFF" w:themeColor="background1"/>
                <w:lang w:eastAsia="cs-CZ"/>
              </w:rPr>
            </w:pPr>
            <w:r w:rsidRPr="004561DD">
              <w:rPr>
                <w:rFonts w:ascii="Calibri" w:eastAsia="Times New Roman" w:hAnsi="Calibri" w:cs="Calibri"/>
                <w:b/>
                <w:bCs/>
                <w:color w:val="FFFFFF" w:themeColor="background1"/>
                <w:lang w:eastAsia="cs-CZ"/>
              </w:rPr>
              <w:t>2017</w:t>
            </w:r>
          </w:p>
        </w:tc>
        <w:tc>
          <w:tcPr>
            <w:tcW w:w="357" w:type="pct"/>
            <w:tcBorders>
              <w:top w:val="nil"/>
              <w:left w:val="nil"/>
              <w:bottom w:val="single" w:sz="4" w:space="0" w:color="auto"/>
              <w:right w:val="nil"/>
            </w:tcBorders>
            <w:shd w:val="clear" w:color="auto" w:fill="0D3B5E" w:themeFill="accent1"/>
            <w:noWrap/>
            <w:vAlign w:val="bottom"/>
            <w:hideMark/>
          </w:tcPr>
          <w:p w14:paraId="118A5789" w14:textId="77777777" w:rsidR="002958F7" w:rsidRPr="004561DD" w:rsidRDefault="002958F7" w:rsidP="00C173BC">
            <w:pPr>
              <w:spacing w:after="0" w:line="240" w:lineRule="auto"/>
              <w:jc w:val="right"/>
              <w:rPr>
                <w:rFonts w:ascii="Calibri" w:eastAsia="Times New Roman" w:hAnsi="Calibri" w:cs="Calibri"/>
                <w:b/>
                <w:bCs/>
                <w:color w:val="FFFFFF" w:themeColor="background1"/>
                <w:lang w:eastAsia="cs-CZ"/>
              </w:rPr>
            </w:pPr>
            <w:r w:rsidRPr="004561DD">
              <w:rPr>
                <w:rFonts w:ascii="Calibri" w:eastAsia="Times New Roman" w:hAnsi="Calibri" w:cs="Calibri"/>
                <w:b/>
                <w:bCs/>
                <w:color w:val="FFFFFF" w:themeColor="background1"/>
                <w:lang w:eastAsia="cs-CZ"/>
              </w:rPr>
              <w:t>2018</w:t>
            </w:r>
          </w:p>
        </w:tc>
        <w:tc>
          <w:tcPr>
            <w:tcW w:w="359" w:type="pct"/>
            <w:tcBorders>
              <w:top w:val="nil"/>
              <w:left w:val="nil"/>
              <w:bottom w:val="single" w:sz="4" w:space="0" w:color="auto"/>
              <w:right w:val="single" w:sz="4" w:space="0" w:color="auto"/>
            </w:tcBorders>
            <w:shd w:val="clear" w:color="auto" w:fill="0D3B5E" w:themeFill="accent1"/>
            <w:noWrap/>
            <w:vAlign w:val="bottom"/>
            <w:hideMark/>
          </w:tcPr>
          <w:p w14:paraId="034CD7AC" w14:textId="77777777" w:rsidR="002958F7" w:rsidRPr="004561DD" w:rsidRDefault="002958F7" w:rsidP="00C173BC">
            <w:pPr>
              <w:spacing w:after="0" w:line="240" w:lineRule="auto"/>
              <w:jc w:val="right"/>
              <w:rPr>
                <w:rFonts w:ascii="Calibri" w:eastAsia="Times New Roman" w:hAnsi="Calibri" w:cs="Calibri"/>
                <w:b/>
                <w:bCs/>
                <w:color w:val="FFFFFF" w:themeColor="background1"/>
                <w:lang w:eastAsia="cs-CZ"/>
              </w:rPr>
            </w:pPr>
            <w:r w:rsidRPr="004561DD">
              <w:rPr>
                <w:rFonts w:ascii="Calibri" w:eastAsia="Times New Roman" w:hAnsi="Calibri" w:cs="Calibri"/>
                <w:b/>
                <w:bCs/>
                <w:color w:val="FFFFFF" w:themeColor="background1"/>
                <w:lang w:eastAsia="cs-CZ"/>
              </w:rPr>
              <w:t>2019</w:t>
            </w:r>
          </w:p>
        </w:tc>
      </w:tr>
      <w:tr w:rsidR="002958F7" w:rsidRPr="00337390" w14:paraId="17FFF5E4" w14:textId="77777777" w:rsidTr="00C173BC">
        <w:trPr>
          <w:trHeight w:val="288"/>
        </w:trPr>
        <w:tc>
          <w:tcPr>
            <w:tcW w:w="1820" w:type="pct"/>
            <w:vMerge w:val="restart"/>
            <w:tcBorders>
              <w:top w:val="nil"/>
              <w:left w:val="single" w:sz="4" w:space="0" w:color="auto"/>
              <w:bottom w:val="single" w:sz="4" w:space="0" w:color="000000"/>
              <w:right w:val="single" w:sz="4" w:space="0" w:color="auto"/>
            </w:tcBorders>
            <w:shd w:val="clear" w:color="auto" w:fill="auto"/>
            <w:vAlign w:val="center"/>
            <w:hideMark/>
          </w:tcPr>
          <w:p w14:paraId="6A902343" w14:textId="77777777" w:rsidR="002958F7" w:rsidRPr="00337390" w:rsidRDefault="002958F7" w:rsidP="00C173BC">
            <w:pPr>
              <w:spacing w:after="0" w:line="240" w:lineRule="auto"/>
              <w:jc w:val="center"/>
              <w:rPr>
                <w:rFonts w:ascii="Calibri" w:eastAsia="Times New Roman" w:hAnsi="Calibri" w:cs="Calibri"/>
                <w:color w:val="000000"/>
                <w:lang w:eastAsia="cs-CZ"/>
              </w:rPr>
            </w:pPr>
            <w:r w:rsidRPr="00337390">
              <w:rPr>
                <w:rFonts w:ascii="Calibri" w:eastAsia="Times New Roman" w:hAnsi="Calibri" w:cs="Calibri"/>
                <w:color w:val="000000"/>
                <w:lang w:eastAsia="cs-CZ"/>
              </w:rPr>
              <w:t>Administrace žádosti o podporu</w:t>
            </w:r>
          </w:p>
        </w:tc>
        <w:tc>
          <w:tcPr>
            <w:tcW w:w="1393" w:type="pct"/>
            <w:tcBorders>
              <w:top w:val="single" w:sz="4" w:space="0" w:color="auto"/>
              <w:left w:val="nil"/>
              <w:bottom w:val="nil"/>
              <w:right w:val="single" w:sz="4" w:space="0" w:color="auto"/>
            </w:tcBorders>
            <w:shd w:val="clear" w:color="000000" w:fill="DDEBF7"/>
            <w:noWrap/>
            <w:vAlign w:val="bottom"/>
            <w:hideMark/>
          </w:tcPr>
          <w:p w14:paraId="36A5ADB0" w14:textId="77777777" w:rsidR="002958F7" w:rsidRPr="00337390" w:rsidRDefault="002958F7" w:rsidP="00C173BC">
            <w:pPr>
              <w:spacing w:after="0" w:line="240" w:lineRule="auto"/>
              <w:rPr>
                <w:rFonts w:ascii="Calibri" w:eastAsia="Times New Roman" w:hAnsi="Calibri" w:cs="Calibri"/>
                <w:color w:val="000000"/>
                <w:lang w:eastAsia="cs-CZ"/>
              </w:rPr>
            </w:pPr>
            <w:r w:rsidRPr="00337390">
              <w:rPr>
                <w:rFonts w:ascii="Calibri" w:eastAsia="Times New Roman" w:hAnsi="Calibri" w:cs="Calibri"/>
                <w:color w:val="000000"/>
                <w:lang w:eastAsia="cs-CZ"/>
              </w:rPr>
              <w:t>Formální hodnocení</w:t>
            </w:r>
          </w:p>
        </w:tc>
        <w:tc>
          <w:tcPr>
            <w:tcW w:w="357" w:type="pct"/>
            <w:tcBorders>
              <w:top w:val="nil"/>
              <w:left w:val="nil"/>
              <w:bottom w:val="nil"/>
              <w:right w:val="nil"/>
            </w:tcBorders>
            <w:shd w:val="clear" w:color="000000" w:fill="DDEBF7"/>
            <w:noWrap/>
            <w:vAlign w:val="bottom"/>
            <w:hideMark/>
          </w:tcPr>
          <w:p w14:paraId="0D050571" w14:textId="77777777" w:rsidR="002958F7" w:rsidRPr="00337390" w:rsidRDefault="002958F7" w:rsidP="00C173BC">
            <w:pPr>
              <w:spacing w:after="0" w:line="240" w:lineRule="auto"/>
              <w:jc w:val="right"/>
              <w:rPr>
                <w:rFonts w:ascii="Calibri" w:eastAsia="Times New Roman" w:hAnsi="Calibri" w:cs="Calibri"/>
                <w:color w:val="000000"/>
                <w:lang w:eastAsia="cs-CZ"/>
              </w:rPr>
            </w:pPr>
            <w:r w:rsidRPr="00337390">
              <w:rPr>
                <w:rFonts w:ascii="Calibri" w:eastAsia="Times New Roman" w:hAnsi="Calibri" w:cs="Calibri"/>
                <w:color w:val="000000"/>
                <w:lang w:eastAsia="cs-CZ"/>
              </w:rPr>
              <w:t>101</w:t>
            </w:r>
          </w:p>
        </w:tc>
        <w:tc>
          <w:tcPr>
            <w:tcW w:w="357" w:type="pct"/>
            <w:tcBorders>
              <w:top w:val="nil"/>
              <w:left w:val="nil"/>
              <w:bottom w:val="nil"/>
              <w:right w:val="nil"/>
            </w:tcBorders>
            <w:shd w:val="clear" w:color="000000" w:fill="DDEBF7"/>
            <w:noWrap/>
            <w:vAlign w:val="bottom"/>
            <w:hideMark/>
          </w:tcPr>
          <w:p w14:paraId="14AE84FD" w14:textId="77777777" w:rsidR="002958F7" w:rsidRPr="00337390" w:rsidRDefault="002958F7" w:rsidP="00C173BC">
            <w:pPr>
              <w:spacing w:after="0" w:line="240" w:lineRule="auto"/>
              <w:jc w:val="right"/>
              <w:rPr>
                <w:rFonts w:ascii="Calibri" w:eastAsia="Times New Roman" w:hAnsi="Calibri" w:cs="Calibri"/>
                <w:color w:val="000000"/>
                <w:lang w:eastAsia="cs-CZ"/>
              </w:rPr>
            </w:pPr>
            <w:r w:rsidRPr="00337390">
              <w:rPr>
                <w:rFonts w:ascii="Calibri" w:eastAsia="Times New Roman" w:hAnsi="Calibri" w:cs="Calibri"/>
                <w:color w:val="000000"/>
                <w:lang w:eastAsia="cs-CZ"/>
              </w:rPr>
              <w:t>99</w:t>
            </w:r>
          </w:p>
        </w:tc>
        <w:tc>
          <w:tcPr>
            <w:tcW w:w="357" w:type="pct"/>
            <w:tcBorders>
              <w:top w:val="nil"/>
              <w:left w:val="nil"/>
              <w:bottom w:val="nil"/>
              <w:right w:val="nil"/>
            </w:tcBorders>
            <w:shd w:val="clear" w:color="000000" w:fill="DDEBF7"/>
            <w:noWrap/>
            <w:vAlign w:val="bottom"/>
            <w:hideMark/>
          </w:tcPr>
          <w:p w14:paraId="06309596" w14:textId="77777777" w:rsidR="002958F7" w:rsidRPr="00337390" w:rsidRDefault="002958F7" w:rsidP="00C173BC">
            <w:pPr>
              <w:spacing w:after="0" w:line="240" w:lineRule="auto"/>
              <w:jc w:val="right"/>
              <w:rPr>
                <w:rFonts w:ascii="Calibri" w:eastAsia="Times New Roman" w:hAnsi="Calibri" w:cs="Calibri"/>
                <w:color w:val="000000"/>
                <w:lang w:eastAsia="cs-CZ"/>
              </w:rPr>
            </w:pPr>
            <w:r w:rsidRPr="00337390">
              <w:rPr>
                <w:rFonts w:ascii="Calibri" w:eastAsia="Times New Roman" w:hAnsi="Calibri" w:cs="Calibri"/>
                <w:color w:val="000000"/>
                <w:lang w:eastAsia="cs-CZ"/>
              </w:rPr>
              <w:t>75</w:t>
            </w:r>
          </w:p>
        </w:tc>
        <w:tc>
          <w:tcPr>
            <w:tcW w:w="357" w:type="pct"/>
            <w:tcBorders>
              <w:top w:val="nil"/>
              <w:left w:val="nil"/>
              <w:bottom w:val="nil"/>
              <w:right w:val="nil"/>
            </w:tcBorders>
            <w:shd w:val="clear" w:color="000000" w:fill="DDEBF7"/>
            <w:noWrap/>
            <w:vAlign w:val="bottom"/>
            <w:hideMark/>
          </w:tcPr>
          <w:p w14:paraId="10E74D66" w14:textId="77777777" w:rsidR="002958F7" w:rsidRPr="00337390" w:rsidRDefault="002958F7" w:rsidP="00C173BC">
            <w:pPr>
              <w:spacing w:after="0" w:line="240" w:lineRule="auto"/>
              <w:jc w:val="right"/>
              <w:rPr>
                <w:rFonts w:ascii="Calibri" w:eastAsia="Times New Roman" w:hAnsi="Calibri" w:cs="Calibri"/>
                <w:color w:val="000000"/>
                <w:lang w:eastAsia="cs-CZ"/>
              </w:rPr>
            </w:pPr>
            <w:r w:rsidRPr="00337390">
              <w:rPr>
                <w:rFonts w:ascii="Calibri" w:eastAsia="Times New Roman" w:hAnsi="Calibri" w:cs="Calibri"/>
                <w:color w:val="000000"/>
                <w:lang w:eastAsia="cs-CZ"/>
              </w:rPr>
              <w:t>106</w:t>
            </w:r>
          </w:p>
        </w:tc>
        <w:tc>
          <w:tcPr>
            <w:tcW w:w="359" w:type="pct"/>
            <w:tcBorders>
              <w:top w:val="nil"/>
              <w:left w:val="nil"/>
              <w:bottom w:val="nil"/>
              <w:right w:val="single" w:sz="4" w:space="0" w:color="auto"/>
            </w:tcBorders>
            <w:shd w:val="clear" w:color="000000" w:fill="DDEBF7"/>
            <w:noWrap/>
            <w:vAlign w:val="bottom"/>
            <w:hideMark/>
          </w:tcPr>
          <w:p w14:paraId="1490F47C" w14:textId="77777777" w:rsidR="002958F7" w:rsidRPr="00337390" w:rsidRDefault="002958F7" w:rsidP="00C173BC">
            <w:pPr>
              <w:spacing w:after="0" w:line="240" w:lineRule="auto"/>
              <w:jc w:val="right"/>
              <w:rPr>
                <w:rFonts w:ascii="Calibri" w:eastAsia="Times New Roman" w:hAnsi="Calibri" w:cs="Calibri"/>
                <w:color w:val="000000"/>
                <w:lang w:eastAsia="cs-CZ"/>
              </w:rPr>
            </w:pPr>
            <w:r w:rsidRPr="00337390">
              <w:rPr>
                <w:rFonts w:ascii="Calibri" w:eastAsia="Times New Roman" w:hAnsi="Calibri" w:cs="Calibri"/>
                <w:color w:val="000000"/>
                <w:lang w:eastAsia="cs-CZ"/>
              </w:rPr>
              <w:t>77</w:t>
            </w:r>
          </w:p>
        </w:tc>
      </w:tr>
      <w:tr w:rsidR="002958F7" w:rsidRPr="00337390" w14:paraId="4F81C96D" w14:textId="77777777" w:rsidTr="00C173BC">
        <w:trPr>
          <w:trHeight w:val="288"/>
        </w:trPr>
        <w:tc>
          <w:tcPr>
            <w:tcW w:w="1820" w:type="pct"/>
            <w:vMerge/>
            <w:tcBorders>
              <w:top w:val="nil"/>
              <w:left w:val="single" w:sz="4" w:space="0" w:color="auto"/>
              <w:bottom w:val="single" w:sz="4" w:space="0" w:color="000000"/>
              <w:right w:val="single" w:sz="4" w:space="0" w:color="auto"/>
            </w:tcBorders>
            <w:vAlign w:val="center"/>
            <w:hideMark/>
          </w:tcPr>
          <w:p w14:paraId="5188F22F" w14:textId="77777777" w:rsidR="002958F7" w:rsidRPr="00337390" w:rsidRDefault="002958F7" w:rsidP="00C173BC">
            <w:pPr>
              <w:spacing w:after="0" w:line="240" w:lineRule="auto"/>
              <w:rPr>
                <w:rFonts w:ascii="Calibri" w:eastAsia="Times New Roman" w:hAnsi="Calibri" w:cs="Calibri"/>
                <w:color w:val="000000"/>
                <w:lang w:eastAsia="cs-CZ"/>
              </w:rPr>
            </w:pPr>
          </w:p>
        </w:tc>
        <w:tc>
          <w:tcPr>
            <w:tcW w:w="1393" w:type="pct"/>
            <w:tcBorders>
              <w:top w:val="nil"/>
              <w:left w:val="nil"/>
              <w:bottom w:val="nil"/>
              <w:right w:val="single" w:sz="4" w:space="0" w:color="auto"/>
            </w:tcBorders>
            <w:shd w:val="clear" w:color="000000" w:fill="FCE4D6"/>
            <w:noWrap/>
            <w:vAlign w:val="bottom"/>
            <w:hideMark/>
          </w:tcPr>
          <w:p w14:paraId="0DBFE46C" w14:textId="77777777" w:rsidR="002958F7" w:rsidRPr="00337390" w:rsidRDefault="002958F7" w:rsidP="00C173BC">
            <w:pPr>
              <w:spacing w:after="0" w:line="240" w:lineRule="auto"/>
              <w:rPr>
                <w:rFonts w:ascii="Calibri" w:eastAsia="Times New Roman" w:hAnsi="Calibri" w:cs="Calibri"/>
                <w:color w:val="000000"/>
                <w:lang w:eastAsia="cs-CZ"/>
              </w:rPr>
            </w:pPr>
            <w:r w:rsidRPr="00337390">
              <w:rPr>
                <w:rFonts w:ascii="Calibri" w:eastAsia="Times New Roman" w:hAnsi="Calibri" w:cs="Calibri"/>
                <w:color w:val="000000"/>
                <w:lang w:eastAsia="cs-CZ"/>
              </w:rPr>
              <w:t>Věcné hodnocení</w:t>
            </w:r>
          </w:p>
        </w:tc>
        <w:tc>
          <w:tcPr>
            <w:tcW w:w="357" w:type="pct"/>
            <w:tcBorders>
              <w:top w:val="nil"/>
              <w:left w:val="nil"/>
              <w:bottom w:val="nil"/>
              <w:right w:val="nil"/>
            </w:tcBorders>
            <w:shd w:val="clear" w:color="000000" w:fill="FCE4D6"/>
            <w:noWrap/>
            <w:vAlign w:val="bottom"/>
            <w:hideMark/>
          </w:tcPr>
          <w:p w14:paraId="15AAB391" w14:textId="77777777" w:rsidR="002958F7" w:rsidRPr="00337390" w:rsidRDefault="002958F7" w:rsidP="00C173BC">
            <w:pPr>
              <w:spacing w:after="0" w:line="240" w:lineRule="auto"/>
              <w:jc w:val="right"/>
              <w:rPr>
                <w:rFonts w:ascii="Calibri" w:eastAsia="Times New Roman" w:hAnsi="Calibri" w:cs="Calibri"/>
                <w:color w:val="000000"/>
                <w:lang w:eastAsia="cs-CZ"/>
              </w:rPr>
            </w:pPr>
            <w:r w:rsidRPr="00337390">
              <w:rPr>
                <w:rFonts w:ascii="Calibri" w:eastAsia="Times New Roman" w:hAnsi="Calibri" w:cs="Calibri"/>
                <w:color w:val="000000"/>
                <w:lang w:eastAsia="cs-CZ"/>
              </w:rPr>
              <w:t>84</w:t>
            </w:r>
          </w:p>
        </w:tc>
        <w:tc>
          <w:tcPr>
            <w:tcW w:w="357" w:type="pct"/>
            <w:tcBorders>
              <w:top w:val="nil"/>
              <w:left w:val="nil"/>
              <w:bottom w:val="nil"/>
              <w:right w:val="nil"/>
            </w:tcBorders>
            <w:shd w:val="clear" w:color="000000" w:fill="FCE4D6"/>
            <w:noWrap/>
            <w:vAlign w:val="bottom"/>
            <w:hideMark/>
          </w:tcPr>
          <w:p w14:paraId="50B77B38" w14:textId="77777777" w:rsidR="002958F7" w:rsidRPr="00337390" w:rsidRDefault="002958F7" w:rsidP="00C173BC">
            <w:pPr>
              <w:spacing w:after="0" w:line="240" w:lineRule="auto"/>
              <w:jc w:val="right"/>
              <w:rPr>
                <w:rFonts w:ascii="Calibri" w:eastAsia="Times New Roman" w:hAnsi="Calibri" w:cs="Calibri"/>
                <w:color w:val="000000"/>
                <w:lang w:eastAsia="cs-CZ"/>
              </w:rPr>
            </w:pPr>
            <w:r w:rsidRPr="00337390">
              <w:rPr>
                <w:rFonts w:ascii="Calibri" w:eastAsia="Times New Roman" w:hAnsi="Calibri" w:cs="Calibri"/>
                <w:color w:val="000000"/>
                <w:lang w:eastAsia="cs-CZ"/>
              </w:rPr>
              <w:t>63</w:t>
            </w:r>
          </w:p>
        </w:tc>
        <w:tc>
          <w:tcPr>
            <w:tcW w:w="357" w:type="pct"/>
            <w:tcBorders>
              <w:top w:val="nil"/>
              <w:left w:val="nil"/>
              <w:bottom w:val="nil"/>
              <w:right w:val="nil"/>
            </w:tcBorders>
            <w:shd w:val="clear" w:color="000000" w:fill="FCE4D6"/>
            <w:noWrap/>
            <w:vAlign w:val="bottom"/>
            <w:hideMark/>
          </w:tcPr>
          <w:p w14:paraId="29FF005E" w14:textId="77777777" w:rsidR="002958F7" w:rsidRPr="00337390" w:rsidRDefault="002958F7" w:rsidP="00C173BC">
            <w:pPr>
              <w:spacing w:after="0" w:line="240" w:lineRule="auto"/>
              <w:jc w:val="right"/>
              <w:rPr>
                <w:rFonts w:ascii="Calibri" w:eastAsia="Times New Roman" w:hAnsi="Calibri" w:cs="Calibri"/>
                <w:color w:val="000000"/>
                <w:lang w:eastAsia="cs-CZ"/>
              </w:rPr>
            </w:pPr>
            <w:r w:rsidRPr="00337390">
              <w:rPr>
                <w:rFonts w:ascii="Calibri" w:eastAsia="Times New Roman" w:hAnsi="Calibri" w:cs="Calibri"/>
                <w:color w:val="000000"/>
                <w:lang w:eastAsia="cs-CZ"/>
              </w:rPr>
              <w:t>44</w:t>
            </w:r>
          </w:p>
        </w:tc>
        <w:tc>
          <w:tcPr>
            <w:tcW w:w="357" w:type="pct"/>
            <w:tcBorders>
              <w:top w:val="nil"/>
              <w:left w:val="nil"/>
              <w:bottom w:val="nil"/>
              <w:right w:val="nil"/>
            </w:tcBorders>
            <w:shd w:val="clear" w:color="000000" w:fill="FCE4D6"/>
            <w:noWrap/>
            <w:vAlign w:val="bottom"/>
            <w:hideMark/>
          </w:tcPr>
          <w:p w14:paraId="36BDD4A4" w14:textId="77777777" w:rsidR="002958F7" w:rsidRPr="00337390" w:rsidRDefault="002958F7" w:rsidP="00C173BC">
            <w:pPr>
              <w:spacing w:after="0" w:line="240" w:lineRule="auto"/>
              <w:jc w:val="right"/>
              <w:rPr>
                <w:rFonts w:ascii="Calibri" w:eastAsia="Times New Roman" w:hAnsi="Calibri" w:cs="Calibri"/>
                <w:color w:val="000000"/>
                <w:lang w:eastAsia="cs-CZ"/>
              </w:rPr>
            </w:pPr>
            <w:r w:rsidRPr="00337390">
              <w:rPr>
                <w:rFonts w:ascii="Calibri" w:eastAsia="Times New Roman" w:hAnsi="Calibri" w:cs="Calibri"/>
                <w:color w:val="000000"/>
                <w:lang w:eastAsia="cs-CZ"/>
              </w:rPr>
              <w:t>59</w:t>
            </w:r>
          </w:p>
        </w:tc>
        <w:tc>
          <w:tcPr>
            <w:tcW w:w="359" w:type="pct"/>
            <w:tcBorders>
              <w:top w:val="nil"/>
              <w:left w:val="nil"/>
              <w:bottom w:val="nil"/>
              <w:right w:val="single" w:sz="4" w:space="0" w:color="auto"/>
            </w:tcBorders>
            <w:shd w:val="clear" w:color="000000" w:fill="FCE4D6"/>
            <w:noWrap/>
            <w:vAlign w:val="bottom"/>
            <w:hideMark/>
          </w:tcPr>
          <w:p w14:paraId="2B935DCA" w14:textId="77777777" w:rsidR="002958F7" w:rsidRPr="00337390" w:rsidRDefault="002958F7" w:rsidP="00C173BC">
            <w:pPr>
              <w:spacing w:after="0" w:line="240" w:lineRule="auto"/>
              <w:jc w:val="right"/>
              <w:rPr>
                <w:rFonts w:ascii="Calibri" w:eastAsia="Times New Roman" w:hAnsi="Calibri" w:cs="Calibri"/>
                <w:color w:val="000000"/>
                <w:lang w:eastAsia="cs-CZ"/>
              </w:rPr>
            </w:pPr>
            <w:r w:rsidRPr="00337390">
              <w:rPr>
                <w:rFonts w:ascii="Calibri" w:eastAsia="Times New Roman" w:hAnsi="Calibri" w:cs="Calibri"/>
                <w:color w:val="000000"/>
                <w:lang w:eastAsia="cs-CZ"/>
              </w:rPr>
              <w:t>28</w:t>
            </w:r>
          </w:p>
        </w:tc>
      </w:tr>
      <w:tr w:rsidR="002958F7" w:rsidRPr="00337390" w14:paraId="16FDB09B" w14:textId="77777777" w:rsidTr="00C173BC">
        <w:trPr>
          <w:trHeight w:val="288"/>
        </w:trPr>
        <w:tc>
          <w:tcPr>
            <w:tcW w:w="1820" w:type="pct"/>
            <w:vMerge/>
            <w:tcBorders>
              <w:top w:val="nil"/>
              <w:left w:val="single" w:sz="4" w:space="0" w:color="auto"/>
              <w:bottom w:val="single" w:sz="4" w:space="0" w:color="000000"/>
              <w:right w:val="single" w:sz="4" w:space="0" w:color="auto"/>
            </w:tcBorders>
            <w:vAlign w:val="center"/>
            <w:hideMark/>
          </w:tcPr>
          <w:p w14:paraId="41193988" w14:textId="77777777" w:rsidR="002958F7" w:rsidRPr="00337390" w:rsidRDefault="002958F7" w:rsidP="00C173BC">
            <w:pPr>
              <w:spacing w:after="0" w:line="240" w:lineRule="auto"/>
              <w:rPr>
                <w:rFonts w:ascii="Calibri" w:eastAsia="Times New Roman" w:hAnsi="Calibri" w:cs="Calibri"/>
                <w:color w:val="000000"/>
                <w:lang w:eastAsia="cs-CZ"/>
              </w:rPr>
            </w:pPr>
          </w:p>
        </w:tc>
        <w:tc>
          <w:tcPr>
            <w:tcW w:w="1393" w:type="pct"/>
            <w:tcBorders>
              <w:top w:val="nil"/>
              <w:left w:val="nil"/>
              <w:bottom w:val="nil"/>
              <w:right w:val="single" w:sz="4" w:space="0" w:color="auto"/>
            </w:tcBorders>
            <w:shd w:val="clear" w:color="000000" w:fill="EDEDED"/>
            <w:noWrap/>
            <w:vAlign w:val="bottom"/>
            <w:hideMark/>
          </w:tcPr>
          <w:p w14:paraId="7FC0F590" w14:textId="77777777" w:rsidR="002958F7" w:rsidRPr="00337390" w:rsidRDefault="002958F7" w:rsidP="00C173BC">
            <w:pPr>
              <w:spacing w:after="0" w:line="240" w:lineRule="auto"/>
              <w:rPr>
                <w:rFonts w:ascii="Calibri" w:eastAsia="Times New Roman" w:hAnsi="Calibri" w:cs="Calibri"/>
                <w:color w:val="000000"/>
                <w:lang w:eastAsia="cs-CZ"/>
              </w:rPr>
            </w:pPr>
            <w:r w:rsidRPr="00337390">
              <w:rPr>
                <w:rFonts w:ascii="Calibri" w:eastAsia="Times New Roman" w:hAnsi="Calibri" w:cs="Calibri"/>
                <w:color w:val="000000"/>
                <w:lang w:eastAsia="cs-CZ"/>
              </w:rPr>
              <w:t>Výběrová komise</w:t>
            </w:r>
          </w:p>
        </w:tc>
        <w:tc>
          <w:tcPr>
            <w:tcW w:w="357" w:type="pct"/>
            <w:tcBorders>
              <w:top w:val="nil"/>
              <w:left w:val="nil"/>
              <w:bottom w:val="nil"/>
              <w:right w:val="nil"/>
            </w:tcBorders>
            <w:shd w:val="clear" w:color="000000" w:fill="EDEDED"/>
            <w:noWrap/>
            <w:vAlign w:val="bottom"/>
            <w:hideMark/>
          </w:tcPr>
          <w:p w14:paraId="28998961" w14:textId="77777777" w:rsidR="002958F7" w:rsidRPr="00337390" w:rsidRDefault="002958F7" w:rsidP="00C173BC">
            <w:pPr>
              <w:spacing w:after="0" w:line="240" w:lineRule="auto"/>
              <w:jc w:val="right"/>
              <w:rPr>
                <w:rFonts w:ascii="Calibri" w:eastAsia="Times New Roman" w:hAnsi="Calibri" w:cs="Calibri"/>
                <w:color w:val="000000"/>
                <w:lang w:eastAsia="cs-CZ"/>
              </w:rPr>
            </w:pPr>
            <w:r w:rsidRPr="00337390">
              <w:rPr>
                <w:rFonts w:ascii="Calibri" w:eastAsia="Times New Roman" w:hAnsi="Calibri" w:cs="Calibri"/>
                <w:color w:val="000000"/>
                <w:lang w:eastAsia="cs-CZ"/>
              </w:rPr>
              <w:t>31</w:t>
            </w:r>
          </w:p>
        </w:tc>
        <w:tc>
          <w:tcPr>
            <w:tcW w:w="357" w:type="pct"/>
            <w:tcBorders>
              <w:top w:val="nil"/>
              <w:left w:val="nil"/>
              <w:bottom w:val="nil"/>
              <w:right w:val="nil"/>
            </w:tcBorders>
            <w:shd w:val="clear" w:color="000000" w:fill="EDEDED"/>
            <w:noWrap/>
            <w:vAlign w:val="bottom"/>
            <w:hideMark/>
          </w:tcPr>
          <w:p w14:paraId="25380FA7" w14:textId="77777777" w:rsidR="002958F7" w:rsidRPr="00337390" w:rsidRDefault="002958F7" w:rsidP="00C173BC">
            <w:pPr>
              <w:spacing w:after="0" w:line="240" w:lineRule="auto"/>
              <w:jc w:val="right"/>
              <w:rPr>
                <w:rFonts w:ascii="Calibri" w:eastAsia="Times New Roman" w:hAnsi="Calibri" w:cs="Calibri"/>
                <w:color w:val="000000"/>
                <w:lang w:eastAsia="cs-CZ"/>
              </w:rPr>
            </w:pPr>
            <w:r w:rsidRPr="00337390">
              <w:rPr>
                <w:rFonts w:ascii="Calibri" w:eastAsia="Times New Roman" w:hAnsi="Calibri" w:cs="Calibri"/>
                <w:color w:val="000000"/>
                <w:lang w:eastAsia="cs-CZ"/>
              </w:rPr>
              <w:t>50</w:t>
            </w:r>
          </w:p>
        </w:tc>
        <w:tc>
          <w:tcPr>
            <w:tcW w:w="357" w:type="pct"/>
            <w:tcBorders>
              <w:top w:val="nil"/>
              <w:left w:val="nil"/>
              <w:bottom w:val="nil"/>
              <w:right w:val="nil"/>
            </w:tcBorders>
            <w:shd w:val="clear" w:color="000000" w:fill="EDEDED"/>
            <w:noWrap/>
            <w:vAlign w:val="bottom"/>
            <w:hideMark/>
          </w:tcPr>
          <w:p w14:paraId="72BD4318" w14:textId="77777777" w:rsidR="002958F7" w:rsidRPr="00337390" w:rsidRDefault="002958F7" w:rsidP="00C173BC">
            <w:pPr>
              <w:spacing w:after="0" w:line="240" w:lineRule="auto"/>
              <w:jc w:val="right"/>
              <w:rPr>
                <w:rFonts w:ascii="Calibri" w:eastAsia="Times New Roman" w:hAnsi="Calibri" w:cs="Calibri"/>
                <w:color w:val="000000"/>
                <w:lang w:eastAsia="cs-CZ"/>
              </w:rPr>
            </w:pPr>
            <w:r w:rsidRPr="00337390">
              <w:rPr>
                <w:rFonts w:ascii="Calibri" w:eastAsia="Times New Roman" w:hAnsi="Calibri" w:cs="Calibri"/>
                <w:color w:val="000000"/>
                <w:lang w:eastAsia="cs-CZ"/>
              </w:rPr>
              <w:t>21</w:t>
            </w:r>
          </w:p>
        </w:tc>
        <w:tc>
          <w:tcPr>
            <w:tcW w:w="357" w:type="pct"/>
            <w:tcBorders>
              <w:top w:val="nil"/>
              <w:left w:val="nil"/>
              <w:bottom w:val="nil"/>
              <w:right w:val="nil"/>
            </w:tcBorders>
            <w:shd w:val="clear" w:color="000000" w:fill="EDEDED"/>
            <w:noWrap/>
            <w:vAlign w:val="bottom"/>
            <w:hideMark/>
          </w:tcPr>
          <w:p w14:paraId="61C3F038" w14:textId="77777777" w:rsidR="002958F7" w:rsidRPr="00337390" w:rsidRDefault="002958F7" w:rsidP="00C173BC">
            <w:pPr>
              <w:spacing w:after="0" w:line="240" w:lineRule="auto"/>
              <w:jc w:val="right"/>
              <w:rPr>
                <w:rFonts w:ascii="Calibri" w:eastAsia="Times New Roman" w:hAnsi="Calibri" w:cs="Calibri"/>
                <w:color w:val="000000"/>
                <w:lang w:eastAsia="cs-CZ"/>
              </w:rPr>
            </w:pPr>
            <w:r w:rsidRPr="00337390">
              <w:rPr>
                <w:rFonts w:ascii="Calibri" w:eastAsia="Times New Roman" w:hAnsi="Calibri" w:cs="Calibri"/>
                <w:color w:val="000000"/>
                <w:lang w:eastAsia="cs-CZ"/>
              </w:rPr>
              <w:t>14</w:t>
            </w:r>
          </w:p>
        </w:tc>
        <w:tc>
          <w:tcPr>
            <w:tcW w:w="359" w:type="pct"/>
            <w:tcBorders>
              <w:top w:val="nil"/>
              <w:left w:val="nil"/>
              <w:bottom w:val="nil"/>
              <w:right w:val="single" w:sz="4" w:space="0" w:color="auto"/>
            </w:tcBorders>
            <w:shd w:val="clear" w:color="000000" w:fill="EDEDED"/>
            <w:noWrap/>
            <w:vAlign w:val="bottom"/>
            <w:hideMark/>
          </w:tcPr>
          <w:p w14:paraId="34E381F7" w14:textId="77777777" w:rsidR="002958F7" w:rsidRPr="00337390" w:rsidRDefault="002958F7" w:rsidP="00C173BC">
            <w:pPr>
              <w:spacing w:after="0" w:line="240" w:lineRule="auto"/>
              <w:jc w:val="right"/>
              <w:rPr>
                <w:rFonts w:ascii="Calibri" w:eastAsia="Times New Roman" w:hAnsi="Calibri" w:cs="Calibri"/>
                <w:color w:val="000000"/>
                <w:lang w:eastAsia="cs-CZ"/>
              </w:rPr>
            </w:pPr>
            <w:r w:rsidRPr="00337390">
              <w:rPr>
                <w:rFonts w:ascii="Calibri" w:eastAsia="Times New Roman" w:hAnsi="Calibri" w:cs="Calibri"/>
                <w:color w:val="000000"/>
                <w:lang w:eastAsia="cs-CZ"/>
              </w:rPr>
              <w:t>14</w:t>
            </w:r>
          </w:p>
        </w:tc>
      </w:tr>
      <w:tr w:rsidR="002958F7" w:rsidRPr="00337390" w14:paraId="6227BE80" w14:textId="77777777" w:rsidTr="00C173BC">
        <w:trPr>
          <w:trHeight w:val="288"/>
        </w:trPr>
        <w:tc>
          <w:tcPr>
            <w:tcW w:w="1820" w:type="pct"/>
            <w:vMerge/>
            <w:tcBorders>
              <w:top w:val="nil"/>
              <w:left w:val="single" w:sz="4" w:space="0" w:color="auto"/>
              <w:bottom w:val="single" w:sz="4" w:space="0" w:color="000000"/>
              <w:right w:val="single" w:sz="4" w:space="0" w:color="auto"/>
            </w:tcBorders>
            <w:vAlign w:val="center"/>
            <w:hideMark/>
          </w:tcPr>
          <w:p w14:paraId="1D6CF5EA" w14:textId="77777777" w:rsidR="002958F7" w:rsidRPr="00337390" w:rsidRDefault="002958F7" w:rsidP="00C173BC">
            <w:pPr>
              <w:spacing w:after="0" w:line="240" w:lineRule="auto"/>
              <w:rPr>
                <w:rFonts w:ascii="Calibri" w:eastAsia="Times New Roman" w:hAnsi="Calibri" w:cs="Calibri"/>
                <w:color w:val="000000"/>
                <w:lang w:eastAsia="cs-CZ"/>
              </w:rPr>
            </w:pPr>
          </w:p>
        </w:tc>
        <w:tc>
          <w:tcPr>
            <w:tcW w:w="1393" w:type="pct"/>
            <w:tcBorders>
              <w:top w:val="nil"/>
              <w:left w:val="nil"/>
              <w:bottom w:val="nil"/>
              <w:right w:val="single" w:sz="4" w:space="0" w:color="auto"/>
            </w:tcBorders>
            <w:shd w:val="clear" w:color="000000" w:fill="FFF2CC"/>
            <w:noWrap/>
            <w:vAlign w:val="bottom"/>
            <w:hideMark/>
          </w:tcPr>
          <w:p w14:paraId="7822D00C" w14:textId="77777777" w:rsidR="002958F7" w:rsidRPr="00337390" w:rsidRDefault="002958F7" w:rsidP="00C173BC">
            <w:pPr>
              <w:spacing w:after="0" w:line="240" w:lineRule="auto"/>
              <w:rPr>
                <w:rFonts w:ascii="Calibri" w:eastAsia="Times New Roman" w:hAnsi="Calibri" w:cs="Calibri"/>
                <w:color w:val="000000"/>
                <w:lang w:eastAsia="cs-CZ"/>
              </w:rPr>
            </w:pPr>
            <w:r w:rsidRPr="00337390">
              <w:rPr>
                <w:rFonts w:ascii="Calibri" w:eastAsia="Times New Roman" w:hAnsi="Calibri" w:cs="Calibri"/>
                <w:color w:val="000000"/>
                <w:lang w:eastAsia="cs-CZ"/>
              </w:rPr>
              <w:t>Příprava PA</w:t>
            </w:r>
          </w:p>
        </w:tc>
        <w:tc>
          <w:tcPr>
            <w:tcW w:w="357" w:type="pct"/>
            <w:tcBorders>
              <w:top w:val="nil"/>
              <w:left w:val="nil"/>
              <w:bottom w:val="nil"/>
              <w:right w:val="nil"/>
            </w:tcBorders>
            <w:shd w:val="clear" w:color="000000" w:fill="FFF2CC"/>
            <w:noWrap/>
            <w:vAlign w:val="bottom"/>
            <w:hideMark/>
          </w:tcPr>
          <w:p w14:paraId="6A94457B" w14:textId="77777777" w:rsidR="002958F7" w:rsidRPr="00337390" w:rsidRDefault="002958F7" w:rsidP="00C173BC">
            <w:pPr>
              <w:spacing w:after="0" w:line="240" w:lineRule="auto"/>
              <w:jc w:val="right"/>
              <w:rPr>
                <w:rFonts w:ascii="Calibri" w:eastAsia="Times New Roman" w:hAnsi="Calibri" w:cs="Calibri"/>
                <w:color w:val="000000"/>
                <w:lang w:eastAsia="cs-CZ"/>
              </w:rPr>
            </w:pPr>
            <w:r w:rsidRPr="00337390">
              <w:rPr>
                <w:rFonts w:ascii="Calibri" w:eastAsia="Times New Roman" w:hAnsi="Calibri" w:cs="Calibri"/>
                <w:color w:val="000000"/>
                <w:lang w:eastAsia="cs-CZ"/>
              </w:rPr>
              <w:t>59</w:t>
            </w:r>
          </w:p>
        </w:tc>
        <w:tc>
          <w:tcPr>
            <w:tcW w:w="357" w:type="pct"/>
            <w:tcBorders>
              <w:top w:val="nil"/>
              <w:left w:val="nil"/>
              <w:bottom w:val="nil"/>
              <w:right w:val="nil"/>
            </w:tcBorders>
            <w:shd w:val="clear" w:color="000000" w:fill="FFF2CC"/>
            <w:noWrap/>
            <w:vAlign w:val="bottom"/>
            <w:hideMark/>
          </w:tcPr>
          <w:p w14:paraId="553A79E4" w14:textId="77777777" w:rsidR="002958F7" w:rsidRPr="00337390" w:rsidRDefault="002958F7" w:rsidP="00C173BC">
            <w:pPr>
              <w:spacing w:after="0" w:line="240" w:lineRule="auto"/>
              <w:jc w:val="right"/>
              <w:rPr>
                <w:rFonts w:ascii="Calibri" w:eastAsia="Times New Roman" w:hAnsi="Calibri" w:cs="Calibri"/>
                <w:color w:val="000000"/>
                <w:lang w:eastAsia="cs-CZ"/>
              </w:rPr>
            </w:pPr>
            <w:r w:rsidRPr="00337390">
              <w:rPr>
                <w:rFonts w:ascii="Calibri" w:eastAsia="Times New Roman" w:hAnsi="Calibri" w:cs="Calibri"/>
                <w:color w:val="000000"/>
                <w:lang w:eastAsia="cs-CZ"/>
              </w:rPr>
              <w:t>59</w:t>
            </w:r>
          </w:p>
        </w:tc>
        <w:tc>
          <w:tcPr>
            <w:tcW w:w="357" w:type="pct"/>
            <w:tcBorders>
              <w:top w:val="nil"/>
              <w:left w:val="nil"/>
              <w:bottom w:val="nil"/>
              <w:right w:val="nil"/>
            </w:tcBorders>
            <w:shd w:val="clear" w:color="000000" w:fill="FFF2CC"/>
            <w:noWrap/>
            <w:vAlign w:val="bottom"/>
            <w:hideMark/>
          </w:tcPr>
          <w:p w14:paraId="3F63037C" w14:textId="77777777" w:rsidR="002958F7" w:rsidRPr="00337390" w:rsidRDefault="002958F7" w:rsidP="00C173BC">
            <w:pPr>
              <w:spacing w:after="0" w:line="240" w:lineRule="auto"/>
              <w:jc w:val="right"/>
              <w:rPr>
                <w:rFonts w:ascii="Calibri" w:eastAsia="Times New Roman" w:hAnsi="Calibri" w:cs="Calibri"/>
                <w:color w:val="000000"/>
                <w:lang w:eastAsia="cs-CZ"/>
              </w:rPr>
            </w:pPr>
            <w:r w:rsidRPr="00337390">
              <w:rPr>
                <w:rFonts w:ascii="Calibri" w:eastAsia="Times New Roman" w:hAnsi="Calibri" w:cs="Calibri"/>
                <w:color w:val="000000"/>
                <w:lang w:eastAsia="cs-CZ"/>
              </w:rPr>
              <w:t>53</w:t>
            </w:r>
          </w:p>
        </w:tc>
        <w:tc>
          <w:tcPr>
            <w:tcW w:w="357" w:type="pct"/>
            <w:tcBorders>
              <w:top w:val="nil"/>
              <w:left w:val="nil"/>
              <w:bottom w:val="nil"/>
              <w:right w:val="nil"/>
            </w:tcBorders>
            <w:shd w:val="clear" w:color="000000" w:fill="FFF2CC"/>
            <w:noWrap/>
            <w:vAlign w:val="bottom"/>
            <w:hideMark/>
          </w:tcPr>
          <w:p w14:paraId="548975DA" w14:textId="77777777" w:rsidR="002958F7" w:rsidRPr="00337390" w:rsidRDefault="002958F7" w:rsidP="00C173BC">
            <w:pPr>
              <w:spacing w:after="0" w:line="240" w:lineRule="auto"/>
              <w:jc w:val="right"/>
              <w:rPr>
                <w:rFonts w:ascii="Calibri" w:eastAsia="Times New Roman" w:hAnsi="Calibri" w:cs="Calibri"/>
                <w:color w:val="000000"/>
                <w:lang w:eastAsia="cs-CZ"/>
              </w:rPr>
            </w:pPr>
            <w:r w:rsidRPr="00337390">
              <w:rPr>
                <w:rFonts w:ascii="Calibri" w:eastAsia="Times New Roman" w:hAnsi="Calibri" w:cs="Calibri"/>
                <w:color w:val="000000"/>
                <w:lang w:eastAsia="cs-CZ"/>
              </w:rPr>
              <w:t>53</w:t>
            </w:r>
          </w:p>
        </w:tc>
        <w:tc>
          <w:tcPr>
            <w:tcW w:w="359" w:type="pct"/>
            <w:tcBorders>
              <w:top w:val="nil"/>
              <w:left w:val="nil"/>
              <w:bottom w:val="nil"/>
              <w:right w:val="single" w:sz="4" w:space="0" w:color="auto"/>
            </w:tcBorders>
            <w:shd w:val="clear" w:color="000000" w:fill="FFF2CC"/>
            <w:noWrap/>
            <w:vAlign w:val="bottom"/>
            <w:hideMark/>
          </w:tcPr>
          <w:p w14:paraId="387B02D0" w14:textId="77777777" w:rsidR="002958F7" w:rsidRPr="00337390" w:rsidRDefault="002958F7" w:rsidP="00C173BC">
            <w:pPr>
              <w:spacing w:after="0" w:line="240" w:lineRule="auto"/>
              <w:jc w:val="right"/>
              <w:rPr>
                <w:rFonts w:ascii="Calibri" w:eastAsia="Times New Roman" w:hAnsi="Calibri" w:cs="Calibri"/>
                <w:color w:val="000000"/>
                <w:lang w:eastAsia="cs-CZ"/>
              </w:rPr>
            </w:pPr>
            <w:r w:rsidRPr="00337390">
              <w:rPr>
                <w:rFonts w:ascii="Calibri" w:eastAsia="Times New Roman" w:hAnsi="Calibri" w:cs="Calibri"/>
                <w:color w:val="000000"/>
                <w:lang w:eastAsia="cs-CZ"/>
              </w:rPr>
              <w:t>31</w:t>
            </w:r>
          </w:p>
        </w:tc>
      </w:tr>
      <w:tr w:rsidR="002958F7" w:rsidRPr="00337390" w14:paraId="11FD46A1" w14:textId="77777777" w:rsidTr="00C173BC">
        <w:trPr>
          <w:trHeight w:val="288"/>
        </w:trPr>
        <w:tc>
          <w:tcPr>
            <w:tcW w:w="1820" w:type="pct"/>
            <w:vMerge/>
            <w:tcBorders>
              <w:top w:val="nil"/>
              <w:left w:val="single" w:sz="4" w:space="0" w:color="auto"/>
              <w:bottom w:val="single" w:sz="4" w:space="0" w:color="000000"/>
              <w:right w:val="single" w:sz="4" w:space="0" w:color="auto"/>
            </w:tcBorders>
            <w:vAlign w:val="center"/>
            <w:hideMark/>
          </w:tcPr>
          <w:p w14:paraId="29C425A5" w14:textId="77777777" w:rsidR="002958F7" w:rsidRPr="00337390" w:rsidRDefault="002958F7" w:rsidP="00C173BC">
            <w:pPr>
              <w:spacing w:after="0" w:line="240" w:lineRule="auto"/>
              <w:rPr>
                <w:rFonts w:ascii="Calibri" w:eastAsia="Times New Roman" w:hAnsi="Calibri" w:cs="Calibri"/>
                <w:color w:val="000000"/>
                <w:lang w:eastAsia="cs-CZ"/>
              </w:rPr>
            </w:pPr>
          </w:p>
        </w:tc>
        <w:tc>
          <w:tcPr>
            <w:tcW w:w="1393" w:type="pct"/>
            <w:tcBorders>
              <w:top w:val="nil"/>
              <w:left w:val="nil"/>
              <w:bottom w:val="nil"/>
              <w:right w:val="single" w:sz="4" w:space="0" w:color="auto"/>
            </w:tcBorders>
            <w:shd w:val="clear" w:color="000000" w:fill="D9E1F2"/>
            <w:noWrap/>
            <w:vAlign w:val="bottom"/>
            <w:hideMark/>
          </w:tcPr>
          <w:p w14:paraId="64E4E90E" w14:textId="77777777" w:rsidR="002958F7" w:rsidRPr="00337390" w:rsidRDefault="002958F7" w:rsidP="00C173BC">
            <w:pPr>
              <w:spacing w:after="0" w:line="240" w:lineRule="auto"/>
              <w:rPr>
                <w:rFonts w:ascii="Calibri" w:eastAsia="Times New Roman" w:hAnsi="Calibri" w:cs="Calibri"/>
                <w:color w:val="000000"/>
                <w:lang w:eastAsia="cs-CZ"/>
              </w:rPr>
            </w:pPr>
            <w:r w:rsidRPr="00337390">
              <w:rPr>
                <w:rFonts w:ascii="Calibri" w:eastAsia="Times New Roman" w:hAnsi="Calibri" w:cs="Calibri"/>
                <w:color w:val="000000"/>
                <w:lang w:eastAsia="cs-CZ"/>
              </w:rPr>
              <w:t>Vydání PA</w:t>
            </w:r>
          </w:p>
        </w:tc>
        <w:tc>
          <w:tcPr>
            <w:tcW w:w="357" w:type="pct"/>
            <w:tcBorders>
              <w:top w:val="nil"/>
              <w:left w:val="nil"/>
              <w:bottom w:val="nil"/>
              <w:right w:val="nil"/>
            </w:tcBorders>
            <w:shd w:val="clear" w:color="000000" w:fill="D9E1F2"/>
            <w:noWrap/>
            <w:vAlign w:val="bottom"/>
            <w:hideMark/>
          </w:tcPr>
          <w:p w14:paraId="3CCDAE2E" w14:textId="77777777" w:rsidR="002958F7" w:rsidRPr="00337390" w:rsidRDefault="002958F7" w:rsidP="00C173BC">
            <w:pPr>
              <w:spacing w:after="0" w:line="240" w:lineRule="auto"/>
              <w:jc w:val="right"/>
              <w:rPr>
                <w:rFonts w:ascii="Calibri" w:eastAsia="Times New Roman" w:hAnsi="Calibri" w:cs="Calibri"/>
                <w:color w:val="000000"/>
                <w:lang w:eastAsia="cs-CZ"/>
              </w:rPr>
            </w:pPr>
            <w:r w:rsidRPr="00337390">
              <w:rPr>
                <w:rFonts w:ascii="Calibri" w:eastAsia="Times New Roman" w:hAnsi="Calibri" w:cs="Calibri"/>
                <w:color w:val="000000"/>
                <w:lang w:eastAsia="cs-CZ"/>
              </w:rPr>
              <w:t>16</w:t>
            </w:r>
          </w:p>
        </w:tc>
        <w:tc>
          <w:tcPr>
            <w:tcW w:w="357" w:type="pct"/>
            <w:tcBorders>
              <w:top w:val="nil"/>
              <w:left w:val="nil"/>
              <w:bottom w:val="nil"/>
              <w:right w:val="nil"/>
            </w:tcBorders>
            <w:shd w:val="clear" w:color="000000" w:fill="D9E1F2"/>
            <w:noWrap/>
            <w:vAlign w:val="bottom"/>
            <w:hideMark/>
          </w:tcPr>
          <w:p w14:paraId="399FEA5C" w14:textId="77777777" w:rsidR="002958F7" w:rsidRPr="00337390" w:rsidRDefault="002958F7" w:rsidP="00C173BC">
            <w:pPr>
              <w:spacing w:after="0" w:line="240" w:lineRule="auto"/>
              <w:jc w:val="right"/>
              <w:rPr>
                <w:rFonts w:ascii="Calibri" w:eastAsia="Times New Roman" w:hAnsi="Calibri" w:cs="Calibri"/>
                <w:color w:val="000000"/>
                <w:lang w:eastAsia="cs-CZ"/>
              </w:rPr>
            </w:pPr>
            <w:r w:rsidRPr="00337390">
              <w:rPr>
                <w:rFonts w:ascii="Calibri" w:eastAsia="Times New Roman" w:hAnsi="Calibri" w:cs="Calibri"/>
                <w:color w:val="000000"/>
                <w:lang w:eastAsia="cs-CZ"/>
              </w:rPr>
              <w:t>12</w:t>
            </w:r>
          </w:p>
        </w:tc>
        <w:tc>
          <w:tcPr>
            <w:tcW w:w="357" w:type="pct"/>
            <w:tcBorders>
              <w:top w:val="nil"/>
              <w:left w:val="nil"/>
              <w:bottom w:val="nil"/>
              <w:right w:val="nil"/>
            </w:tcBorders>
            <w:shd w:val="clear" w:color="000000" w:fill="D9E1F2"/>
            <w:noWrap/>
            <w:vAlign w:val="bottom"/>
            <w:hideMark/>
          </w:tcPr>
          <w:p w14:paraId="46EEA87C" w14:textId="77777777" w:rsidR="002958F7" w:rsidRPr="00337390" w:rsidRDefault="002958F7" w:rsidP="00C173BC">
            <w:pPr>
              <w:spacing w:after="0" w:line="240" w:lineRule="auto"/>
              <w:jc w:val="right"/>
              <w:rPr>
                <w:rFonts w:ascii="Calibri" w:eastAsia="Times New Roman" w:hAnsi="Calibri" w:cs="Calibri"/>
                <w:color w:val="000000"/>
                <w:lang w:eastAsia="cs-CZ"/>
              </w:rPr>
            </w:pPr>
            <w:r w:rsidRPr="00337390">
              <w:rPr>
                <w:rFonts w:ascii="Calibri" w:eastAsia="Times New Roman" w:hAnsi="Calibri" w:cs="Calibri"/>
                <w:color w:val="000000"/>
                <w:lang w:eastAsia="cs-CZ"/>
              </w:rPr>
              <w:t>15</w:t>
            </w:r>
          </w:p>
        </w:tc>
        <w:tc>
          <w:tcPr>
            <w:tcW w:w="357" w:type="pct"/>
            <w:tcBorders>
              <w:top w:val="nil"/>
              <w:left w:val="nil"/>
              <w:bottom w:val="nil"/>
              <w:right w:val="nil"/>
            </w:tcBorders>
            <w:shd w:val="clear" w:color="000000" w:fill="D9E1F2"/>
            <w:noWrap/>
            <w:vAlign w:val="bottom"/>
            <w:hideMark/>
          </w:tcPr>
          <w:p w14:paraId="4CC26773" w14:textId="77777777" w:rsidR="002958F7" w:rsidRPr="00337390" w:rsidRDefault="002958F7" w:rsidP="00C173BC">
            <w:pPr>
              <w:spacing w:after="0" w:line="240" w:lineRule="auto"/>
              <w:jc w:val="right"/>
              <w:rPr>
                <w:rFonts w:ascii="Calibri" w:eastAsia="Times New Roman" w:hAnsi="Calibri" w:cs="Calibri"/>
                <w:color w:val="000000"/>
                <w:lang w:eastAsia="cs-CZ"/>
              </w:rPr>
            </w:pPr>
            <w:r w:rsidRPr="00337390">
              <w:rPr>
                <w:rFonts w:ascii="Calibri" w:eastAsia="Times New Roman" w:hAnsi="Calibri" w:cs="Calibri"/>
                <w:color w:val="000000"/>
                <w:lang w:eastAsia="cs-CZ"/>
              </w:rPr>
              <w:t>10</w:t>
            </w:r>
          </w:p>
        </w:tc>
        <w:tc>
          <w:tcPr>
            <w:tcW w:w="359" w:type="pct"/>
            <w:tcBorders>
              <w:top w:val="nil"/>
              <w:left w:val="nil"/>
              <w:bottom w:val="nil"/>
              <w:right w:val="single" w:sz="4" w:space="0" w:color="auto"/>
            </w:tcBorders>
            <w:shd w:val="clear" w:color="000000" w:fill="D9E1F2"/>
            <w:noWrap/>
            <w:vAlign w:val="bottom"/>
            <w:hideMark/>
          </w:tcPr>
          <w:p w14:paraId="59078EC7" w14:textId="77777777" w:rsidR="002958F7" w:rsidRPr="00337390" w:rsidRDefault="002958F7" w:rsidP="00C173BC">
            <w:pPr>
              <w:spacing w:after="0" w:line="240" w:lineRule="auto"/>
              <w:jc w:val="right"/>
              <w:rPr>
                <w:rFonts w:ascii="Calibri" w:eastAsia="Times New Roman" w:hAnsi="Calibri" w:cs="Calibri"/>
                <w:color w:val="000000"/>
                <w:lang w:eastAsia="cs-CZ"/>
              </w:rPr>
            </w:pPr>
            <w:r w:rsidRPr="00337390">
              <w:rPr>
                <w:rFonts w:ascii="Calibri" w:eastAsia="Times New Roman" w:hAnsi="Calibri" w:cs="Calibri"/>
                <w:color w:val="000000"/>
                <w:lang w:eastAsia="cs-CZ"/>
              </w:rPr>
              <w:t>4</w:t>
            </w:r>
          </w:p>
        </w:tc>
      </w:tr>
      <w:tr w:rsidR="002958F7" w:rsidRPr="00337390" w14:paraId="430237F4" w14:textId="77777777" w:rsidTr="00C173BC">
        <w:trPr>
          <w:trHeight w:val="288"/>
        </w:trPr>
        <w:tc>
          <w:tcPr>
            <w:tcW w:w="1820" w:type="pct"/>
            <w:vMerge/>
            <w:tcBorders>
              <w:top w:val="nil"/>
              <w:left w:val="single" w:sz="4" w:space="0" w:color="auto"/>
              <w:bottom w:val="single" w:sz="4" w:space="0" w:color="000000"/>
              <w:right w:val="single" w:sz="4" w:space="0" w:color="auto"/>
            </w:tcBorders>
            <w:vAlign w:val="center"/>
            <w:hideMark/>
          </w:tcPr>
          <w:p w14:paraId="3C8B5C44" w14:textId="77777777" w:rsidR="002958F7" w:rsidRPr="00337390" w:rsidRDefault="002958F7" w:rsidP="00C173BC">
            <w:pPr>
              <w:spacing w:after="0" w:line="240" w:lineRule="auto"/>
              <w:rPr>
                <w:rFonts w:ascii="Calibri" w:eastAsia="Times New Roman" w:hAnsi="Calibri" w:cs="Calibri"/>
                <w:color w:val="000000"/>
                <w:lang w:eastAsia="cs-CZ"/>
              </w:rPr>
            </w:pPr>
          </w:p>
        </w:tc>
        <w:tc>
          <w:tcPr>
            <w:tcW w:w="1393" w:type="pct"/>
            <w:tcBorders>
              <w:top w:val="single" w:sz="4" w:space="0" w:color="auto"/>
              <w:left w:val="nil"/>
              <w:bottom w:val="single" w:sz="4" w:space="0" w:color="auto"/>
              <w:right w:val="single" w:sz="4" w:space="0" w:color="auto"/>
            </w:tcBorders>
            <w:shd w:val="clear" w:color="000000" w:fill="F2F2F2"/>
            <w:noWrap/>
            <w:vAlign w:val="bottom"/>
            <w:hideMark/>
          </w:tcPr>
          <w:p w14:paraId="495F6502" w14:textId="77777777" w:rsidR="002958F7" w:rsidRPr="00337390" w:rsidRDefault="002958F7" w:rsidP="00C173BC">
            <w:pPr>
              <w:spacing w:after="0" w:line="240" w:lineRule="auto"/>
              <w:rPr>
                <w:rFonts w:ascii="Calibri" w:eastAsia="Times New Roman" w:hAnsi="Calibri" w:cs="Calibri"/>
                <w:b/>
                <w:bCs/>
                <w:color w:val="000000"/>
                <w:lang w:eastAsia="cs-CZ"/>
              </w:rPr>
            </w:pPr>
            <w:r w:rsidRPr="00337390">
              <w:rPr>
                <w:rFonts w:ascii="Calibri" w:eastAsia="Times New Roman" w:hAnsi="Calibri" w:cs="Calibri"/>
                <w:b/>
                <w:bCs/>
                <w:color w:val="000000"/>
                <w:lang w:eastAsia="cs-CZ"/>
              </w:rPr>
              <w:t>Celkem (medián)</w:t>
            </w:r>
          </w:p>
        </w:tc>
        <w:tc>
          <w:tcPr>
            <w:tcW w:w="357" w:type="pct"/>
            <w:tcBorders>
              <w:top w:val="single" w:sz="4" w:space="0" w:color="auto"/>
              <w:left w:val="nil"/>
              <w:bottom w:val="single" w:sz="4" w:space="0" w:color="auto"/>
              <w:right w:val="nil"/>
            </w:tcBorders>
            <w:shd w:val="clear" w:color="000000" w:fill="F2F2F2"/>
            <w:noWrap/>
            <w:vAlign w:val="bottom"/>
            <w:hideMark/>
          </w:tcPr>
          <w:p w14:paraId="6BB2E26E" w14:textId="77777777" w:rsidR="002958F7" w:rsidRPr="00337390" w:rsidRDefault="002958F7" w:rsidP="00C173BC">
            <w:pPr>
              <w:spacing w:after="0" w:line="240" w:lineRule="auto"/>
              <w:jc w:val="right"/>
              <w:rPr>
                <w:rFonts w:ascii="Calibri" w:eastAsia="Times New Roman" w:hAnsi="Calibri" w:cs="Calibri"/>
                <w:b/>
                <w:bCs/>
                <w:color w:val="000000"/>
                <w:lang w:eastAsia="cs-CZ"/>
              </w:rPr>
            </w:pPr>
            <w:r w:rsidRPr="00337390">
              <w:rPr>
                <w:rFonts w:ascii="Calibri" w:eastAsia="Times New Roman" w:hAnsi="Calibri" w:cs="Calibri"/>
                <w:b/>
                <w:bCs/>
                <w:color w:val="000000"/>
                <w:lang w:eastAsia="cs-CZ"/>
              </w:rPr>
              <w:t>291</w:t>
            </w:r>
          </w:p>
        </w:tc>
        <w:tc>
          <w:tcPr>
            <w:tcW w:w="357" w:type="pct"/>
            <w:tcBorders>
              <w:top w:val="single" w:sz="4" w:space="0" w:color="auto"/>
              <w:left w:val="nil"/>
              <w:bottom w:val="single" w:sz="4" w:space="0" w:color="auto"/>
              <w:right w:val="nil"/>
            </w:tcBorders>
            <w:shd w:val="clear" w:color="000000" w:fill="F2F2F2"/>
            <w:noWrap/>
            <w:vAlign w:val="bottom"/>
            <w:hideMark/>
          </w:tcPr>
          <w:p w14:paraId="48A57498" w14:textId="77777777" w:rsidR="002958F7" w:rsidRPr="00337390" w:rsidRDefault="002958F7" w:rsidP="00C173BC">
            <w:pPr>
              <w:spacing w:after="0" w:line="240" w:lineRule="auto"/>
              <w:jc w:val="right"/>
              <w:rPr>
                <w:rFonts w:ascii="Calibri" w:eastAsia="Times New Roman" w:hAnsi="Calibri" w:cs="Calibri"/>
                <w:b/>
                <w:bCs/>
                <w:color w:val="000000"/>
                <w:lang w:eastAsia="cs-CZ"/>
              </w:rPr>
            </w:pPr>
            <w:r w:rsidRPr="00337390">
              <w:rPr>
                <w:rFonts w:ascii="Calibri" w:eastAsia="Times New Roman" w:hAnsi="Calibri" w:cs="Calibri"/>
                <w:b/>
                <w:bCs/>
                <w:color w:val="000000"/>
                <w:lang w:eastAsia="cs-CZ"/>
              </w:rPr>
              <w:t>283</w:t>
            </w:r>
          </w:p>
        </w:tc>
        <w:tc>
          <w:tcPr>
            <w:tcW w:w="357" w:type="pct"/>
            <w:tcBorders>
              <w:top w:val="single" w:sz="4" w:space="0" w:color="auto"/>
              <w:left w:val="nil"/>
              <w:bottom w:val="single" w:sz="4" w:space="0" w:color="auto"/>
              <w:right w:val="nil"/>
            </w:tcBorders>
            <w:shd w:val="clear" w:color="000000" w:fill="F2F2F2"/>
            <w:noWrap/>
            <w:vAlign w:val="bottom"/>
            <w:hideMark/>
          </w:tcPr>
          <w:p w14:paraId="0E76D4F2" w14:textId="77777777" w:rsidR="002958F7" w:rsidRPr="00337390" w:rsidRDefault="002958F7" w:rsidP="00C173BC">
            <w:pPr>
              <w:spacing w:after="0" w:line="240" w:lineRule="auto"/>
              <w:jc w:val="right"/>
              <w:rPr>
                <w:rFonts w:ascii="Calibri" w:eastAsia="Times New Roman" w:hAnsi="Calibri" w:cs="Calibri"/>
                <w:b/>
                <w:bCs/>
                <w:color w:val="000000"/>
                <w:lang w:eastAsia="cs-CZ"/>
              </w:rPr>
            </w:pPr>
            <w:r w:rsidRPr="00337390">
              <w:rPr>
                <w:rFonts w:ascii="Calibri" w:eastAsia="Times New Roman" w:hAnsi="Calibri" w:cs="Calibri"/>
                <w:b/>
                <w:bCs/>
                <w:color w:val="000000"/>
                <w:lang w:eastAsia="cs-CZ"/>
              </w:rPr>
              <w:t>208</w:t>
            </w:r>
          </w:p>
        </w:tc>
        <w:tc>
          <w:tcPr>
            <w:tcW w:w="357" w:type="pct"/>
            <w:tcBorders>
              <w:top w:val="single" w:sz="4" w:space="0" w:color="auto"/>
              <w:left w:val="nil"/>
              <w:bottom w:val="single" w:sz="4" w:space="0" w:color="auto"/>
              <w:right w:val="nil"/>
            </w:tcBorders>
            <w:shd w:val="clear" w:color="000000" w:fill="F2F2F2"/>
            <w:noWrap/>
            <w:vAlign w:val="bottom"/>
            <w:hideMark/>
          </w:tcPr>
          <w:p w14:paraId="7FD406B3" w14:textId="77777777" w:rsidR="002958F7" w:rsidRPr="00337390" w:rsidRDefault="002958F7" w:rsidP="00C173BC">
            <w:pPr>
              <w:spacing w:after="0" w:line="240" w:lineRule="auto"/>
              <w:jc w:val="right"/>
              <w:rPr>
                <w:rFonts w:ascii="Calibri" w:eastAsia="Times New Roman" w:hAnsi="Calibri" w:cs="Calibri"/>
                <w:b/>
                <w:bCs/>
                <w:color w:val="000000"/>
                <w:lang w:eastAsia="cs-CZ"/>
              </w:rPr>
            </w:pPr>
            <w:r w:rsidRPr="00337390">
              <w:rPr>
                <w:rFonts w:ascii="Calibri" w:eastAsia="Times New Roman" w:hAnsi="Calibri" w:cs="Calibri"/>
                <w:b/>
                <w:bCs/>
                <w:color w:val="000000"/>
                <w:lang w:eastAsia="cs-CZ"/>
              </w:rPr>
              <w:t>242</w:t>
            </w:r>
          </w:p>
        </w:tc>
        <w:tc>
          <w:tcPr>
            <w:tcW w:w="359" w:type="pct"/>
            <w:tcBorders>
              <w:top w:val="single" w:sz="4" w:space="0" w:color="auto"/>
              <w:left w:val="nil"/>
              <w:bottom w:val="single" w:sz="4" w:space="0" w:color="auto"/>
              <w:right w:val="single" w:sz="4" w:space="0" w:color="auto"/>
            </w:tcBorders>
            <w:shd w:val="clear" w:color="000000" w:fill="F2F2F2"/>
            <w:noWrap/>
            <w:vAlign w:val="bottom"/>
            <w:hideMark/>
          </w:tcPr>
          <w:p w14:paraId="0412097A" w14:textId="77777777" w:rsidR="002958F7" w:rsidRPr="00337390" w:rsidRDefault="002958F7" w:rsidP="00C173BC">
            <w:pPr>
              <w:spacing w:after="0" w:line="240" w:lineRule="auto"/>
              <w:jc w:val="right"/>
              <w:rPr>
                <w:rFonts w:ascii="Calibri" w:eastAsia="Times New Roman" w:hAnsi="Calibri" w:cs="Calibri"/>
                <w:b/>
                <w:bCs/>
                <w:color w:val="000000"/>
                <w:lang w:eastAsia="cs-CZ"/>
              </w:rPr>
            </w:pPr>
            <w:r w:rsidRPr="00337390">
              <w:rPr>
                <w:rFonts w:ascii="Calibri" w:eastAsia="Times New Roman" w:hAnsi="Calibri" w:cs="Calibri"/>
                <w:b/>
                <w:bCs/>
                <w:color w:val="000000"/>
                <w:lang w:eastAsia="cs-CZ"/>
              </w:rPr>
              <w:t>154</w:t>
            </w:r>
          </w:p>
        </w:tc>
      </w:tr>
      <w:tr w:rsidR="002958F7" w:rsidRPr="004561DD" w14:paraId="4E9A03B4" w14:textId="77777777" w:rsidTr="00C173BC">
        <w:trPr>
          <w:trHeight w:val="288"/>
        </w:trPr>
        <w:tc>
          <w:tcPr>
            <w:tcW w:w="1820" w:type="pct"/>
            <w:vMerge w:val="restart"/>
            <w:tcBorders>
              <w:top w:val="nil"/>
              <w:left w:val="single" w:sz="4" w:space="0" w:color="auto"/>
              <w:bottom w:val="single" w:sz="4" w:space="0" w:color="auto"/>
              <w:right w:val="single" w:sz="4" w:space="0" w:color="auto"/>
            </w:tcBorders>
            <w:shd w:val="clear" w:color="auto" w:fill="0D3B5E" w:themeFill="accent1"/>
            <w:vAlign w:val="center"/>
            <w:hideMark/>
          </w:tcPr>
          <w:p w14:paraId="4729730B" w14:textId="77777777" w:rsidR="002958F7" w:rsidRPr="004561DD" w:rsidRDefault="002958F7" w:rsidP="00C173BC">
            <w:pPr>
              <w:spacing w:after="0" w:line="240" w:lineRule="auto"/>
              <w:jc w:val="center"/>
              <w:rPr>
                <w:rFonts w:ascii="Calibri" w:eastAsia="Times New Roman" w:hAnsi="Calibri" w:cs="Calibri"/>
                <w:b/>
                <w:bCs/>
                <w:color w:val="FFFFFF" w:themeColor="background1"/>
                <w:lang w:eastAsia="cs-CZ"/>
              </w:rPr>
            </w:pPr>
          </w:p>
        </w:tc>
        <w:tc>
          <w:tcPr>
            <w:tcW w:w="1393" w:type="pct"/>
            <w:vMerge w:val="restart"/>
            <w:tcBorders>
              <w:top w:val="nil"/>
              <w:left w:val="single" w:sz="4" w:space="0" w:color="auto"/>
              <w:bottom w:val="single" w:sz="4" w:space="0" w:color="auto"/>
              <w:right w:val="single" w:sz="4" w:space="0" w:color="auto"/>
            </w:tcBorders>
            <w:shd w:val="clear" w:color="auto" w:fill="0D3B5E" w:themeFill="accent1"/>
            <w:noWrap/>
            <w:vAlign w:val="center"/>
            <w:hideMark/>
          </w:tcPr>
          <w:p w14:paraId="1C2F39F3" w14:textId="77777777" w:rsidR="002958F7" w:rsidRPr="004561DD" w:rsidRDefault="002958F7" w:rsidP="00C173BC">
            <w:pPr>
              <w:spacing w:after="0" w:line="240" w:lineRule="auto"/>
              <w:jc w:val="center"/>
              <w:rPr>
                <w:rFonts w:ascii="Calibri" w:eastAsia="Times New Roman" w:hAnsi="Calibri" w:cs="Calibri"/>
                <w:b/>
                <w:bCs/>
                <w:color w:val="FFFFFF" w:themeColor="background1"/>
                <w:lang w:eastAsia="cs-CZ"/>
              </w:rPr>
            </w:pPr>
            <w:r w:rsidRPr="004561DD">
              <w:rPr>
                <w:rFonts w:ascii="Calibri" w:eastAsia="Times New Roman" w:hAnsi="Calibri" w:cs="Calibri"/>
                <w:b/>
                <w:bCs/>
                <w:color w:val="FFFFFF" w:themeColor="background1"/>
                <w:lang w:eastAsia="cs-CZ"/>
              </w:rPr>
              <w:t>Fáze</w:t>
            </w:r>
          </w:p>
        </w:tc>
        <w:tc>
          <w:tcPr>
            <w:tcW w:w="1787" w:type="pct"/>
            <w:gridSpan w:val="5"/>
            <w:tcBorders>
              <w:top w:val="single" w:sz="4" w:space="0" w:color="auto"/>
              <w:left w:val="single" w:sz="4" w:space="0" w:color="auto"/>
              <w:bottom w:val="nil"/>
              <w:right w:val="single" w:sz="4" w:space="0" w:color="000000"/>
            </w:tcBorders>
            <w:shd w:val="clear" w:color="auto" w:fill="0D3B5E" w:themeFill="accent1"/>
            <w:noWrap/>
            <w:vAlign w:val="bottom"/>
            <w:hideMark/>
          </w:tcPr>
          <w:p w14:paraId="5ACEE7A8" w14:textId="77777777" w:rsidR="002958F7" w:rsidRPr="004561DD" w:rsidRDefault="002958F7" w:rsidP="00C173BC">
            <w:pPr>
              <w:spacing w:after="0" w:line="240" w:lineRule="auto"/>
              <w:jc w:val="center"/>
              <w:rPr>
                <w:rFonts w:ascii="Calibri" w:eastAsia="Times New Roman" w:hAnsi="Calibri" w:cs="Calibri"/>
                <w:b/>
                <w:bCs/>
                <w:color w:val="FFFFFF" w:themeColor="background1"/>
                <w:lang w:eastAsia="cs-CZ"/>
              </w:rPr>
            </w:pPr>
            <w:r w:rsidRPr="004561DD">
              <w:rPr>
                <w:rFonts w:ascii="Calibri" w:eastAsia="Times New Roman" w:hAnsi="Calibri" w:cs="Calibri"/>
                <w:b/>
                <w:bCs/>
                <w:color w:val="FFFFFF" w:themeColor="background1"/>
                <w:lang w:eastAsia="cs-CZ"/>
              </w:rPr>
              <w:t>Rok podání žádosti o platbu</w:t>
            </w:r>
          </w:p>
        </w:tc>
      </w:tr>
      <w:tr w:rsidR="002958F7" w:rsidRPr="004561DD" w14:paraId="7ED4C48E" w14:textId="77777777" w:rsidTr="00C173BC">
        <w:trPr>
          <w:trHeight w:val="288"/>
        </w:trPr>
        <w:tc>
          <w:tcPr>
            <w:tcW w:w="1820" w:type="pct"/>
            <w:vMerge/>
            <w:tcBorders>
              <w:top w:val="nil"/>
              <w:left w:val="single" w:sz="4" w:space="0" w:color="auto"/>
              <w:bottom w:val="single" w:sz="4" w:space="0" w:color="auto"/>
              <w:right w:val="single" w:sz="4" w:space="0" w:color="auto"/>
            </w:tcBorders>
            <w:shd w:val="clear" w:color="auto" w:fill="0D3B5E" w:themeFill="accent1"/>
            <w:vAlign w:val="center"/>
            <w:hideMark/>
          </w:tcPr>
          <w:p w14:paraId="058CEAE8" w14:textId="77777777" w:rsidR="002958F7" w:rsidRPr="004561DD" w:rsidRDefault="002958F7" w:rsidP="00C173BC">
            <w:pPr>
              <w:spacing w:after="0" w:line="240" w:lineRule="auto"/>
              <w:rPr>
                <w:rFonts w:ascii="Calibri" w:eastAsia="Times New Roman" w:hAnsi="Calibri" w:cs="Calibri"/>
                <w:b/>
                <w:bCs/>
                <w:color w:val="FFFFFF" w:themeColor="background1"/>
                <w:lang w:eastAsia="cs-CZ"/>
              </w:rPr>
            </w:pPr>
          </w:p>
        </w:tc>
        <w:tc>
          <w:tcPr>
            <w:tcW w:w="1393" w:type="pct"/>
            <w:vMerge/>
            <w:tcBorders>
              <w:top w:val="nil"/>
              <w:left w:val="single" w:sz="4" w:space="0" w:color="auto"/>
              <w:bottom w:val="single" w:sz="4" w:space="0" w:color="auto"/>
              <w:right w:val="single" w:sz="4" w:space="0" w:color="auto"/>
            </w:tcBorders>
            <w:shd w:val="clear" w:color="auto" w:fill="0D3B5E" w:themeFill="accent1"/>
            <w:vAlign w:val="center"/>
            <w:hideMark/>
          </w:tcPr>
          <w:p w14:paraId="0A1C89F2" w14:textId="77777777" w:rsidR="002958F7" w:rsidRPr="004561DD" w:rsidRDefault="002958F7" w:rsidP="00C173BC">
            <w:pPr>
              <w:spacing w:after="0" w:line="240" w:lineRule="auto"/>
              <w:rPr>
                <w:rFonts w:ascii="Calibri" w:eastAsia="Times New Roman" w:hAnsi="Calibri" w:cs="Calibri"/>
                <w:b/>
                <w:bCs/>
                <w:color w:val="FFFFFF" w:themeColor="background1"/>
                <w:lang w:eastAsia="cs-CZ"/>
              </w:rPr>
            </w:pPr>
          </w:p>
        </w:tc>
        <w:tc>
          <w:tcPr>
            <w:tcW w:w="357" w:type="pct"/>
            <w:tcBorders>
              <w:top w:val="single" w:sz="4" w:space="0" w:color="auto"/>
              <w:left w:val="single" w:sz="4" w:space="0" w:color="auto"/>
              <w:bottom w:val="single" w:sz="4" w:space="0" w:color="auto"/>
              <w:right w:val="nil"/>
            </w:tcBorders>
            <w:shd w:val="clear" w:color="auto" w:fill="0D3B5E" w:themeFill="accent1"/>
            <w:noWrap/>
            <w:vAlign w:val="bottom"/>
            <w:hideMark/>
          </w:tcPr>
          <w:p w14:paraId="03E4BD38" w14:textId="77777777" w:rsidR="002958F7" w:rsidRPr="004561DD" w:rsidRDefault="002958F7" w:rsidP="00C173BC">
            <w:pPr>
              <w:spacing w:after="0" w:line="240" w:lineRule="auto"/>
              <w:jc w:val="right"/>
              <w:rPr>
                <w:rFonts w:ascii="Calibri" w:eastAsia="Times New Roman" w:hAnsi="Calibri" w:cs="Calibri"/>
                <w:b/>
                <w:bCs/>
                <w:color w:val="FFFFFF" w:themeColor="background1"/>
                <w:lang w:eastAsia="cs-CZ"/>
              </w:rPr>
            </w:pPr>
            <w:r w:rsidRPr="004561DD">
              <w:rPr>
                <w:rFonts w:ascii="Calibri" w:eastAsia="Times New Roman" w:hAnsi="Calibri" w:cs="Calibri"/>
                <w:b/>
                <w:bCs/>
                <w:color w:val="FFFFFF" w:themeColor="background1"/>
                <w:lang w:eastAsia="cs-CZ"/>
              </w:rPr>
              <w:t>2015</w:t>
            </w:r>
          </w:p>
        </w:tc>
        <w:tc>
          <w:tcPr>
            <w:tcW w:w="357" w:type="pct"/>
            <w:tcBorders>
              <w:top w:val="single" w:sz="4" w:space="0" w:color="auto"/>
              <w:left w:val="nil"/>
              <w:bottom w:val="single" w:sz="4" w:space="0" w:color="auto"/>
              <w:right w:val="nil"/>
            </w:tcBorders>
            <w:shd w:val="clear" w:color="auto" w:fill="0D3B5E" w:themeFill="accent1"/>
            <w:noWrap/>
            <w:vAlign w:val="bottom"/>
            <w:hideMark/>
          </w:tcPr>
          <w:p w14:paraId="793BB893" w14:textId="77777777" w:rsidR="002958F7" w:rsidRPr="004561DD" w:rsidRDefault="002958F7" w:rsidP="00C173BC">
            <w:pPr>
              <w:spacing w:after="0" w:line="240" w:lineRule="auto"/>
              <w:jc w:val="right"/>
              <w:rPr>
                <w:rFonts w:ascii="Calibri" w:eastAsia="Times New Roman" w:hAnsi="Calibri" w:cs="Calibri"/>
                <w:b/>
                <w:bCs/>
                <w:color w:val="FFFFFF" w:themeColor="background1"/>
                <w:lang w:eastAsia="cs-CZ"/>
              </w:rPr>
            </w:pPr>
            <w:r w:rsidRPr="004561DD">
              <w:rPr>
                <w:rFonts w:ascii="Calibri" w:eastAsia="Times New Roman" w:hAnsi="Calibri" w:cs="Calibri"/>
                <w:b/>
                <w:bCs/>
                <w:color w:val="FFFFFF" w:themeColor="background1"/>
                <w:lang w:eastAsia="cs-CZ"/>
              </w:rPr>
              <w:t>2016</w:t>
            </w:r>
          </w:p>
        </w:tc>
        <w:tc>
          <w:tcPr>
            <w:tcW w:w="357" w:type="pct"/>
            <w:tcBorders>
              <w:top w:val="single" w:sz="4" w:space="0" w:color="auto"/>
              <w:left w:val="nil"/>
              <w:bottom w:val="single" w:sz="4" w:space="0" w:color="auto"/>
              <w:right w:val="nil"/>
            </w:tcBorders>
            <w:shd w:val="clear" w:color="auto" w:fill="0D3B5E" w:themeFill="accent1"/>
            <w:noWrap/>
            <w:vAlign w:val="bottom"/>
            <w:hideMark/>
          </w:tcPr>
          <w:p w14:paraId="0324D831" w14:textId="77777777" w:rsidR="002958F7" w:rsidRPr="004561DD" w:rsidRDefault="002958F7" w:rsidP="00C173BC">
            <w:pPr>
              <w:spacing w:after="0" w:line="240" w:lineRule="auto"/>
              <w:jc w:val="right"/>
              <w:rPr>
                <w:rFonts w:ascii="Calibri" w:eastAsia="Times New Roman" w:hAnsi="Calibri" w:cs="Calibri"/>
                <w:b/>
                <w:bCs/>
                <w:color w:val="FFFFFF" w:themeColor="background1"/>
                <w:lang w:eastAsia="cs-CZ"/>
              </w:rPr>
            </w:pPr>
            <w:r w:rsidRPr="004561DD">
              <w:rPr>
                <w:rFonts w:ascii="Calibri" w:eastAsia="Times New Roman" w:hAnsi="Calibri" w:cs="Calibri"/>
                <w:b/>
                <w:bCs/>
                <w:color w:val="FFFFFF" w:themeColor="background1"/>
                <w:lang w:eastAsia="cs-CZ"/>
              </w:rPr>
              <w:t>2017</w:t>
            </w:r>
          </w:p>
        </w:tc>
        <w:tc>
          <w:tcPr>
            <w:tcW w:w="357" w:type="pct"/>
            <w:tcBorders>
              <w:top w:val="single" w:sz="4" w:space="0" w:color="auto"/>
              <w:left w:val="nil"/>
              <w:bottom w:val="single" w:sz="4" w:space="0" w:color="auto"/>
              <w:right w:val="nil"/>
            </w:tcBorders>
            <w:shd w:val="clear" w:color="auto" w:fill="0D3B5E" w:themeFill="accent1"/>
            <w:noWrap/>
            <w:vAlign w:val="bottom"/>
            <w:hideMark/>
          </w:tcPr>
          <w:p w14:paraId="37867BC9" w14:textId="77777777" w:rsidR="002958F7" w:rsidRPr="004561DD" w:rsidRDefault="002958F7" w:rsidP="00C173BC">
            <w:pPr>
              <w:spacing w:after="0" w:line="240" w:lineRule="auto"/>
              <w:jc w:val="right"/>
              <w:rPr>
                <w:rFonts w:ascii="Calibri" w:eastAsia="Times New Roman" w:hAnsi="Calibri" w:cs="Calibri"/>
                <w:b/>
                <w:bCs/>
                <w:color w:val="FFFFFF" w:themeColor="background1"/>
                <w:lang w:eastAsia="cs-CZ"/>
              </w:rPr>
            </w:pPr>
            <w:r w:rsidRPr="004561DD">
              <w:rPr>
                <w:rFonts w:ascii="Calibri" w:eastAsia="Times New Roman" w:hAnsi="Calibri" w:cs="Calibri"/>
                <w:b/>
                <w:bCs/>
                <w:color w:val="FFFFFF" w:themeColor="background1"/>
                <w:lang w:eastAsia="cs-CZ"/>
              </w:rPr>
              <w:t>2018</w:t>
            </w:r>
          </w:p>
        </w:tc>
        <w:tc>
          <w:tcPr>
            <w:tcW w:w="359" w:type="pct"/>
            <w:tcBorders>
              <w:top w:val="single" w:sz="4" w:space="0" w:color="auto"/>
              <w:left w:val="nil"/>
              <w:bottom w:val="single" w:sz="4" w:space="0" w:color="auto"/>
              <w:right w:val="single" w:sz="4" w:space="0" w:color="auto"/>
            </w:tcBorders>
            <w:shd w:val="clear" w:color="auto" w:fill="0D3B5E" w:themeFill="accent1"/>
            <w:noWrap/>
            <w:vAlign w:val="bottom"/>
            <w:hideMark/>
          </w:tcPr>
          <w:p w14:paraId="3D479966" w14:textId="77777777" w:rsidR="002958F7" w:rsidRPr="004561DD" w:rsidRDefault="002958F7" w:rsidP="00C173BC">
            <w:pPr>
              <w:spacing w:after="0" w:line="240" w:lineRule="auto"/>
              <w:jc w:val="right"/>
              <w:rPr>
                <w:rFonts w:ascii="Calibri" w:eastAsia="Times New Roman" w:hAnsi="Calibri" w:cs="Calibri"/>
                <w:b/>
                <w:bCs/>
                <w:color w:val="FFFFFF" w:themeColor="background1"/>
                <w:lang w:eastAsia="cs-CZ"/>
              </w:rPr>
            </w:pPr>
            <w:r w:rsidRPr="004561DD">
              <w:rPr>
                <w:rFonts w:ascii="Calibri" w:eastAsia="Times New Roman" w:hAnsi="Calibri" w:cs="Calibri"/>
                <w:b/>
                <w:bCs/>
                <w:color w:val="FFFFFF" w:themeColor="background1"/>
                <w:lang w:eastAsia="cs-CZ"/>
              </w:rPr>
              <w:t>2019</w:t>
            </w:r>
          </w:p>
        </w:tc>
      </w:tr>
      <w:tr w:rsidR="002958F7" w:rsidRPr="00337390" w14:paraId="65D86022" w14:textId="77777777" w:rsidTr="00C173BC">
        <w:trPr>
          <w:trHeight w:val="288"/>
        </w:trPr>
        <w:tc>
          <w:tcPr>
            <w:tcW w:w="1820" w:type="pct"/>
            <w:vMerge w:val="restart"/>
            <w:tcBorders>
              <w:top w:val="nil"/>
              <w:left w:val="single" w:sz="4" w:space="0" w:color="auto"/>
              <w:bottom w:val="single" w:sz="4" w:space="0" w:color="auto"/>
              <w:right w:val="single" w:sz="4" w:space="0" w:color="000000"/>
            </w:tcBorders>
            <w:shd w:val="clear" w:color="auto" w:fill="auto"/>
            <w:vAlign w:val="center"/>
            <w:hideMark/>
          </w:tcPr>
          <w:p w14:paraId="43856802" w14:textId="77777777" w:rsidR="002958F7" w:rsidRPr="00337390" w:rsidRDefault="002958F7" w:rsidP="00C173BC">
            <w:pPr>
              <w:spacing w:after="0" w:line="240" w:lineRule="auto"/>
              <w:jc w:val="center"/>
              <w:rPr>
                <w:rFonts w:ascii="Calibri" w:eastAsia="Times New Roman" w:hAnsi="Calibri" w:cs="Calibri"/>
                <w:color w:val="000000"/>
                <w:lang w:eastAsia="cs-CZ"/>
              </w:rPr>
            </w:pPr>
            <w:r w:rsidRPr="00337390">
              <w:rPr>
                <w:rFonts w:ascii="Calibri" w:eastAsia="Times New Roman" w:hAnsi="Calibri" w:cs="Calibri"/>
                <w:color w:val="000000"/>
                <w:lang w:eastAsia="cs-CZ"/>
              </w:rPr>
              <w:t>Administrace ŽoP</w:t>
            </w:r>
          </w:p>
        </w:tc>
        <w:tc>
          <w:tcPr>
            <w:tcW w:w="1393" w:type="pct"/>
            <w:tcBorders>
              <w:top w:val="single" w:sz="4" w:space="0" w:color="auto"/>
              <w:left w:val="nil"/>
              <w:bottom w:val="nil"/>
              <w:right w:val="single" w:sz="4" w:space="0" w:color="auto"/>
            </w:tcBorders>
            <w:shd w:val="clear" w:color="000000" w:fill="DDEBF7"/>
            <w:noWrap/>
            <w:vAlign w:val="bottom"/>
            <w:hideMark/>
          </w:tcPr>
          <w:p w14:paraId="6FF3E845" w14:textId="77777777" w:rsidR="002958F7" w:rsidRPr="00337390" w:rsidRDefault="002958F7" w:rsidP="00C173BC">
            <w:pPr>
              <w:spacing w:after="0" w:line="240" w:lineRule="auto"/>
              <w:rPr>
                <w:rFonts w:ascii="Calibri" w:eastAsia="Times New Roman" w:hAnsi="Calibri" w:cs="Calibri"/>
                <w:color w:val="000000"/>
                <w:lang w:eastAsia="cs-CZ"/>
              </w:rPr>
            </w:pPr>
            <w:r w:rsidRPr="00337390">
              <w:rPr>
                <w:rFonts w:ascii="Calibri" w:eastAsia="Times New Roman" w:hAnsi="Calibri" w:cs="Calibri"/>
                <w:color w:val="000000"/>
                <w:lang w:eastAsia="cs-CZ"/>
              </w:rPr>
              <w:t>Kontrola 1. stupně API</w:t>
            </w:r>
          </w:p>
        </w:tc>
        <w:tc>
          <w:tcPr>
            <w:tcW w:w="357" w:type="pct"/>
            <w:tcBorders>
              <w:top w:val="nil"/>
              <w:left w:val="nil"/>
              <w:bottom w:val="nil"/>
              <w:right w:val="nil"/>
            </w:tcBorders>
            <w:shd w:val="clear" w:color="000000" w:fill="DDEBF7"/>
            <w:noWrap/>
            <w:vAlign w:val="bottom"/>
            <w:hideMark/>
          </w:tcPr>
          <w:p w14:paraId="7B228D35" w14:textId="77777777" w:rsidR="002958F7" w:rsidRPr="00337390" w:rsidRDefault="002958F7" w:rsidP="00C173BC">
            <w:pPr>
              <w:spacing w:after="0" w:line="240" w:lineRule="auto"/>
              <w:jc w:val="right"/>
              <w:rPr>
                <w:rFonts w:ascii="Calibri" w:eastAsia="Times New Roman" w:hAnsi="Calibri" w:cs="Calibri"/>
                <w:color w:val="000000"/>
                <w:lang w:eastAsia="cs-CZ"/>
              </w:rPr>
            </w:pPr>
            <w:r w:rsidRPr="00337390">
              <w:rPr>
                <w:rFonts w:ascii="Calibri" w:eastAsia="Times New Roman" w:hAnsi="Calibri" w:cs="Calibri"/>
                <w:color w:val="000000"/>
                <w:lang w:eastAsia="cs-CZ"/>
              </w:rPr>
              <w:t>0</w:t>
            </w:r>
          </w:p>
        </w:tc>
        <w:tc>
          <w:tcPr>
            <w:tcW w:w="357" w:type="pct"/>
            <w:tcBorders>
              <w:top w:val="nil"/>
              <w:left w:val="nil"/>
              <w:bottom w:val="nil"/>
              <w:right w:val="nil"/>
            </w:tcBorders>
            <w:shd w:val="clear" w:color="000000" w:fill="DDEBF7"/>
            <w:noWrap/>
            <w:vAlign w:val="bottom"/>
            <w:hideMark/>
          </w:tcPr>
          <w:p w14:paraId="77902B0D" w14:textId="77777777" w:rsidR="002958F7" w:rsidRPr="00337390" w:rsidRDefault="002958F7" w:rsidP="00C173BC">
            <w:pPr>
              <w:spacing w:after="0" w:line="240" w:lineRule="auto"/>
              <w:jc w:val="right"/>
              <w:rPr>
                <w:rFonts w:ascii="Calibri" w:eastAsia="Times New Roman" w:hAnsi="Calibri" w:cs="Calibri"/>
                <w:color w:val="000000"/>
                <w:lang w:eastAsia="cs-CZ"/>
              </w:rPr>
            </w:pPr>
            <w:r w:rsidRPr="00337390">
              <w:rPr>
                <w:rFonts w:ascii="Calibri" w:eastAsia="Times New Roman" w:hAnsi="Calibri" w:cs="Calibri"/>
                <w:color w:val="000000"/>
                <w:lang w:eastAsia="cs-CZ"/>
              </w:rPr>
              <w:t>41</w:t>
            </w:r>
          </w:p>
        </w:tc>
        <w:tc>
          <w:tcPr>
            <w:tcW w:w="357" w:type="pct"/>
            <w:tcBorders>
              <w:top w:val="nil"/>
              <w:left w:val="nil"/>
              <w:bottom w:val="nil"/>
              <w:right w:val="nil"/>
            </w:tcBorders>
            <w:shd w:val="clear" w:color="000000" w:fill="DDEBF7"/>
            <w:noWrap/>
            <w:vAlign w:val="bottom"/>
            <w:hideMark/>
          </w:tcPr>
          <w:p w14:paraId="70D09B37" w14:textId="77777777" w:rsidR="002958F7" w:rsidRPr="00337390" w:rsidRDefault="002958F7" w:rsidP="00C173BC">
            <w:pPr>
              <w:spacing w:after="0" w:line="240" w:lineRule="auto"/>
              <w:jc w:val="right"/>
              <w:rPr>
                <w:rFonts w:ascii="Calibri" w:eastAsia="Times New Roman" w:hAnsi="Calibri" w:cs="Calibri"/>
                <w:color w:val="000000"/>
                <w:lang w:eastAsia="cs-CZ"/>
              </w:rPr>
            </w:pPr>
            <w:r w:rsidRPr="00337390">
              <w:rPr>
                <w:rFonts w:ascii="Calibri" w:eastAsia="Times New Roman" w:hAnsi="Calibri" w:cs="Calibri"/>
                <w:color w:val="000000"/>
                <w:lang w:eastAsia="cs-CZ"/>
              </w:rPr>
              <w:t>23</w:t>
            </w:r>
          </w:p>
        </w:tc>
        <w:tc>
          <w:tcPr>
            <w:tcW w:w="357" w:type="pct"/>
            <w:tcBorders>
              <w:top w:val="nil"/>
              <w:left w:val="nil"/>
              <w:bottom w:val="nil"/>
              <w:right w:val="nil"/>
            </w:tcBorders>
            <w:shd w:val="clear" w:color="000000" w:fill="DDEBF7"/>
            <w:noWrap/>
            <w:vAlign w:val="bottom"/>
            <w:hideMark/>
          </w:tcPr>
          <w:p w14:paraId="0DDF72D0" w14:textId="77777777" w:rsidR="002958F7" w:rsidRPr="00337390" w:rsidRDefault="002958F7" w:rsidP="00C173BC">
            <w:pPr>
              <w:spacing w:after="0" w:line="240" w:lineRule="auto"/>
              <w:jc w:val="right"/>
              <w:rPr>
                <w:rFonts w:ascii="Calibri" w:eastAsia="Times New Roman" w:hAnsi="Calibri" w:cs="Calibri"/>
                <w:color w:val="000000"/>
                <w:lang w:eastAsia="cs-CZ"/>
              </w:rPr>
            </w:pPr>
            <w:r w:rsidRPr="00337390">
              <w:rPr>
                <w:rFonts w:ascii="Calibri" w:eastAsia="Times New Roman" w:hAnsi="Calibri" w:cs="Calibri"/>
                <w:color w:val="000000"/>
                <w:lang w:eastAsia="cs-CZ"/>
              </w:rPr>
              <w:t>28</w:t>
            </w:r>
          </w:p>
        </w:tc>
        <w:tc>
          <w:tcPr>
            <w:tcW w:w="359" w:type="pct"/>
            <w:tcBorders>
              <w:top w:val="nil"/>
              <w:left w:val="nil"/>
              <w:bottom w:val="nil"/>
              <w:right w:val="single" w:sz="4" w:space="0" w:color="auto"/>
            </w:tcBorders>
            <w:shd w:val="clear" w:color="000000" w:fill="DDEBF7"/>
            <w:noWrap/>
            <w:vAlign w:val="bottom"/>
            <w:hideMark/>
          </w:tcPr>
          <w:p w14:paraId="50444358" w14:textId="77777777" w:rsidR="002958F7" w:rsidRPr="00337390" w:rsidRDefault="002958F7" w:rsidP="00C173BC">
            <w:pPr>
              <w:spacing w:after="0" w:line="240" w:lineRule="auto"/>
              <w:jc w:val="right"/>
              <w:rPr>
                <w:rFonts w:ascii="Calibri" w:eastAsia="Times New Roman" w:hAnsi="Calibri" w:cs="Calibri"/>
                <w:color w:val="000000"/>
                <w:lang w:eastAsia="cs-CZ"/>
              </w:rPr>
            </w:pPr>
            <w:r w:rsidRPr="00337390">
              <w:rPr>
                <w:rFonts w:ascii="Calibri" w:eastAsia="Times New Roman" w:hAnsi="Calibri" w:cs="Calibri"/>
                <w:color w:val="000000"/>
                <w:lang w:eastAsia="cs-CZ"/>
              </w:rPr>
              <w:t>29</w:t>
            </w:r>
          </w:p>
        </w:tc>
      </w:tr>
      <w:tr w:rsidR="002958F7" w:rsidRPr="00337390" w14:paraId="74948A17" w14:textId="77777777" w:rsidTr="00C173BC">
        <w:trPr>
          <w:trHeight w:val="288"/>
        </w:trPr>
        <w:tc>
          <w:tcPr>
            <w:tcW w:w="1820" w:type="pct"/>
            <w:vMerge/>
            <w:tcBorders>
              <w:top w:val="nil"/>
              <w:left w:val="single" w:sz="4" w:space="0" w:color="auto"/>
              <w:bottom w:val="single" w:sz="4" w:space="0" w:color="auto"/>
              <w:right w:val="single" w:sz="4" w:space="0" w:color="000000"/>
            </w:tcBorders>
            <w:vAlign w:val="center"/>
            <w:hideMark/>
          </w:tcPr>
          <w:p w14:paraId="38ECD809" w14:textId="77777777" w:rsidR="002958F7" w:rsidRPr="00337390" w:rsidRDefault="002958F7" w:rsidP="00C173BC">
            <w:pPr>
              <w:spacing w:after="0" w:line="240" w:lineRule="auto"/>
              <w:rPr>
                <w:rFonts w:ascii="Calibri" w:eastAsia="Times New Roman" w:hAnsi="Calibri" w:cs="Calibri"/>
                <w:color w:val="000000"/>
                <w:lang w:eastAsia="cs-CZ"/>
              </w:rPr>
            </w:pPr>
          </w:p>
        </w:tc>
        <w:tc>
          <w:tcPr>
            <w:tcW w:w="1393" w:type="pct"/>
            <w:tcBorders>
              <w:top w:val="nil"/>
              <w:left w:val="nil"/>
              <w:bottom w:val="nil"/>
              <w:right w:val="single" w:sz="4" w:space="0" w:color="auto"/>
            </w:tcBorders>
            <w:shd w:val="clear" w:color="000000" w:fill="FCE4D6"/>
            <w:noWrap/>
            <w:vAlign w:val="bottom"/>
            <w:hideMark/>
          </w:tcPr>
          <w:p w14:paraId="7128A962" w14:textId="77777777" w:rsidR="002958F7" w:rsidRPr="00337390" w:rsidRDefault="002958F7" w:rsidP="00C173BC">
            <w:pPr>
              <w:spacing w:after="0" w:line="240" w:lineRule="auto"/>
              <w:rPr>
                <w:rFonts w:ascii="Calibri" w:eastAsia="Times New Roman" w:hAnsi="Calibri" w:cs="Calibri"/>
                <w:color w:val="000000"/>
                <w:lang w:eastAsia="cs-CZ"/>
              </w:rPr>
            </w:pPr>
            <w:r w:rsidRPr="00337390">
              <w:rPr>
                <w:rFonts w:ascii="Calibri" w:eastAsia="Times New Roman" w:hAnsi="Calibri" w:cs="Calibri"/>
                <w:color w:val="000000"/>
                <w:lang w:eastAsia="cs-CZ"/>
              </w:rPr>
              <w:t>Kontrola 2. stupně MPO</w:t>
            </w:r>
          </w:p>
        </w:tc>
        <w:tc>
          <w:tcPr>
            <w:tcW w:w="357" w:type="pct"/>
            <w:tcBorders>
              <w:top w:val="nil"/>
              <w:left w:val="nil"/>
              <w:bottom w:val="nil"/>
              <w:right w:val="nil"/>
            </w:tcBorders>
            <w:shd w:val="clear" w:color="000000" w:fill="FCE4D6"/>
            <w:noWrap/>
            <w:vAlign w:val="bottom"/>
            <w:hideMark/>
          </w:tcPr>
          <w:p w14:paraId="3FF705D2" w14:textId="77777777" w:rsidR="002958F7" w:rsidRPr="00337390" w:rsidRDefault="002958F7" w:rsidP="00C173BC">
            <w:pPr>
              <w:spacing w:after="0" w:line="240" w:lineRule="auto"/>
              <w:jc w:val="right"/>
              <w:rPr>
                <w:rFonts w:ascii="Calibri" w:eastAsia="Times New Roman" w:hAnsi="Calibri" w:cs="Calibri"/>
                <w:color w:val="000000"/>
                <w:lang w:eastAsia="cs-CZ"/>
              </w:rPr>
            </w:pPr>
            <w:r w:rsidRPr="00337390">
              <w:rPr>
                <w:rFonts w:ascii="Calibri" w:eastAsia="Times New Roman" w:hAnsi="Calibri" w:cs="Calibri"/>
                <w:color w:val="000000"/>
                <w:lang w:eastAsia="cs-CZ"/>
              </w:rPr>
              <w:t>0</w:t>
            </w:r>
          </w:p>
        </w:tc>
        <w:tc>
          <w:tcPr>
            <w:tcW w:w="357" w:type="pct"/>
            <w:tcBorders>
              <w:top w:val="nil"/>
              <w:left w:val="nil"/>
              <w:bottom w:val="nil"/>
              <w:right w:val="nil"/>
            </w:tcBorders>
            <w:shd w:val="clear" w:color="000000" w:fill="FCE4D6"/>
            <w:noWrap/>
            <w:vAlign w:val="bottom"/>
            <w:hideMark/>
          </w:tcPr>
          <w:p w14:paraId="02A70E74" w14:textId="77777777" w:rsidR="002958F7" w:rsidRPr="00337390" w:rsidRDefault="002958F7" w:rsidP="00C173BC">
            <w:pPr>
              <w:spacing w:after="0" w:line="240" w:lineRule="auto"/>
              <w:jc w:val="right"/>
              <w:rPr>
                <w:rFonts w:ascii="Calibri" w:eastAsia="Times New Roman" w:hAnsi="Calibri" w:cs="Calibri"/>
                <w:color w:val="000000"/>
                <w:lang w:eastAsia="cs-CZ"/>
              </w:rPr>
            </w:pPr>
            <w:r w:rsidRPr="00337390">
              <w:rPr>
                <w:rFonts w:ascii="Calibri" w:eastAsia="Times New Roman" w:hAnsi="Calibri" w:cs="Calibri"/>
                <w:color w:val="000000"/>
                <w:lang w:eastAsia="cs-CZ"/>
              </w:rPr>
              <w:t>6</w:t>
            </w:r>
          </w:p>
        </w:tc>
        <w:tc>
          <w:tcPr>
            <w:tcW w:w="357" w:type="pct"/>
            <w:tcBorders>
              <w:top w:val="nil"/>
              <w:left w:val="nil"/>
              <w:bottom w:val="nil"/>
              <w:right w:val="nil"/>
            </w:tcBorders>
            <w:shd w:val="clear" w:color="000000" w:fill="FCE4D6"/>
            <w:noWrap/>
            <w:vAlign w:val="bottom"/>
            <w:hideMark/>
          </w:tcPr>
          <w:p w14:paraId="5DE21E5A" w14:textId="77777777" w:rsidR="002958F7" w:rsidRPr="00337390" w:rsidRDefault="002958F7" w:rsidP="00C173BC">
            <w:pPr>
              <w:spacing w:after="0" w:line="240" w:lineRule="auto"/>
              <w:jc w:val="right"/>
              <w:rPr>
                <w:rFonts w:ascii="Calibri" w:eastAsia="Times New Roman" w:hAnsi="Calibri" w:cs="Calibri"/>
                <w:color w:val="000000"/>
                <w:lang w:eastAsia="cs-CZ"/>
              </w:rPr>
            </w:pPr>
            <w:r w:rsidRPr="00337390">
              <w:rPr>
                <w:rFonts w:ascii="Calibri" w:eastAsia="Times New Roman" w:hAnsi="Calibri" w:cs="Calibri"/>
                <w:color w:val="000000"/>
                <w:lang w:eastAsia="cs-CZ"/>
              </w:rPr>
              <w:t>2</w:t>
            </w:r>
          </w:p>
        </w:tc>
        <w:tc>
          <w:tcPr>
            <w:tcW w:w="357" w:type="pct"/>
            <w:tcBorders>
              <w:top w:val="nil"/>
              <w:left w:val="nil"/>
              <w:bottom w:val="nil"/>
              <w:right w:val="nil"/>
            </w:tcBorders>
            <w:shd w:val="clear" w:color="000000" w:fill="FCE4D6"/>
            <w:noWrap/>
            <w:vAlign w:val="bottom"/>
            <w:hideMark/>
          </w:tcPr>
          <w:p w14:paraId="46B354F7" w14:textId="77777777" w:rsidR="002958F7" w:rsidRPr="00337390" w:rsidRDefault="002958F7" w:rsidP="00C173BC">
            <w:pPr>
              <w:spacing w:after="0" w:line="240" w:lineRule="auto"/>
              <w:jc w:val="right"/>
              <w:rPr>
                <w:rFonts w:ascii="Calibri" w:eastAsia="Times New Roman" w:hAnsi="Calibri" w:cs="Calibri"/>
                <w:color w:val="000000"/>
                <w:lang w:eastAsia="cs-CZ"/>
              </w:rPr>
            </w:pPr>
            <w:r w:rsidRPr="00337390">
              <w:rPr>
                <w:rFonts w:ascii="Calibri" w:eastAsia="Times New Roman" w:hAnsi="Calibri" w:cs="Calibri"/>
                <w:color w:val="000000"/>
                <w:lang w:eastAsia="cs-CZ"/>
              </w:rPr>
              <w:t>6</w:t>
            </w:r>
          </w:p>
        </w:tc>
        <w:tc>
          <w:tcPr>
            <w:tcW w:w="359" w:type="pct"/>
            <w:tcBorders>
              <w:top w:val="nil"/>
              <w:left w:val="nil"/>
              <w:bottom w:val="nil"/>
              <w:right w:val="single" w:sz="4" w:space="0" w:color="auto"/>
            </w:tcBorders>
            <w:shd w:val="clear" w:color="000000" w:fill="FCE4D6"/>
            <w:noWrap/>
            <w:vAlign w:val="bottom"/>
            <w:hideMark/>
          </w:tcPr>
          <w:p w14:paraId="68CF5248" w14:textId="77777777" w:rsidR="002958F7" w:rsidRPr="00337390" w:rsidRDefault="002958F7" w:rsidP="00C173BC">
            <w:pPr>
              <w:spacing w:after="0" w:line="240" w:lineRule="auto"/>
              <w:jc w:val="right"/>
              <w:rPr>
                <w:rFonts w:ascii="Calibri" w:eastAsia="Times New Roman" w:hAnsi="Calibri" w:cs="Calibri"/>
                <w:color w:val="000000"/>
                <w:lang w:eastAsia="cs-CZ"/>
              </w:rPr>
            </w:pPr>
            <w:r w:rsidRPr="00337390">
              <w:rPr>
                <w:rFonts w:ascii="Calibri" w:eastAsia="Times New Roman" w:hAnsi="Calibri" w:cs="Calibri"/>
                <w:color w:val="000000"/>
                <w:lang w:eastAsia="cs-CZ"/>
              </w:rPr>
              <w:t>2</w:t>
            </w:r>
          </w:p>
        </w:tc>
      </w:tr>
      <w:tr w:rsidR="002958F7" w:rsidRPr="00337390" w14:paraId="08516669" w14:textId="77777777" w:rsidTr="00C173BC">
        <w:trPr>
          <w:trHeight w:val="288"/>
        </w:trPr>
        <w:tc>
          <w:tcPr>
            <w:tcW w:w="1820" w:type="pct"/>
            <w:vMerge/>
            <w:tcBorders>
              <w:top w:val="nil"/>
              <w:left w:val="single" w:sz="4" w:space="0" w:color="auto"/>
              <w:bottom w:val="single" w:sz="4" w:space="0" w:color="auto"/>
              <w:right w:val="single" w:sz="4" w:space="0" w:color="000000"/>
            </w:tcBorders>
            <w:vAlign w:val="center"/>
            <w:hideMark/>
          </w:tcPr>
          <w:p w14:paraId="018290D1" w14:textId="77777777" w:rsidR="002958F7" w:rsidRPr="00337390" w:rsidRDefault="002958F7" w:rsidP="00C173BC">
            <w:pPr>
              <w:spacing w:after="0" w:line="240" w:lineRule="auto"/>
              <w:rPr>
                <w:rFonts w:ascii="Calibri" w:eastAsia="Times New Roman" w:hAnsi="Calibri" w:cs="Calibri"/>
                <w:color w:val="000000"/>
                <w:lang w:eastAsia="cs-CZ"/>
              </w:rPr>
            </w:pPr>
          </w:p>
        </w:tc>
        <w:tc>
          <w:tcPr>
            <w:tcW w:w="1393" w:type="pct"/>
            <w:tcBorders>
              <w:top w:val="nil"/>
              <w:left w:val="nil"/>
              <w:bottom w:val="single" w:sz="4" w:space="0" w:color="auto"/>
              <w:right w:val="single" w:sz="4" w:space="0" w:color="auto"/>
            </w:tcBorders>
            <w:shd w:val="clear" w:color="000000" w:fill="EDEDED"/>
            <w:noWrap/>
            <w:vAlign w:val="bottom"/>
            <w:hideMark/>
          </w:tcPr>
          <w:p w14:paraId="08FA4A2A" w14:textId="77777777" w:rsidR="002958F7" w:rsidRPr="00337390" w:rsidRDefault="002958F7" w:rsidP="00C173BC">
            <w:pPr>
              <w:spacing w:after="0" w:line="240" w:lineRule="auto"/>
              <w:rPr>
                <w:rFonts w:ascii="Calibri" w:eastAsia="Times New Roman" w:hAnsi="Calibri" w:cs="Calibri"/>
                <w:color w:val="000000"/>
                <w:lang w:eastAsia="cs-CZ"/>
              </w:rPr>
            </w:pPr>
            <w:r w:rsidRPr="00337390">
              <w:rPr>
                <w:rFonts w:ascii="Calibri" w:eastAsia="Times New Roman" w:hAnsi="Calibri" w:cs="Calibri"/>
                <w:color w:val="000000"/>
                <w:lang w:eastAsia="cs-CZ"/>
              </w:rPr>
              <w:t>Proplacení RaF</w:t>
            </w:r>
          </w:p>
        </w:tc>
        <w:tc>
          <w:tcPr>
            <w:tcW w:w="357" w:type="pct"/>
            <w:tcBorders>
              <w:top w:val="nil"/>
              <w:left w:val="nil"/>
              <w:bottom w:val="nil"/>
              <w:right w:val="nil"/>
            </w:tcBorders>
            <w:shd w:val="clear" w:color="000000" w:fill="EDEDED"/>
            <w:noWrap/>
            <w:vAlign w:val="bottom"/>
            <w:hideMark/>
          </w:tcPr>
          <w:p w14:paraId="04FBF57E" w14:textId="77777777" w:rsidR="002958F7" w:rsidRPr="00337390" w:rsidRDefault="002958F7" w:rsidP="00C173BC">
            <w:pPr>
              <w:spacing w:after="0" w:line="240" w:lineRule="auto"/>
              <w:jc w:val="right"/>
              <w:rPr>
                <w:rFonts w:ascii="Calibri" w:eastAsia="Times New Roman" w:hAnsi="Calibri" w:cs="Calibri"/>
                <w:color w:val="000000"/>
                <w:lang w:eastAsia="cs-CZ"/>
              </w:rPr>
            </w:pPr>
            <w:r w:rsidRPr="00337390">
              <w:rPr>
                <w:rFonts w:ascii="Calibri" w:eastAsia="Times New Roman" w:hAnsi="Calibri" w:cs="Calibri"/>
                <w:color w:val="000000"/>
                <w:lang w:eastAsia="cs-CZ"/>
              </w:rPr>
              <w:t>0</w:t>
            </w:r>
          </w:p>
        </w:tc>
        <w:tc>
          <w:tcPr>
            <w:tcW w:w="357" w:type="pct"/>
            <w:tcBorders>
              <w:top w:val="nil"/>
              <w:left w:val="nil"/>
              <w:bottom w:val="nil"/>
              <w:right w:val="nil"/>
            </w:tcBorders>
            <w:shd w:val="clear" w:color="000000" w:fill="EDEDED"/>
            <w:noWrap/>
            <w:vAlign w:val="bottom"/>
            <w:hideMark/>
          </w:tcPr>
          <w:p w14:paraId="5105A5A5" w14:textId="77777777" w:rsidR="002958F7" w:rsidRPr="00337390" w:rsidRDefault="002958F7" w:rsidP="00C173BC">
            <w:pPr>
              <w:spacing w:after="0" w:line="240" w:lineRule="auto"/>
              <w:jc w:val="right"/>
              <w:rPr>
                <w:rFonts w:ascii="Calibri" w:eastAsia="Times New Roman" w:hAnsi="Calibri" w:cs="Calibri"/>
                <w:color w:val="000000"/>
                <w:lang w:eastAsia="cs-CZ"/>
              </w:rPr>
            </w:pPr>
            <w:r w:rsidRPr="00337390">
              <w:rPr>
                <w:rFonts w:ascii="Calibri" w:eastAsia="Times New Roman" w:hAnsi="Calibri" w:cs="Calibri"/>
                <w:color w:val="000000"/>
                <w:lang w:eastAsia="cs-CZ"/>
              </w:rPr>
              <w:t>9</w:t>
            </w:r>
          </w:p>
        </w:tc>
        <w:tc>
          <w:tcPr>
            <w:tcW w:w="357" w:type="pct"/>
            <w:tcBorders>
              <w:top w:val="nil"/>
              <w:left w:val="nil"/>
              <w:bottom w:val="nil"/>
              <w:right w:val="nil"/>
            </w:tcBorders>
            <w:shd w:val="clear" w:color="000000" w:fill="EDEDED"/>
            <w:noWrap/>
            <w:vAlign w:val="bottom"/>
            <w:hideMark/>
          </w:tcPr>
          <w:p w14:paraId="60B09C58" w14:textId="77777777" w:rsidR="002958F7" w:rsidRPr="00337390" w:rsidRDefault="002958F7" w:rsidP="00C173BC">
            <w:pPr>
              <w:spacing w:after="0" w:line="240" w:lineRule="auto"/>
              <w:jc w:val="right"/>
              <w:rPr>
                <w:rFonts w:ascii="Calibri" w:eastAsia="Times New Roman" w:hAnsi="Calibri" w:cs="Calibri"/>
                <w:color w:val="000000"/>
                <w:lang w:eastAsia="cs-CZ"/>
              </w:rPr>
            </w:pPr>
            <w:r w:rsidRPr="00337390">
              <w:rPr>
                <w:rFonts w:ascii="Calibri" w:eastAsia="Times New Roman" w:hAnsi="Calibri" w:cs="Calibri"/>
                <w:color w:val="000000"/>
                <w:lang w:eastAsia="cs-CZ"/>
              </w:rPr>
              <w:t>6</w:t>
            </w:r>
          </w:p>
        </w:tc>
        <w:tc>
          <w:tcPr>
            <w:tcW w:w="357" w:type="pct"/>
            <w:tcBorders>
              <w:top w:val="nil"/>
              <w:left w:val="nil"/>
              <w:bottom w:val="nil"/>
              <w:right w:val="nil"/>
            </w:tcBorders>
            <w:shd w:val="clear" w:color="000000" w:fill="EDEDED"/>
            <w:noWrap/>
            <w:vAlign w:val="bottom"/>
            <w:hideMark/>
          </w:tcPr>
          <w:p w14:paraId="726AC59D" w14:textId="77777777" w:rsidR="002958F7" w:rsidRPr="00337390" w:rsidRDefault="002958F7" w:rsidP="00C173BC">
            <w:pPr>
              <w:spacing w:after="0" w:line="240" w:lineRule="auto"/>
              <w:jc w:val="right"/>
              <w:rPr>
                <w:rFonts w:ascii="Calibri" w:eastAsia="Times New Roman" w:hAnsi="Calibri" w:cs="Calibri"/>
                <w:color w:val="000000"/>
                <w:lang w:eastAsia="cs-CZ"/>
              </w:rPr>
            </w:pPr>
            <w:r w:rsidRPr="00337390">
              <w:rPr>
                <w:rFonts w:ascii="Calibri" w:eastAsia="Times New Roman" w:hAnsi="Calibri" w:cs="Calibri"/>
                <w:color w:val="000000"/>
                <w:lang w:eastAsia="cs-CZ"/>
              </w:rPr>
              <w:t>8</w:t>
            </w:r>
          </w:p>
        </w:tc>
        <w:tc>
          <w:tcPr>
            <w:tcW w:w="359" w:type="pct"/>
            <w:tcBorders>
              <w:top w:val="nil"/>
              <w:left w:val="nil"/>
              <w:bottom w:val="nil"/>
              <w:right w:val="single" w:sz="4" w:space="0" w:color="auto"/>
            </w:tcBorders>
            <w:shd w:val="clear" w:color="000000" w:fill="EDEDED"/>
            <w:noWrap/>
            <w:vAlign w:val="bottom"/>
            <w:hideMark/>
          </w:tcPr>
          <w:p w14:paraId="052C1C96" w14:textId="77777777" w:rsidR="002958F7" w:rsidRPr="00337390" w:rsidRDefault="002958F7" w:rsidP="00C173BC">
            <w:pPr>
              <w:spacing w:after="0" w:line="240" w:lineRule="auto"/>
              <w:jc w:val="right"/>
              <w:rPr>
                <w:rFonts w:ascii="Calibri" w:eastAsia="Times New Roman" w:hAnsi="Calibri" w:cs="Calibri"/>
                <w:color w:val="000000"/>
                <w:lang w:eastAsia="cs-CZ"/>
              </w:rPr>
            </w:pPr>
            <w:r w:rsidRPr="00337390">
              <w:rPr>
                <w:rFonts w:ascii="Calibri" w:eastAsia="Times New Roman" w:hAnsi="Calibri" w:cs="Calibri"/>
                <w:color w:val="000000"/>
                <w:lang w:eastAsia="cs-CZ"/>
              </w:rPr>
              <w:t>7</w:t>
            </w:r>
          </w:p>
        </w:tc>
      </w:tr>
      <w:tr w:rsidR="002958F7" w:rsidRPr="00337390" w14:paraId="5A2555ED" w14:textId="77777777" w:rsidTr="00C173BC">
        <w:trPr>
          <w:trHeight w:val="288"/>
        </w:trPr>
        <w:tc>
          <w:tcPr>
            <w:tcW w:w="1820" w:type="pct"/>
            <w:vMerge/>
            <w:tcBorders>
              <w:top w:val="nil"/>
              <w:left w:val="single" w:sz="4" w:space="0" w:color="auto"/>
              <w:bottom w:val="single" w:sz="4" w:space="0" w:color="auto"/>
              <w:right w:val="single" w:sz="4" w:space="0" w:color="000000"/>
            </w:tcBorders>
            <w:vAlign w:val="center"/>
            <w:hideMark/>
          </w:tcPr>
          <w:p w14:paraId="35D27B4C" w14:textId="77777777" w:rsidR="002958F7" w:rsidRPr="00337390" w:rsidRDefault="002958F7" w:rsidP="00C173BC">
            <w:pPr>
              <w:spacing w:after="0" w:line="240" w:lineRule="auto"/>
              <w:rPr>
                <w:rFonts w:ascii="Calibri" w:eastAsia="Times New Roman" w:hAnsi="Calibri" w:cs="Calibri"/>
                <w:color w:val="000000"/>
                <w:lang w:eastAsia="cs-CZ"/>
              </w:rPr>
            </w:pPr>
          </w:p>
        </w:tc>
        <w:tc>
          <w:tcPr>
            <w:tcW w:w="1393" w:type="pct"/>
            <w:tcBorders>
              <w:top w:val="nil"/>
              <w:left w:val="nil"/>
              <w:bottom w:val="single" w:sz="4" w:space="0" w:color="auto"/>
              <w:right w:val="nil"/>
            </w:tcBorders>
            <w:shd w:val="clear" w:color="000000" w:fill="F2F2F2"/>
            <w:noWrap/>
            <w:vAlign w:val="bottom"/>
            <w:hideMark/>
          </w:tcPr>
          <w:p w14:paraId="66D0F271" w14:textId="77777777" w:rsidR="002958F7" w:rsidRPr="00337390" w:rsidRDefault="002958F7" w:rsidP="00C173BC">
            <w:pPr>
              <w:spacing w:after="0" w:line="240" w:lineRule="auto"/>
              <w:rPr>
                <w:rFonts w:ascii="Calibri" w:eastAsia="Times New Roman" w:hAnsi="Calibri" w:cs="Calibri"/>
                <w:b/>
                <w:bCs/>
                <w:color w:val="000000"/>
                <w:lang w:eastAsia="cs-CZ"/>
              </w:rPr>
            </w:pPr>
            <w:r w:rsidRPr="00337390">
              <w:rPr>
                <w:rFonts w:ascii="Calibri" w:eastAsia="Times New Roman" w:hAnsi="Calibri" w:cs="Calibri"/>
                <w:b/>
                <w:bCs/>
                <w:color w:val="000000"/>
                <w:lang w:eastAsia="cs-CZ"/>
              </w:rPr>
              <w:t>Celkem (medián)</w:t>
            </w:r>
          </w:p>
        </w:tc>
        <w:tc>
          <w:tcPr>
            <w:tcW w:w="357" w:type="pct"/>
            <w:tcBorders>
              <w:top w:val="single" w:sz="4" w:space="0" w:color="auto"/>
              <w:left w:val="single" w:sz="4" w:space="0" w:color="auto"/>
              <w:bottom w:val="single" w:sz="4" w:space="0" w:color="auto"/>
              <w:right w:val="nil"/>
            </w:tcBorders>
            <w:shd w:val="clear" w:color="000000" w:fill="F2F2F2"/>
            <w:noWrap/>
            <w:vAlign w:val="bottom"/>
            <w:hideMark/>
          </w:tcPr>
          <w:p w14:paraId="78F1BF1A" w14:textId="77777777" w:rsidR="002958F7" w:rsidRPr="00337390" w:rsidRDefault="002958F7" w:rsidP="00C173BC">
            <w:pPr>
              <w:spacing w:after="0" w:line="240" w:lineRule="auto"/>
              <w:jc w:val="right"/>
              <w:rPr>
                <w:rFonts w:ascii="Calibri" w:eastAsia="Times New Roman" w:hAnsi="Calibri" w:cs="Calibri"/>
                <w:b/>
                <w:bCs/>
                <w:color w:val="000000"/>
                <w:lang w:eastAsia="cs-CZ"/>
              </w:rPr>
            </w:pPr>
            <w:r w:rsidRPr="00337390">
              <w:rPr>
                <w:rFonts w:ascii="Calibri" w:eastAsia="Times New Roman" w:hAnsi="Calibri" w:cs="Calibri"/>
                <w:b/>
                <w:bCs/>
                <w:color w:val="000000"/>
                <w:lang w:eastAsia="cs-CZ"/>
              </w:rPr>
              <w:t>0</w:t>
            </w:r>
          </w:p>
        </w:tc>
        <w:tc>
          <w:tcPr>
            <w:tcW w:w="357" w:type="pct"/>
            <w:tcBorders>
              <w:top w:val="single" w:sz="4" w:space="0" w:color="auto"/>
              <w:left w:val="nil"/>
              <w:bottom w:val="single" w:sz="4" w:space="0" w:color="auto"/>
              <w:right w:val="nil"/>
            </w:tcBorders>
            <w:shd w:val="clear" w:color="000000" w:fill="F2F2F2"/>
            <w:noWrap/>
            <w:vAlign w:val="bottom"/>
            <w:hideMark/>
          </w:tcPr>
          <w:p w14:paraId="6D3D316B" w14:textId="77777777" w:rsidR="002958F7" w:rsidRPr="00337390" w:rsidRDefault="002958F7" w:rsidP="00C173BC">
            <w:pPr>
              <w:spacing w:after="0" w:line="240" w:lineRule="auto"/>
              <w:jc w:val="right"/>
              <w:rPr>
                <w:rFonts w:ascii="Calibri" w:eastAsia="Times New Roman" w:hAnsi="Calibri" w:cs="Calibri"/>
                <w:b/>
                <w:bCs/>
                <w:color w:val="000000"/>
                <w:lang w:eastAsia="cs-CZ"/>
              </w:rPr>
            </w:pPr>
            <w:r w:rsidRPr="00337390">
              <w:rPr>
                <w:rFonts w:ascii="Calibri" w:eastAsia="Times New Roman" w:hAnsi="Calibri" w:cs="Calibri"/>
                <w:b/>
                <w:bCs/>
                <w:color w:val="000000"/>
                <w:lang w:eastAsia="cs-CZ"/>
              </w:rPr>
              <w:t>56</w:t>
            </w:r>
          </w:p>
        </w:tc>
        <w:tc>
          <w:tcPr>
            <w:tcW w:w="357" w:type="pct"/>
            <w:tcBorders>
              <w:top w:val="single" w:sz="4" w:space="0" w:color="auto"/>
              <w:left w:val="nil"/>
              <w:bottom w:val="single" w:sz="4" w:space="0" w:color="auto"/>
              <w:right w:val="nil"/>
            </w:tcBorders>
            <w:shd w:val="clear" w:color="000000" w:fill="F2F2F2"/>
            <w:noWrap/>
            <w:vAlign w:val="bottom"/>
            <w:hideMark/>
          </w:tcPr>
          <w:p w14:paraId="5F9DC224" w14:textId="77777777" w:rsidR="002958F7" w:rsidRPr="00337390" w:rsidRDefault="002958F7" w:rsidP="00C173BC">
            <w:pPr>
              <w:spacing w:after="0" w:line="240" w:lineRule="auto"/>
              <w:jc w:val="right"/>
              <w:rPr>
                <w:rFonts w:ascii="Calibri" w:eastAsia="Times New Roman" w:hAnsi="Calibri" w:cs="Calibri"/>
                <w:b/>
                <w:bCs/>
                <w:color w:val="000000"/>
                <w:lang w:eastAsia="cs-CZ"/>
              </w:rPr>
            </w:pPr>
            <w:r w:rsidRPr="00337390">
              <w:rPr>
                <w:rFonts w:ascii="Calibri" w:eastAsia="Times New Roman" w:hAnsi="Calibri" w:cs="Calibri"/>
                <w:b/>
                <w:bCs/>
                <w:color w:val="000000"/>
                <w:lang w:eastAsia="cs-CZ"/>
              </w:rPr>
              <w:t>32</w:t>
            </w:r>
          </w:p>
        </w:tc>
        <w:tc>
          <w:tcPr>
            <w:tcW w:w="357" w:type="pct"/>
            <w:tcBorders>
              <w:top w:val="single" w:sz="4" w:space="0" w:color="auto"/>
              <w:left w:val="nil"/>
              <w:bottom w:val="single" w:sz="4" w:space="0" w:color="auto"/>
              <w:right w:val="nil"/>
            </w:tcBorders>
            <w:shd w:val="clear" w:color="000000" w:fill="F2F2F2"/>
            <w:noWrap/>
            <w:vAlign w:val="bottom"/>
            <w:hideMark/>
          </w:tcPr>
          <w:p w14:paraId="422DCB0D" w14:textId="77777777" w:rsidR="002958F7" w:rsidRPr="00337390" w:rsidRDefault="002958F7" w:rsidP="00C173BC">
            <w:pPr>
              <w:spacing w:after="0" w:line="240" w:lineRule="auto"/>
              <w:jc w:val="right"/>
              <w:rPr>
                <w:rFonts w:ascii="Calibri" w:eastAsia="Times New Roman" w:hAnsi="Calibri" w:cs="Calibri"/>
                <w:b/>
                <w:bCs/>
                <w:color w:val="000000"/>
                <w:lang w:eastAsia="cs-CZ"/>
              </w:rPr>
            </w:pPr>
            <w:r w:rsidRPr="00337390">
              <w:rPr>
                <w:rFonts w:ascii="Calibri" w:eastAsia="Times New Roman" w:hAnsi="Calibri" w:cs="Calibri"/>
                <w:b/>
                <w:bCs/>
                <w:color w:val="000000"/>
                <w:lang w:eastAsia="cs-CZ"/>
              </w:rPr>
              <w:t>43</w:t>
            </w:r>
          </w:p>
        </w:tc>
        <w:tc>
          <w:tcPr>
            <w:tcW w:w="359" w:type="pct"/>
            <w:tcBorders>
              <w:top w:val="single" w:sz="4" w:space="0" w:color="auto"/>
              <w:left w:val="nil"/>
              <w:bottom w:val="single" w:sz="4" w:space="0" w:color="auto"/>
              <w:right w:val="single" w:sz="4" w:space="0" w:color="auto"/>
            </w:tcBorders>
            <w:shd w:val="clear" w:color="000000" w:fill="F2F2F2"/>
            <w:noWrap/>
            <w:vAlign w:val="bottom"/>
            <w:hideMark/>
          </w:tcPr>
          <w:p w14:paraId="71D381BE" w14:textId="77777777" w:rsidR="002958F7" w:rsidRPr="00337390" w:rsidRDefault="002958F7" w:rsidP="00C173BC">
            <w:pPr>
              <w:spacing w:after="0" w:line="240" w:lineRule="auto"/>
              <w:jc w:val="right"/>
              <w:rPr>
                <w:rFonts w:ascii="Calibri" w:eastAsia="Times New Roman" w:hAnsi="Calibri" w:cs="Calibri"/>
                <w:b/>
                <w:bCs/>
                <w:color w:val="000000"/>
                <w:lang w:eastAsia="cs-CZ"/>
              </w:rPr>
            </w:pPr>
            <w:r w:rsidRPr="00337390">
              <w:rPr>
                <w:rFonts w:ascii="Calibri" w:eastAsia="Times New Roman" w:hAnsi="Calibri" w:cs="Calibri"/>
                <w:b/>
                <w:bCs/>
                <w:color w:val="000000"/>
                <w:lang w:eastAsia="cs-CZ"/>
              </w:rPr>
              <w:t>39</w:t>
            </w:r>
          </w:p>
        </w:tc>
      </w:tr>
    </w:tbl>
    <w:p w14:paraId="655E4155" w14:textId="77777777" w:rsidR="002958F7" w:rsidRDefault="002958F7" w:rsidP="002958F7">
      <w:pPr>
        <w:rPr>
          <w:i/>
        </w:rPr>
      </w:pPr>
      <w:r w:rsidRPr="00AE2CE6">
        <w:rPr>
          <w:i/>
        </w:rPr>
        <w:t xml:space="preserve">Zdroj: </w:t>
      </w:r>
      <w:r>
        <w:rPr>
          <w:i/>
        </w:rPr>
        <w:t>ŘO</w:t>
      </w:r>
    </w:p>
    <w:p w14:paraId="6BFD4AB8" w14:textId="77777777" w:rsidR="002958F7" w:rsidRDefault="002958F7" w:rsidP="002958F7">
      <w:r>
        <w:t xml:space="preserve">Druhým aspektem je pak množství přesčasů, které zaměstnanci pravidelně vykonávají. Tímto tématem se mimo jiné zabýval dotazník, jehož respondenty byli všichni zaměstnanci implementační struktury ŘO/ZS. Z něj vyplynulo, že pracovníci ZS pracují přesčas nejčastěji jedenkrát týdně </w:t>
      </w:r>
      <w:r w:rsidR="006F1F4B">
        <w:br/>
      </w:r>
      <w:r>
        <w:t>nebo několikrát za měsíc. Sekcí, v níž se práce přesčas vyskytla nejčastěji, byla Sekce rozvoje podnikatelského prostředí. Třetina respondentů z této sekce uvedla, že přesčas pracuje téměř neustále.</w:t>
      </w:r>
    </w:p>
    <w:p w14:paraId="6F2863CF" w14:textId="77777777" w:rsidR="002958F7" w:rsidRDefault="003A3D63" w:rsidP="003E6581">
      <w:bookmarkStart w:id="139" w:name="_Hlk46244853"/>
      <w:r>
        <w:t xml:space="preserve">Ačkoliv se administrativní kapacita dle výsledků dotazníkového šetření jevila jako nedostatečná. Nebyl tento závěr potvrzen na základě hodnocení mediánu doby administrace žádosti o podporu </w:t>
      </w:r>
      <w:r w:rsidR="006F1F4B">
        <w:br/>
      </w:r>
      <w:r>
        <w:t xml:space="preserve">a žádosti o platbu a hodnocení množství přesčasů. Tyto dva faktory nepoukázaly na významný nedostatek administrativních kapacit. Nelze však vyloučit, že </w:t>
      </w:r>
      <w:r w:rsidR="002958F7">
        <w:t>na úrovni odborů nebo oddělení může v čase docházet k disproporcím na příklad v důsledku podávání velkého žádostí o podporu na konci výzvy.</w:t>
      </w:r>
      <w:bookmarkEnd w:id="139"/>
      <w:r w:rsidR="002958F7">
        <w:t xml:space="preserve"> Ty lze však řešit např. převodem části agendy na pracovníky z oddělení, které je v té době méně vytíženo.</w:t>
      </w:r>
    </w:p>
    <w:p w14:paraId="7B89FCD9" w14:textId="77777777" w:rsidR="002958F7" w:rsidRPr="006A4FDD" w:rsidRDefault="002958F7" w:rsidP="002958F7"/>
    <w:p w14:paraId="77B60C63" w14:textId="77777777" w:rsidR="002958F7" w:rsidRPr="008A16D3" w:rsidRDefault="002958F7" w:rsidP="00C173BC">
      <w:pPr>
        <w:pStyle w:val="Standardntext"/>
        <w:rPr>
          <w:rFonts w:eastAsiaTheme="majorEastAsia"/>
        </w:rPr>
      </w:pPr>
      <w:r w:rsidRPr="00C173BC">
        <w:rPr>
          <w:b/>
          <w:bCs/>
          <w:color w:val="EF4350" w:themeColor="accent2"/>
        </w:rPr>
        <w:t>Porovnání skutečné administrativní kapacity ŘO a ZS s poznatky a doporučeními EK</w:t>
      </w:r>
    </w:p>
    <w:p w14:paraId="1E062009" w14:textId="77777777" w:rsidR="002958F7" w:rsidRPr="008A16D3" w:rsidRDefault="002958F7" w:rsidP="002958F7">
      <w:r>
        <w:t xml:space="preserve">Evropská komise vydala v roce 2018 studii </w:t>
      </w:r>
      <w:r w:rsidRPr="008A16D3">
        <w:rPr>
          <w:lang w:val="en-US"/>
        </w:rPr>
        <w:t>New assessment of ESIF administrative costs and burden</w:t>
      </w:r>
      <w:r w:rsidRPr="008A16D3">
        <w:t xml:space="preserve">, v níž se věnuje nákladům na administraci programů financovaných z ESIF. Jako jeden z ukazatelů nákladovosti administrace využívá počet FTE na 1 mil. EUR z alokace daného programu (z ESIF </w:t>
      </w:r>
      <w:r w:rsidR="006F1F4B">
        <w:br/>
      </w:r>
      <w:r w:rsidRPr="008A16D3">
        <w:t xml:space="preserve">a národního financování). Zatímco pro ESIF programy obecně vychází </w:t>
      </w:r>
      <w:r>
        <w:t xml:space="preserve">mediánová </w:t>
      </w:r>
      <w:r w:rsidRPr="008A16D3">
        <w:t>hodnota tohoto indikátoru 0,95 FTE, pro programy financované z ERDF činí ukazatel 0,53 FTE. Pro velké programy, mezi něž lze OP PIK řadit je hodnota tohoto indikátoru ještě nižší, a to 0,48 FTE.</w:t>
      </w:r>
    </w:p>
    <w:p w14:paraId="6C07CCAA" w14:textId="77777777" w:rsidR="002958F7" w:rsidRDefault="002958F7" w:rsidP="002958F7">
      <w:r>
        <w:t xml:space="preserve">Celková alokace OP PIK činí dle Programového dokumentu OP PIK (11/2018, tabulka 18c) 8 019 mil. EUR včetně příspěvku členského státu. Budeme-li uvažovat data o reálně obsazených FTE z dostupných Ročních zpráv o administrativní kapacitě ŘO/ZS a v nich stanový výhled počtu FTE </w:t>
      </w:r>
      <w:r w:rsidR="006F1F4B">
        <w:br/>
      </w:r>
      <w:r>
        <w:t xml:space="preserve">pro roky 2020 a 2021, je celkový součet FTE za celé programovací období roven 2337 FTE. Počet FTE na 1 mil. EUR tedy vychází 0,29, tj. v porovnání s mediánem programů financovaných z ERDF </w:t>
      </w:r>
      <w:r w:rsidR="006F1F4B">
        <w:br/>
      </w:r>
      <w:r>
        <w:lastRenderedPageBreak/>
        <w:t xml:space="preserve">a programů obdobné velikosti </w:t>
      </w:r>
      <w:r w:rsidR="00024BB8">
        <w:t xml:space="preserve">zajišťuje </w:t>
      </w:r>
      <w:r>
        <w:t xml:space="preserve">OP PIK svou implementaci </w:t>
      </w:r>
      <w:r w:rsidR="00024BB8">
        <w:t xml:space="preserve">prostřednictvím nižší </w:t>
      </w:r>
      <w:r>
        <w:t>administrativní kapacit</w:t>
      </w:r>
      <w:r w:rsidR="00024BB8">
        <w:t>y</w:t>
      </w:r>
      <w:r w:rsidR="003A3D63">
        <w:t>, je tedy ve srovnání s obdobnými programy řízen efektivněji.</w:t>
      </w:r>
    </w:p>
    <w:p w14:paraId="024375F8" w14:textId="77777777" w:rsidR="002958F7" w:rsidRDefault="002958F7" w:rsidP="00C173BC">
      <w:pPr>
        <w:pStyle w:val="Nadpis1"/>
        <w:rPr>
          <w:lang w:val="fr-FR"/>
        </w:rPr>
      </w:pPr>
      <w:bookmarkStart w:id="140" w:name="_Toc50456794"/>
      <w:r w:rsidRPr="0084087C">
        <w:lastRenderedPageBreak/>
        <w:t>Doplňující</w:t>
      </w:r>
      <w:r>
        <w:rPr>
          <w:lang w:val="fr-FR"/>
        </w:rPr>
        <w:t xml:space="preserve"> informace k EO 14</w:t>
      </w:r>
      <w:bookmarkEnd w:id="140"/>
    </w:p>
    <w:p w14:paraId="71116742" w14:textId="3F2C2420" w:rsidR="002958F7" w:rsidRDefault="002958F7" w:rsidP="002958F7">
      <w:r>
        <w:t xml:space="preserve">Míra fluktuace zaměstnanců se na MPO a API výrazně liší. Zatímco na MPO dochází k postupnému snižování fluktuace ve sledovaném období, v případě API byl zaznamenán nárůst a následná stagnace ve vysoké úrovni fluktuace (viz </w:t>
      </w:r>
      <w:r w:rsidR="00375887">
        <w:fldChar w:fldCharType="begin"/>
      </w:r>
      <w:r>
        <w:instrText xml:space="preserve"> REF _Ref45550499 \h </w:instrText>
      </w:r>
      <w:r w:rsidR="00375887">
        <w:fldChar w:fldCharType="separate"/>
      </w:r>
      <w:r w:rsidR="00E96F43">
        <w:rPr>
          <w:b/>
          <w:bCs/>
        </w:rPr>
        <w:t>Chyba! Nenalezen zdroj odkazů.</w:t>
      </w:r>
      <w:r w:rsidR="00375887">
        <w:fldChar w:fldCharType="end"/>
      </w:r>
      <w:r>
        <w:t xml:space="preserve">). Na fluktuaci mají na MPO největší podíl ukončené úvazky dohodou, výpovědí či uplynutím doby určité, a to z 50 % (v roce 2019) až 65 % (v roce 2016). Druhou největší složkou jsou ukončené úvazky odchodem do důchodu či na mateřskou/rodičovskou dovolenou. Ukončené úvazky ve zkušební době nejsou časté. Oproti tomu na API dochází k ukončování úvazků ve zkušební době mnohem častěji a podíl takto ukončovaných úvazků roste. </w:t>
      </w:r>
      <w:r w:rsidR="006F1F4B">
        <w:br/>
      </w:r>
      <w:r>
        <w:t xml:space="preserve">V 1. pololetí 2019 dokonce přesáhl počet úvazků ukončeným mateřskou/rodičovskou dovolenou. </w:t>
      </w:r>
    </w:p>
    <w:p w14:paraId="43B349B6" w14:textId="084FCBAF" w:rsidR="002958F7" w:rsidRDefault="002958F7" w:rsidP="002958F7">
      <w:pPr>
        <w:pStyle w:val="Titulek"/>
      </w:pPr>
      <w:bookmarkStart w:id="141" w:name="_Toc50456760"/>
      <w:bookmarkStart w:id="142" w:name="_Hlk46245024"/>
      <w:r>
        <w:t xml:space="preserve">Tabulka </w:t>
      </w:r>
      <w:r w:rsidR="00C050DB">
        <w:fldChar w:fldCharType="begin"/>
      </w:r>
      <w:r w:rsidR="00C050DB">
        <w:instrText xml:space="preserve"> SEQ Tabulka \* ARABIC </w:instrText>
      </w:r>
      <w:r w:rsidR="00C050DB">
        <w:fldChar w:fldCharType="separate"/>
      </w:r>
      <w:r w:rsidR="00E96F43">
        <w:rPr>
          <w:noProof/>
        </w:rPr>
        <w:t>27</w:t>
      </w:r>
      <w:r w:rsidR="00C050DB">
        <w:rPr>
          <w:noProof/>
        </w:rPr>
        <w:fldChar w:fldCharType="end"/>
      </w:r>
      <w:r>
        <w:t>: Vývoj fluktuace zaměstnanců MPO a API v letech 2016</w:t>
      </w:r>
      <w:r w:rsidR="006F1F4B">
        <w:t xml:space="preserve"> </w:t>
      </w:r>
      <w:r>
        <w:t>-</w:t>
      </w:r>
      <w:r w:rsidR="006F1F4B">
        <w:t xml:space="preserve"> </w:t>
      </w:r>
      <w:r>
        <w:t>2019</w:t>
      </w:r>
      <w:bookmarkEnd w:id="141"/>
    </w:p>
    <w:tbl>
      <w:tblPr>
        <w:tblStyle w:val="Styl1"/>
        <w:tblW w:w="4927" w:type="pct"/>
        <w:tblLayout w:type="fixed"/>
        <w:tblLook w:val="04A0" w:firstRow="1" w:lastRow="0" w:firstColumn="1" w:lastColumn="0" w:noHBand="0" w:noVBand="1"/>
      </w:tblPr>
      <w:tblGrid>
        <w:gridCol w:w="1275"/>
        <w:gridCol w:w="1289"/>
        <w:gridCol w:w="1205"/>
        <w:gridCol w:w="1607"/>
        <w:gridCol w:w="16"/>
        <w:gridCol w:w="980"/>
        <w:gridCol w:w="1137"/>
        <w:gridCol w:w="1418"/>
        <w:gridCol w:w="13"/>
      </w:tblGrid>
      <w:tr w:rsidR="002958F7" w14:paraId="6B4689C4" w14:textId="77777777" w:rsidTr="00A5209F">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713" w:type="pct"/>
            <w:tcBorders>
              <w:bottom w:val="single" w:sz="6" w:space="0" w:color="FFFFFF" w:themeColor="background1"/>
              <w:right w:val="single" w:sz="6" w:space="0" w:color="FFFFFF" w:themeColor="background1"/>
            </w:tcBorders>
            <w:noWrap/>
            <w:hideMark/>
          </w:tcPr>
          <w:p w14:paraId="501FA9E7" w14:textId="77777777" w:rsidR="002958F7" w:rsidRPr="00111509" w:rsidRDefault="002958F7" w:rsidP="00C173BC">
            <w:bookmarkStart w:id="143" w:name="_Hlk46245013"/>
          </w:p>
        </w:tc>
        <w:tc>
          <w:tcPr>
            <w:tcW w:w="2303" w:type="pct"/>
            <w:gridSpan w:val="4"/>
            <w:tcBorders>
              <w:left w:val="single" w:sz="6" w:space="0" w:color="FFFFFF" w:themeColor="background1"/>
              <w:bottom w:val="single" w:sz="6" w:space="0" w:color="FFFFFF" w:themeColor="background1"/>
              <w:right w:val="single" w:sz="6" w:space="0" w:color="FFFFFF" w:themeColor="background1"/>
            </w:tcBorders>
            <w:noWrap/>
            <w:hideMark/>
          </w:tcPr>
          <w:p w14:paraId="69C5D423" w14:textId="77777777" w:rsidR="002958F7" w:rsidRPr="00111509" w:rsidRDefault="002958F7" w:rsidP="00C173BC">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cs-CZ"/>
              </w:rPr>
            </w:pPr>
            <w:r w:rsidRPr="00111509">
              <w:rPr>
                <w:rFonts w:ascii="Calibri" w:eastAsia="Times New Roman" w:hAnsi="Calibri" w:cs="Times New Roman"/>
                <w:b w:val="0"/>
                <w:lang w:eastAsia="cs-CZ"/>
              </w:rPr>
              <w:t>MPO</w:t>
            </w:r>
          </w:p>
        </w:tc>
        <w:tc>
          <w:tcPr>
            <w:tcW w:w="1985" w:type="pct"/>
            <w:gridSpan w:val="4"/>
            <w:tcBorders>
              <w:left w:val="single" w:sz="6" w:space="0" w:color="FFFFFF" w:themeColor="background1"/>
              <w:bottom w:val="single" w:sz="6" w:space="0" w:color="FFFFFF" w:themeColor="background1"/>
            </w:tcBorders>
            <w:noWrap/>
            <w:hideMark/>
          </w:tcPr>
          <w:p w14:paraId="65683F05" w14:textId="77777777" w:rsidR="002958F7" w:rsidRPr="00111509" w:rsidRDefault="002958F7" w:rsidP="00C173BC">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lang w:eastAsia="cs-CZ"/>
              </w:rPr>
            </w:pPr>
            <w:r w:rsidRPr="00111509">
              <w:rPr>
                <w:rFonts w:ascii="Calibri" w:eastAsia="Times New Roman" w:hAnsi="Calibri" w:cs="Times New Roman"/>
                <w:b w:val="0"/>
                <w:lang w:eastAsia="cs-CZ"/>
              </w:rPr>
              <w:t>API</w:t>
            </w:r>
          </w:p>
        </w:tc>
      </w:tr>
      <w:tr w:rsidR="002958F7" w14:paraId="2F8AC0DB" w14:textId="77777777" w:rsidTr="00A5209F">
        <w:trPr>
          <w:gridAfter w:val="1"/>
          <w:cnfStyle w:val="000000100000" w:firstRow="0" w:lastRow="0" w:firstColumn="0" w:lastColumn="0" w:oddVBand="0" w:evenVBand="0" w:oddHBand="1" w:evenHBand="0" w:firstRowFirstColumn="0" w:firstRowLastColumn="0" w:lastRowFirstColumn="0" w:lastRowLastColumn="0"/>
          <w:wAfter w:w="8" w:type="pct"/>
          <w:trHeight w:val="576"/>
        </w:trPr>
        <w:tc>
          <w:tcPr>
            <w:cnfStyle w:val="001000000000" w:firstRow="0" w:lastRow="0" w:firstColumn="1" w:lastColumn="0" w:oddVBand="0" w:evenVBand="0" w:oddHBand="0" w:evenHBand="0" w:firstRowFirstColumn="0" w:firstRowLastColumn="0" w:lastRowFirstColumn="0" w:lastRowLastColumn="0"/>
            <w:tcW w:w="713" w:type="pct"/>
            <w:tcBorders>
              <w:top w:val="single" w:sz="6" w:space="0" w:color="FFFFFF" w:themeColor="background1"/>
              <w:right w:val="single" w:sz="6" w:space="0" w:color="FFFFFF" w:themeColor="background1"/>
            </w:tcBorders>
            <w:shd w:val="clear" w:color="auto" w:fill="0D3B5E" w:themeFill="accent1"/>
            <w:noWrap/>
            <w:hideMark/>
          </w:tcPr>
          <w:p w14:paraId="0C201413" w14:textId="77777777" w:rsidR="002958F7" w:rsidRPr="00111509" w:rsidRDefault="002958F7" w:rsidP="00C173BC">
            <w:pPr>
              <w:spacing w:after="0"/>
              <w:jc w:val="center"/>
              <w:rPr>
                <w:rFonts w:ascii="Calibri" w:eastAsia="Times New Roman" w:hAnsi="Calibri" w:cs="Times New Roman"/>
                <w:b w:val="0"/>
                <w:color w:val="FFFFFF" w:themeColor="background1"/>
                <w:lang w:eastAsia="cs-CZ"/>
              </w:rPr>
            </w:pPr>
            <w:r w:rsidRPr="00111509">
              <w:rPr>
                <w:rFonts w:ascii="Calibri" w:eastAsia="Times New Roman" w:hAnsi="Calibri" w:cs="Times New Roman"/>
                <w:b w:val="0"/>
                <w:color w:val="FFFFFF" w:themeColor="background1"/>
                <w:lang w:eastAsia="cs-CZ"/>
              </w:rPr>
              <w:t>Rok</w:t>
            </w:r>
          </w:p>
        </w:tc>
        <w:tc>
          <w:tcPr>
            <w:tcW w:w="721" w:type="pct"/>
            <w:tcBorders>
              <w:top w:val="single" w:sz="6" w:space="0" w:color="FFFFFF" w:themeColor="background1"/>
              <w:left w:val="single" w:sz="6" w:space="0" w:color="FFFFFF" w:themeColor="background1"/>
              <w:right w:val="single" w:sz="6" w:space="0" w:color="FFFFFF" w:themeColor="background1"/>
            </w:tcBorders>
            <w:shd w:val="clear" w:color="auto" w:fill="0D3B5E" w:themeFill="accent1"/>
            <w:hideMark/>
          </w:tcPr>
          <w:p w14:paraId="45AED7B9" w14:textId="77777777" w:rsidR="002958F7" w:rsidRPr="00111509" w:rsidRDefault="002958F7" w:rsidP="00C173BC">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FFFFFF" w:themeColor="background1"/>
                <w:lang w:eastAsia="cs-CZ"/>
              </w:rPr>
            </w:pPr>
            <w:r w:rsidRPr="00111509">
              <w:rPr>
                <w:rFonts w:ascii="Calibri" w:eastAsia="Times New Roman" w:hAnsi="Calibri" w:cs="Times New Roman"/>
                <w:b/>
                <w:color w:val="FFFFFF" w:themeColor="background1"/>
                <w:lang w:eastAsia="cs-CZ"/>
              </w:rPr>
              <w:t>Počet úvazků FTE</w:t>
            </w:r>
          </w:p>
        </w:tc>
        <w:tc>
          <w:tcPr>
            <w:tcW w:w="674" w:type="pct"/>
            <w:tcBorders>
              <w:top w:val="single" w:sz="6" w:space="0" w:color="FFFFFF" w:themeColor="background1"/>
              <w:left w:val="single" w:sz="6" w:space="0" w:color="FFFFFF" w:themeColor="background1"/>
              <w:right w:val="single" w:sz="6" w:space="0" w:color="FFFFFF" w:themeColor="background1"/>
            </w:tcBorders>
            <w:shd w:val="clear" w:color="auto" w:fill="0D3B5E" w:themeFill="accent1"/>
            <w:hideMark/>
          </w:tcPr>
          <w:p w14:paraId="5F969E3C" w14:textId="77777777" w:rsidR="002958F7" w:rsidRPr="00111509" w:rsidRDefault="002958F7" w:rsidP="00C173BC">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FFFFFF" w:themeColor="background1"/>
                <w:lang w:eastAsia="cs-CZ"/>
              </w:rPr>
            </w:pPr>
            <w:r w:rsidRPr="00111509">
              <w:rPr>
                <w:rFonts w:ascii="Calibri" w:eastAsia="Times New Roman" w:hAnsi="Calibri" w:cs="Times New Roman"/>
                <w:b/>
                <w:color w:val="FFFFFF" w:themeColor="background1"/>
                <w:lang w:eastAsia="cs-CZ"/>
              </w:rPr>
              <w:t>Fluktuace (%)</w:t>
            </w:r>
          </w:p>
        </w:tc>
        <w:tc>
          <w:tcPr>
            <w:tcW w:w="899" w:type="pct"/>
            <w:tcBorders>
              <w:top w:val="single" w:sz="6" w:space="0" w:color="FFFFFF" w:themeColor="background1"/>
              <w:left w:val="single" w:sz="6" w:space="0" w:color="FFFFFF" w:themeColor="background1"/>
              <w:right w:val="single" w:sz="6" w:space="0" w:color="FFFFFF" w:themeColor="background1"/>
            </w:tcBorders>
            <w:shd w:val="clear" w:color="auto" w:fill="0D3B5E" w:themeFill="accent1"/>
            <w:noWrap/>
            <w:hideMark/>
          </w:tcPr>
          <w:p w14:paraId="30414F52" w14:textId="77777777" w:rsidR="002958F7" w:rsidRPr="00111509" w:rsidRDefault="002958F7" w:rsidP="00C173BC">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FFFFFF" w:themeColor="background1"/>
                <w:lang w:eastAsia="cs-CZ"/>
              </w:rPr>
            </w:pPr>
            <w:r w:rsidRPr="00111509">
              <w:rPr>
                <w:rFonts w:ascii="Calibri" w:eastAsia="Times New Roman" w:hAnsi="Calibri" w:cs="Times New Roman"/>
                <w:b/>
                <w:color w:val="FFFFFF" w:themeColor="background1"/>
                <w:lang w:eastAsia="cs-CZ"/>
              </w:rPr>
              <w:t>Fluktuace - rozšířená (%)</w:t>
            </w:r>
          </w:p>
        </w:tc>
        <w:tc>
          <w:tcPr>
            <w:tcW w:w="557" w:type="pct"/>
            <w:gridSpan w:val="2"/>
            <w:tcBorders>
              <w:top w:val="single" w:sz="6" w:space="0" w:color="FFFFFF" w:themeColor="background1"/>
              <w:left w:val="single" w:sz="6" w:space="0" w:color="FFFFFF" w:themeColor="background1"/>
              <w:right w:val="single" w:sz="6" w:space="0" w:color="FFFFFF" w:themeColor="background1"/>
            </w:tcBorders>
            <w:shd w:val="clear" w:color="auto" w:fill="0D3B5E" w:themeFill="accent1"/>
            <w:hideMark/>
          </w:tcPr>
          <w:p w14:paraId="548CC95D" w14:textId="77777777" w:rsidR="002958F7" w:rsidRPr="00111509" w:rsidRDefault="002958F7" w:rsidP="00C173BC">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FFFFFF" w:themeColor="background1"/>
                <w:lang w:eastAsia="cs-CZ"/>
              </w:rPr>
            </w:pPr>
            <w:r w:rsidRPr="00111509">
              <w:rPr>
                <w:rFonts w:ascii="Calibri" w:eastAsia="Times New Roman" w:hAnsi="Calibri" w:cs="Times New Roman"/>
                <w:b/>
                <w:color w:val="FFFFFF" w:themeColor="background1"/>
                <w:lang w:eastAsia="cs-CZ"/>
              </w:rPr>
              <w:t>Počet úvazků FTE</w:t>
            </w:r>
          </w:p>
        </w:tc>
        <w:tc>
          <w:tcPr>
            <w:tcW w:w="636" w:type="pct"/>
            <w:tcBorders>
              <w:top w:val="single" w:sz="6" w:space="0" w:color="FFFFFF" w:themeColor="background1"/>
              <w:left w:val="single" w:sz="6" w:space="0" w:color="FFFFFF" w:themeColor="background1"/>
              <w:right w:val="single" w:sz="6" w:space="0" w:color="FFFFFF" w:themeColor="background1"/>
            </w:tcBorders>
            <w:shd w:val="clear" w:color="auto" w:fill="0D3B5E" w:themeFill="accent1"/>
            <w:hideMark/>
          </w:tcPr>
          <w:p w14:paraId="3815E70D" w14:textId="77777777" w:rsidR="002958F7" w:rsidRPr="00111509" w:rsidRDefault="002958F7" w:rsidP="00C173BC">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FFFFFF" w:themeColor="background1"/>
                <w:lang w:eastAsia="cs-CZ"/>
              </w:rPr>
            </w:pPr>
            <w:r w:rsidRPr="00111509">
              <w:rPr>
                <w:rFonts w:ascii="Calibri" w:eastAsia="Times New Roman" w:hAnsi="Calibri" w:cs="Times New Roman"/>
                <w:b/>
                <w:color w:val="FFFFFF" w:themeColor="background1"/>
                <w:lang w:eastAsia="cs-CZ"/>
              </w:rPr>
              <w:t>Fluktuace (%)</w:t>
            </w:r>
          </w:p>
        </w:tc>
        <w:tc>
          <w:tcPr>
            <w:tcW w:w="793" w:type="pct"/>
            <w:tcBorders>
              <w:top w:val="single" w:sz="6" w:space="0" w:color="FFFFFF" w:themeColor="background1"/>
              <w:left w:val="single" w:sz="6" w:space="0" w:color="FFFFFF" w:themeColor="background1"/>
            </w:tcBorders>
            <w:shd w:val="clear" w:color="auto" w:fill="0D3B5E" w:themeFill="accent1"/>
            <w:noWrap/>
            <w:hideMark/>
          </w:tcPr>
          <w:p w14:paraId="3B4DB7A3" w14:textId="77777777" w:rsidR="002958F7" w:rsidRPr="00111509" w:rsidRDefault="002958F7" w:rsidP="00C173BC">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FFFFFF" w:themeColor="background1"/>
                <w:lang w:eastAsia="cs-CZ"/>
              </w:rPr>
            </w:pPr>
            <w:r w:rsidRPr="00111509">
              <w:rPr>
                <w:rFonts w:ascii="Calibri" w:eastAsia="Times New Roman" w:hAnsi="Calibri" w:cs="Times New Roman"/>
                <w:b/>
                <w:color w:val="FFFFFF" w:themeColor="background1"/>
                <w:lang w:eastAsia="cs-CZ"/>
              </w:rPr>
              <w:t>Fluktuace - rozšířená (%)</w:t>
            </w:r>
          </w:p>
        </w:tc>
      </w:tr>
      <w:tr w:rsidR="002958F7" w14:paraId="41C6EF43" w14:textId="77777777" w:rsidTr="00A5209F">
        <w:trPr>
          <w:gridAfter w:val="1"/>
          <w:wAfter w:w="8" w:type="pct"/>
          <w:trHeight w:val="288"/>
        </w:trPr>
        <w:tc>
          <w:tcPr>
            <w:cnfStyle w:val="001000000000" w:firstRow="0" w:lastRow="0" w:firstColumn="1" w:lastColumn="0" w:oddVBand="0" w:evenVBand="0" w:oddHBand="0" w:evenHBand="0" w:firstRowFirstColumn="0" w:firstRowLastColumn="0" w:lastRowFirstColumn="0" w:lastRowLastColumn="0"/>
            <w:tcW w:w="713" w:type="pct"/>
            <w:noWrap/>
            <w:hideMark/>
          </w:tcPr>
          <w:p w14:paraId="791566D3" w14:textId="77777777" w:rsidR="002958F7" w:rsidRDefault="002958F7" w:rsidP="00C173BC">
            <w:pPr>
              <w:spacing w:after="0"/>
              <w:jc w:val="right"/>
              <w:rPr>
                <w:rFonts w:ascii="Calibri" w:eastAsia="Times New Roman" w:hAnsi="Calibri" w:cs="Times New Roman"/>
                <w:b w:val="0"/>
                <w:color w:val="000000"/>
                <w:lang w:eastAsia="cs-CZ"/>
              </w:rPr>
            </w:pPr>
            <w:r>
              <w:rPr>
                <w:rFonts w:ascii="Calibri" w:eastAsia="Times New Roman" w:hAnsi="Calibri" w:cs="Times New Roman"/>
                <w:color w:val="000000"/>
                <w:lang w:eastAsia="cs-CZ"/>
              </w:rPr>
              <w:t>2016</w:t>
            </w:r>
          </w:p>
        </w:tc>
        <w:tc>
          <w:tcPr>
            <w:tcW w:w="721" w:type="pct"/>
            <w:noWrap/>
            <w:hideMark/>
          </w:tcPr>
          <w:p w14:paraId="4516A19E" w14:textId="77777777" w:rsidR="002958F7" w:rsidRDefault="002958F7" w:rsidP="00C173BC">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cs-CZ"/>
              </w:rPr>
            </w:pPr>
            <w:r>
              <w:rPr>
                <w:rFonts w:ascii="Calibri" w:eastAsia="Times New Roman" w:hAnsi="Calibri" w:cs="Times New Roman"/>
                <w:color w:val="000000"/>
                <w:lang w:eastAsia="cs-CZ"/>
              </w:rPr>
              <w:t>150,51</w:t>
            </w:r>
          </w:p>
        </w:tc>
        <w:tc>
          <w:tcPr>
            <w:tcW w:w="674" w:type="pct"/>
            <w:noWrap/>
            <w:hideMark/>
          </w:tcPr>
          <w:p w14:paraId="1042F2B5" w14:textId="77777777" w:rsidR="002958F7" w:rsidRDefault="002958F7" w:rsidP="00C173BC">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cs-CZ"/>
              </w:rPr>
            </w:pPr>
            <w:r>
              <w:rPr>
                <w:rFonts w:ascii="Calibri" w:eastAsia="Times New Roman" w:hAnsi="Calibri" w:cs="Times New Roman"/>
                <w:color w:val="000000"/>
                <w:lang w:eastAsia="cs-CZ"/>
              </w:rPr>
              <w:t>11,29</w:t>
            </w:r>
          </w:p>
        </w:tc>
        <w:tc>
          <w:tcPr>
            <w:tcW w:w="899" w:type="pct"/>
            <w:noWrap/>
            <w:hideMark/>
          </w:tcPr>
          <w:p w14:paraId="7365C817" w14:textId="77777777" w:rsidR="002958F7" w:rsidRDefault="002958F7" w:rsidP="00C173BC">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cs-CZ"/>
              </w:rPr>
            </w:pPr>
            <w:r>
              <w:rPr>
                <w:rFonts w:ascii="Calibri" w:eastAsia="Times New Roman" w:hAnsi="Calibri" w:cs="Times New Roman"/>
                <w:color w:val="000000"/>
                <w:lang w:eastAsia="cs-CZ"/>
              </w:rPr>
              <w:t>15,28</w:t>
            </w:r>
          </w:p>
        </w:tc>
        <w:tc>
          <w:tcPr>
            <w:tcW w:w="557" w:type="pct"/>
            <w:gridSpan w:val="2"/>
            <w:noWrap/>
            <w:hideMark/>
          </w:tcPr>
          <w:p w14:paraId="22BA1F5B" w14:textId="77777777" w:rsidR="002958F7" w:rsidRDefault="002958F7" w:rsidP="00C173BC">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cs-CZ"/>
              </w:rPr>
            </w:pPr>
            <w:r>
              <w:rPr>
                <w:rFonts w:ascii="Calibri" w:eastAsia="Times New Roman" w:hAnsi="Calibri" w:cs="Times New Roman"/>
                <w:color w:val="000000"/>
                <w:lang w:eastAsia="cs-CZ"/>
              </w:rPr>
              <w:t>139,94</w:t>
            </w:r>
          </w:p>
        </w:tc>
        <w:tc>
          <w:tcPr>
            <w:tcW w:w="636" w:type="pct"/>
            <w:noWrap/>
            <w:hideMark/>
          </w:tcPr>
          <w:p w14:paraId="5951A96B" w14:textId="77777777" w:rsidR="002958F7" w:rsidRDefault="002958F7" w:rsidP="00C173BC">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cs-CZ"/>
              </w:rPr>
            </w:pPr>
            <w:r>
              <w:rPr>
                <w:rFonts w:ascii="Calibri" w:eastAsia="Times New Roman" w:hAnsi="Calibri" w:cs="Times New Roman"/>
                <w:color w:val="000000"/>
                <w:lang w:eastAsia="cs-CZ"/>
              </w:rPr>
              <w:t>7,60</w:t>
            </w:r>
          </w:p>
        </w:tc>
        <w:tc>
          <w:tcPr>
            <w:tcW w:w="793" w:type="pct"/>
            <w:noWrap/>
            <w:hideMark/>
          </w:tcPr>
          <w:p w14:paraId="2CDD5307" w14:textId="77777777" w:rsidR="002958F7" w:rsidRDefault="002958F7" w:rsidP="00C173BC">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cs-CZ"/>
              </w:rPr>
            </w:pPr>
            <w:r>
              <w:rPr>
                <w:rFonts w:ascii="Calibri" w:eastAsia="Times New Roman" w:hAnsi="Calibri" w:cs="Times New Roman"/>
                <w:color w:val="000000"/>
                <w:lang w:eastAsia="cs-CZ"/>
              </w:rPr>
              <w:t>10,27</w:t>
            </w:r>
          </w:p>
        </w:tc>
      </w:tr>
      <w:tr w:rsidR="002958F7" w14:paraId="02B60456" w14:textId="77777777" w:rsidTr="00A5209F">
        <w:trPr>
          <w:gridAfter w:val="1"/>
          <w:cnfStyle w:val="000000100000" w:firstRow="0" w:lastRow="0" w:firstColumn="0" w:lastColumn="0" w:oddVBand="0" w:evenVBand="0" w:oddHBand="1" w:evenHBand="0" w:firstRowFirstColumn="0" w:firstRowLastColumn="0" w:lastRowFirstColumn="0" w:lastRowLastColumn="0"/>
          <w:wAfter w:w="8" w:type="pct"/>
          <w:trHeight w:val="288"/>
        </w:trPr>
        <w:tc>
          <w:tcPr>
            <w:cnfStyle w:val="001000000000" w:firstRow="0" w:lastRow="0" w:firstColumn="1" w:lastColumn="0" w:oddVBand="0" w:evenVBand="0" w:oddHBand="0" w:evenHBand="0" w:firstRowFirstColumn="0" w:firstRowLastColumn="0" w:lastRowFirstColumn="0" w:lastRowLastColumn="0"/>
            <w:tcW w:w="713" w:type="pct"/>
            <w:noWrap/>
            <w:hideMark/>
          </w:tcPr>
          <w:p w14:paraId="07D5AE44" w14:textId="77777777" w:rsidR="002958F7" w:rsidRDefault="002958F7" w:rsidP="00C173BC">
            <w:pPr>
              <w:spacing w:after="0"/>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2017</w:t>
            </w:r>
          </w:p>
        </w:tc>
        <w:tc>
          <w:tcPr>
            <w:tcW w:w="721" w:type="pct"/>
            <w:noWrap/>
            <w:hideMark/>
          </w:tcPr>
          <w:p w14:paraId="2B8B20C6" w14:textId="77777777" w:rsidR="002958F7" w:rsidRDefault="002958F7" w:rsidP="00C173BC">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cs-CZ"/>
              </w:rPr>
            </w:pPr>
            <w:r>
              <w:rPr>
                <w:rFonts w:ascii="Calibri" w:eastAsia="Times New Roman" w:hAnsi="Calibri" w:cs="Times New Roman"/>
                <w:color w:val="000000"/>
                <w:lang w:eastAsia="cs-CZ"/>
              </w:rPr>
              <w:t>197,78</w:t>
            </w:r>
          </w:p>
        </w:tc>
        <w:tc>
          <w:tcPr>
            <w:tcW w:w="674" w:type="pct"/>
            <w:noWrap/>
            <w:hideMark/>
          </w:tcPr>
          <w:p w14:paraId="13751D01" w14:textId="77777777" w:rsidR="002958F7" w:rsidRDefault="002958F7" w:rsidP="00C173BC">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cs-CZ"/>
              </w:rPr>
            </w:pPr>
            <w:r>
              <w:rPr>
                <w:rFonts w:ascii="Calibri" w:eastAsia="Times New Roman" w:hAnsi="Calibri" w:cs="Times New Roman"/>
                <w:color w:val="000000"/>
                <w:lang w:eastAsia="cs-CZ"/>
              </w:rPr>
              <w:t>11,63</w:t>
            </w:r>
          </w:p>
        </w:tc>
        <w:tc>
          <w:tcPr>
            <w:tcW w:w="899" w:type="pct"/>
            <w:noWrap/>
            <w:hideMark/>
          </w:tcPr>
          <w:p w14:paraId="0EE6775F" w14:textId="77777777" w:rsidR="002958F7" w:rsidRDefault="002958F7" w:rsidP="00C173BC">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cs-CZ"/>
              </w:rPr>
            </w:pPr>
            <w:r>
              <w:rPr>
                <w:rFonts w:ascii="Calibri" w:eastAsia="Times New Roman" w:hAnsi="Calibri" w:cs="Times New Roman"/>
                <w:color w:val="000000"/>
                <w:lang w:eastAsia="cs-CZ"/>
              </w:rPr>
              <w:t>15,17</w:t>
            </w:r>
          </w:p>
        </w:tc>
        <w:tc>
          <w:tcPr>
            <w:tcW w:w="557" w:type="pct"/>
            <w:gridSpan w:val="2"/>
            <w:noWrap/>
            <w:hideMark/>
          </w:tcPr>
          <w:p w14:paraId="3A7E4058" w14:textId="77777777" w:rsidR="002958F7" w:rsidRDefault="002958F7" w:rsidP="00C173BC">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cs-CZ"/>
              </w:rPr>
            </w:pPr>
            <w:r>
              <w:rPr>
                <w:rFonts w:ascii="Calibri" w:eastAsia="Times New Roman" w:hAnsi="Calibri" w:cs="Times New Roman"/>
                <w:color w:val="000000"/>
                <w:lang w:eastAsia="cs-CZ"/>
              </w:rPr>
              <w:t>150,07</w:t>
            </w:r>
          </w:p>
        </w:tc>
        <w:tc>
          <w:tcPr>
            <w:tcW w:w="636" w:type="pct"/>
            <w:noWrap/>
            <w:hideMark/>
          </w:tcPr>
          <w:p w14:paraId="187738BA" w14:textId="77777777" w:rsidR="002958F7" w:rsidRDefault="002958F7" w:rsidP="00C173BC">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cs-CZ"/>
              </w:rPr>
            </w:pPr>
            <w:r>
              <w:rPr>
                <w:rFonts w:ascii="Calibri" w:eastAsia="Times New Roman" w:hAnsi="Calibri" w:cs="Times New Roman"/>
                <w:color w:val="000000"/>
                <w:lang w:eastAsia="cs-CZ"/>
              </w:rPr>
              <w:t>18,66</w:t>
            </w:r>
          </w:p>
        </w:tc>
        <w:tc>
          <w:tcPr>
            <w:tcW w:w="793" w:type="pct"/>
            <w:noWrap/>
            <w:hideMark/>
          </w:tcPr>
          <w:p w14:paraId="30C7F95C" w14:textId="77777777" w:rsidR="002958F7" w:rsidRDefault="002958F7" w:rsidP="00C173BC">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cs-CZ"/>
              </w:rPr>
            </w:pPr>
            <w:r>
              <w:rPr>
                <w:rFonts w:ascii="Calibri" w:eastAsia="Times New Roman" w:hAnsi="Calibri" w:cs="Times New Roman"/>
                <w:color w:val="000000"/>
                <w:lang w:eastAsia="cs-CZ"/>
              </w:rPr>
              <w:t>23,99</w:t>
            </w:r>
          </w:p>
        </w:tc>
      </w:tr>
      <w:tr w:rsidR="002958F7" w14:paraId="556F04B1" w14:textId="77777777" w:rsidTr="00A5209F">
        <w:trPr>
          <w:gridAfter w:val="1"/>
          <w:wAfter w:w="8" w:type="pct"/>
          <w:trHeight w:val="288"/>
        </w:trPr>
        <w:tc>
          <w:tcPr>
            <w:cnfStyle w:val="001000000000" w:firstRow="0" w:lastRow="0" w:firstColumn="1" w:lastColumn="0" w:oddVBand="0" w:evenVBand="0" w:oddHBand="0" w:evenHBand="0" w:firstRowFirstColumn="0" w:firstRowLastColumn="0" w:lastRowFirstColumn="0" w:lastRowLastColumn="0"/>
            <w:tcW w:w="713" w:type="pct"/>
            <w:noWrap/>
            <w:hideMark/>
          </w:tcPr>
          <w:p w14:paraId="1BD0F66A" w14:textId="77777777" w:rsidR="002958F7" w:rsidRDefault="002958F7" w:rsidP="00C173BC">
            <w:pPr>
              <w:spacing w:after="0"/>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2018</w:t>
            </w:r>
          </w:p>
        </w:tc>
        <w:tc>
          <w:tcPr>
            <w:tcW w:w="721" w:type="pct"/>
            <w:noWrap/>
            <w:hideMark/>
          </w:tcPr>
          <w:p w14:paraId="3A8A0991" w14:textId="77777777" w:rsidR="002958F7" w:rsidRDefault="002958F7" w:rsidP="00C173BC">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cs-CZ"/>
              </w:rPr>
            </w:pPr>
            <w:r>
              <w:rPr>
                <w:rFonts w:ascii="Calibri" w:eastAsia="Times New Roman" w:hAnsi="Calibri" w:cs="Times New Roman"/>
                <w:color w:val="000000"/>
                <w:lang w:eastAsia="cs-CZ"/>
              </w:rPr>
              <w:t>211,06</w:t>
            </w:r>
          </w:p>
        </w:tc>
        <w:tc>
          <w:tcPr>
            <w:tcW w:w="674" w:type="pct"/>
            <w:noWrap/>
            <w:hideMark/>
          </w:tcPr>
          <w:p w14:paraId="5C9DCDF9" w14:textId="77777777" w:rsidR="002958F7" w:rsidRDefault="002958F7" w:rsidP="00C173BC">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cs-CZ"/>
              </w:rPr>
            </w:pPr>
            <w:r>
              <w:rPr>
                <w:rFonts w:ascii="Calibri" w:eastAsia="Times New Roman" w:hAnsi="Calibri" w:cs="Times New Roman"/>
                <w:color w:val="000000"/>
                <w:lang w:eastAsia="cs-CZ"/>
              </w:rPr>
              <w:t>8,53</w:t>
            </w:r>
          </w:p>
        </w:tc>
        <w:tc>
          <w:tcPr>
            <w:tcW w:w="899" w:type="pct"/>
            <w:noWrap/>
            <w:hideMark/>
          </w:tcPr>
          <w:p w14:paraId="2CF3C28B" w14:textId="77777777" w:rsidR="002958F7" w:rsidRDefault="002958F7" w:rsidP="00C173BC">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cs-CZ"/>
              </w:rPr>
            </w:pPr>
            <w:r>
              <w:rPr>
                <w:rFonts w:ascii="Calibri" w:eastAsia="Times New Roman" w:hAnsi="Calibri" w:cs="Times New Roman"/>
                <w:color w:val="000000"/>
                <w:lang w:eastAsia="cs-CZ"/>
              </w:rPr>
              <w:t>11,84</w:t>
            </w:r>
          </w:p>
        </w:tc>
        <w:tc>
          <w:tcPr>
            <w:tcW w:w="557" w:type="pct"/>
            <w:gridSpan w:val="2"/>
            <w:noWrap/>
            <w:hideMark/>
          </w:tcPr>
          <w:p w14:paraId="1E7B165B" w14:textId="77777777" w:rsidR="002958F7" w:rsidRDefault="002958F7" w:rsidP="00C173BC">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cs-CZ"/>
              </w:rPr>
            </w:pPr>
            <w:r>
              <w:rPr>
                <w:rFonts w:ascii="Calibri" w:eastAsia="Times New Roman" w:hAnsi="Calibri" w:cs="Times New Roman"/>
                <w:color w:val="000000"/>
                <w:lang w:eastAsia="cs-CZ"/>
              </w:rPr>
              <w:t>160,97</w:t>
            </w:r>
          </w:p>
        </w:tc>
        <w:tc>
          <w:tcPr>
            <w:tcW w:w="636" w:type="pct"/>
            <w:noWrap/>
            <w:hideMark/>
          </w:tcPr>
          <w:p w14:paraId="73155BF3" w14:textId="77777777" w:rsidR="002958F7" w:rsidRDefault="002958F7" w:rsidP="00C173BC">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cs-CZ"/>
              </w:rPr>
            </w:pPr>
            <w:r>
              <w:rPr>
                <w:rFonts w:ascii="Calibri" w:eastAsia="Times New Roman" w:hAnsi="Calibri" w:cs="Times New Roman"/>
                <w:color w:val="000000"/>
                <w:lang w:eastAsia="cs-CZ"/>
              </w:rPr>
              <w:t>16,15</w:t>
            </w:r>
          </w:p>
        </w:tc>
        <w:tc>
          <w:tcPr>
            <w:tcW w:w="793" w:type="pct"/>
            <w:noWrap/>
            <w:hideMark/>
          </w:tcPr>
          <w:p w14:paraId="157570A4" w14:textId="77777777" w:rsidR="002958F7" w:rsidRDefault="002958F7" w:rsidP="00C173BC">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cs-CZ"/>
              </w:rPr>
            </w:pPr>
            <w:r>
              <w:rPr>
                <w:rFonts w:ascii="Calibri" w:eastAsia="Times New Roman" w:hAnsi="Calibri" w:cs="Times New Roman"/>
                <w:color w:val="000000"/>
                <w:lang w:eastAsia="cs-CZ"/>
              </w:rPr>
              <w:t>23,61</w:t>
            </w:r>
          </w:p>
        </w:tc>
      </w:tr>
      <w:tr w:rsidR="002958F7" w14:paraId="3131536F" w14:textId="77777777" w:rsidTr="00A5209F">
        <w:trPr>
          <w:gridAfter w:val="1"/>
          <w:cnfStyle w:val="000000100000" w:firstRow="0" w:lastRow="0" w:firstColumn="0" w:lastColumn="0" w:oddVBand="0" w:evenVBand="0" w:oddHBand="1" w:evenHBand="0" w:firstRowFirstColumn="0" w:firstRowLastColumn="0" w:lastRowFirstColumn="0" w:lastRowLastColumn="0"/>
          <w:wAfter w:w="8" w:type="pct"/>
          <w:trHeight w:val="288"/>
        </w:trPr>
        <w:tc>
          <w:tcPr>
            <w:cnfStyle w:val="001000000000" w:firstRow="0" w:lastRow="0" w:firstColumn="1" w:lastColumn="0" w:oddVBand="0" w:evenVBand="0" w:oddHBand="0" w:evenHBand="0" w:firstRowFirstColumn="0" w:firstRowLastColumn="0" w:lastRowFirstColumn="0" w:lastRowLastColumn="0"/>
            <w:tcW w:w="713" w:type="pct"/>
            <w:noWrap/>
            <w:hideMark/>
          </w:tcPr>
          <w:p w14:paraId="1F13CE39" w14:textId="77777777" w:rsidR="002958F7" w:rsidRDefault="002958F7" w:rsidP="00C173BC">
            <w:pPr>
              <w:spacing w:after="0"/>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1.p. 2019</w:t>
            </w:r>
          </w:p>
        </w:tc>
        <w:tc>
          <w:tcPr>
            <w:tcW w:w="721" w:type="pct"/>
            <w:noWrap/>
            <w:hideMark/>
          </w:tcPr>
          <w:p w14:paraId="55DB24F7" w14:textId="77777777" w:rsidR="002958F7" w:rsidRDefault="002958F7" w:rsidP="00C173BC">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cs-CZ"/>
              </w:rPr>
            </w:pPr>
            <w:r>
              <w:rPr>
                <w:rFonts w:ascii="Calibri" w:eastAsia="Times New Roman" w:hAnsi="Calibri" w:cs="Times New Roman"/>
                <w:color w:val="000000"/>
                <w:lang w:eastAsia="cs-CZ"/>
              </w:rPr>
              <w:t>208,50</w:t>
            </w:r>
          </w:p>
        </w:tc>
        <w:tc>
          <w:tcPr>
            <w:tcW w:w="674" w:type="pct"/>
            <w:noWrap/>
            <w:hideMark/>
          </w:tcPr>
          <w:p w14:paraId="532603C7" w14:textId="77777777" w:rsidR="002958F7" w:rsidRDefault="002958F7" w:rsidP="00C173BC">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cs-CZ"/>
              </w:rPr>
            </w:pPr>
            <w:r>
              <w:rPr>
                <w:rFonts w:ascii="Calibri" w:eastAsia="Times New Roman" w:hAnsi="Calibri" w:cs="Times New Roman"/>
                <w:color w:val="000000"/>
                <w:lang w:eastAsia="cs-CZ"/>
              </w:rPr>
              <w:t>4,80</w:t>
            </w:r>
          </w:p>
        </w:tc>
        <w:tc>
          <w:tcPr>
            <w:tcW w:w="899" w:type="pct"/>
            <w:noWrap/>
            <w:hideMark/>
          </w:tcPr>
          <w:p w14:paraId="746BC048" w14:textId="77777777" w:rsidR="002958F7" w:rsidRDefault="002958F7" w:rsidP="00C173BC">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cs-CZ"/>
              </w:rPr>
            </w:pPr>
            <w:r>
              <w:rPr>
                <w:rFonts w:ascii="Calibri" w:eastAsia="Times New Roman" w:hAnsi="Calibri" w:cs="Times New Roman"/>
                <w:color w:val="000000"/>
                <w:lang w:eastAsia="cs-CZ"/>
              </w:rPr>
              <w:t>8,63</w:t>
            </w:r>
          </w:p>
        </w:tc>
        <w:tc>
          <w:tcPr>
            <w:tcW w:w="557" w:type="pct"/>
            <w:gridSpan w:val="2"/>
            <w:noWrap/>
            <w:hideMark/>
          </w:tcPr>
          <w:p w14:paraId="64BC85F0" w14:textId="77777777" w:rsidR="002958F7" w:rsidRDefault="002958F7" w:rsidP="00C173BC">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cs-CZ"/>
              </w:rPr>
            </w:pPr>
            <w:r>
              <w:rPr>
                <w:rFonts w:ascii="Calibri" w:eastAsia="Times New Roman" w:hAnsi="Calibri" w:cs="Times New Roman"/>
                <w:color w:val="000000"/>
                <w:lang w:eastAsia="cs-CZ"/>
              </w:rPr>
              <w:t>166,80</w:t>
            </w:r>
          </w:p>
        </w:tc>
        <w:tc>
          <w:tcPr>
            <w:tcW w:w="636" w:type="pct"/>
            <w:noWrap/>
            <w:hideMark/>
          </w:tcPr>
          <w:p w14:paraId="2F6B24BA" w14:textId="77777777" w:rsidR="002958F7" w:rsidRDefault="002958F7" w:rsidP="00C173BC">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cs-CZ"/>
              </w:rPr>
            </w:pPr>
            <w:r>
              <w:rPr>
                <w:rFonts w:ascii="Calibri" w:eastAsia="Times New Roman" w:hAnsi="Calibri" w:cs="Times New Roman"/>
                <w:color w:val="000000"/>
                <w:lang w:eastAsia="cs-CZ"/>
              </w:rPr>
              <w:t>18,59</w:t>
            </w:r>
          </w:p>
        </w:tc>
        <w:tc>
          <w:tcPr>
            <w:tcW w:w="793" w:type="pct"/>
            <w:noWrap/>
            <w:hideMark/>
          </w:tcPr>
          <w:p w14:paraId="3C6CB38F" w14:textId="77777777" w:rsidR="002958F7" w:rsidRDefault="002958F7" w:rsidP="00C173BC">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cs-CZ"/>
              </w:rPr>
            </w:pPr>
            <w:r>
              <w:rPr>
                <w:rFonts w:ascii="Calibri" w:eastAsia="Times New Roman" w:hAnsi="Calibri" w:cs="Times New Roman"/>
                <w:color w:val="000000"/>
                <w:lang w:eastAsia="cs-CZ"/>
              </w:rPr>
              <w:t>23,38</w:t>
            </w:r>
          </w:p>
        </w:tc>
      </w:tr>
      <w:bookmarkEnd w:id="143"/>
      <w:tr w:rsidR="00A5209F" w14:paraId="394448CD" w14:textId="77777777" w:rsidTr="00A5209F">
        <w:trPr>
          <w:gridAfter w:val="1"/>
          <w:wAfter w:w="8" w:type="pct"/>
          <w:trHeight w:val="288"/>
        </w:trPr>
        <w:tc>
          <w:tcPr>
            <w:cnfStyle w:val="001000000000" w:firstRow="0" w:lastRow="0" w:firstColumn="1" w:lastColumn="0" w:oddVBand="0" w:evenVBand="0" w:oddHBand="0" w:evenHBand="0" w:firstRowFirstColumn="0" w:firstRowLastColumn="0" w:lastRowFirstColumn="0" w:lastRowLastColumn="0"/>
            <w:tcW w:w="713" w:type="pct"/>
            <w:noWrap/>
          </w:tcPr>
          <w:p w14:paraId="4C5AA509" w14:textId="77777777" w:rsidR="00A5209F" w:rsidRDefault="00A5209F" w:rsidP="00A5209F">
            <w:pPr>
              <w:spacing w:after="0"/>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2019</w:t>
            </w:r>
            <w:r>
              <w:rPr>
                <w:rStyle w:val="Znakapoznpodarou"/>
                <w:rFonts w:ascii="Calibri" w:eastAsia="Times New Roman" w:hAnsi="Calibri" w:cs="Times New Roman"/>
                <w:color w:val="000000"/>
                <w:lang w:eastAsia="cs-CZ"/>
              </w:rPr>
              <w:footnoteReference w:id="19"/>
            </w:r>
          </w:p>
        </w:tc>
        <w:tc>
          <w:tcPr>
            <w:tcW w:w="721" w:type="pct"/>
            <w:noWrap/>
          </w:tcPr>
          <w:p w14:paraId="4C7A30B2" w14:textId="77777777" w:rsidR="00A5209F" w:rsidRDefault="00A5209F" w:rsidP="00A5209F">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cs-CZ"/>
              </w:rPr>
            </w:pPr>
          </w:p>
        </w:tc>
        <w:tc>
          <w:tcPr>
            <w:tcW w:w="674" w:type="pct"/>
            <w:noWrap/>
          </w:tcPr>
          <w:p w14:paraId="06AB021F" w14:textId="77777777" w:rsidR="00A5209F" w:rsidRDefault="00A5209F" w:rsidP="00A5209F">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cs-CZ"/>
              </w:rPr>
            </w:pPr>
            <w:r>
              <w:rPr>
                <w:rFonts w:ascii="Calibri" w:eastAsia="Times New Roman" w:hAnsi="Calibri" w:cs="Times New Roman"/>
                <w:color w:val="000000"/>
                <w:lang w:eastAsia="cs-CZ"/>
              </w:rPr>
              <w:t>6,93</w:t>
            </w:r>
          </w:p>
        </w:tc>
        <w:tc>
          <w:tcPr>
            <w:tcW w:w="899" w:type="pct"/>
            <w:noWrap/>
          </w:tcPr>
          <w:p w14:paraId="697D107D" w14:textId="77777777" w:rsidR="00A5209F" w:rsidRDefault="00A5209F" w:rsidP="00A5209F">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cs-CZ"/>
              </w:rPr>
            </w:pPr>
          </w:p>
        </w:tc>
        <w:tc>
          <w:tcPr>
            <w:tcW w:w="557" w:type="pct"/>
            <w:gridSpan w:val="2"/>
            <w:noWrap/>
          </w:tcPr>
          <w:p w14:paraId="7DEE7235" w14:textId="77777777" w:rsidR="00A5209F" w:rsidRDefault="00A5209F" w:rsidP="00A5209F">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cs-CZ"/>
              </w:rPr>
            </w:pPr>
          </w:p>
        </w:tc>
        <w:tc>
          <w:tcPr>
            <w:tcW w:w="636" w:type="pct"/>
            <w:noWrap/>
          </w:tcPr>
          <w:p w14:paraId="3FA0638C" w14:textId="77777777" w:rsidR="00A5209F" w:rsidRDefault="00A5209F" w:rsidP="00A5209F">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cs-CZ"/>
              </w:rPr>
            </w:pPr>
            <w:r>
              <w:rPr>
                <w:rFonts w:ascii="Calibri" w:eastAsia="Times New Roman" w:hAnsi="Calibri" w:cs="Times New Roman"/>
                <w:color w:val="000000"/>
                <w:lang w:eastAsia="cs-CZ"/>
              </w:rPr>
              <w:t>26,96</w:t>
            </w:r>
          </w:p>
        </w:tc>
        <w:tc>
          <w:tcPr>
            <w:tcW w:w="793" w:type="pct"/>
            <w:noWrap/>
          </w:tcPr>
          <w:p w14:paraId="0717DB4A" w14:textId="77777777" w:rsidR="00A5209F" w:rsidRDefault="00A5209F" w:rsidP="00A5209F">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cs-CZ"/>
              </w:rPr>
            </w:pPr>
          </w:p>
        </w:tc>
      </w:tr>
    </w:tbl>
    <w:p w14:paraId="0BA9ACAE" w14:textId="77777777" w:rsidR="002958F7" w:rsidRDefault="002958F7" w:rsidP="002958F7">
      <w:pPr>
        <w:rPr>
          <w:i/>
          <w:iCs/>
        </w:rPr>
      </w:pPr>
      <w:r>
        <w:rPr>
          <w:i/>
          <w:iCs/>
        </w:rPr>
        <w:t>Zdroj: Roční/pololetní zpráva o administrativní kapacitě od r. 2016 do 1. pol. 2019; vlastní výpočty</w:t>
      </w:r>
      <w:bookmarkEnd w:id="142"/>
    </w:p>
    <w:p w14:paraId="07523847" w14:textId="77777777" w:rsidR="002958F7" w:rsidRDefault="002958F7" w:rsidP="002958F7">
      <w:r>
        <w:t xml:space="preserve">Odlišné trendy vývoje fluktuace na MPO a API jsou dány několika </w:t>
      </w:r>
      <w:r w:rsidR="00501948">
        <w:t>faktory – demografickou</w:t>
      </w:r>
      <w:r>
        <w:t xml:space="preserve"> strukturou zaměstnanců a platovými podmínkami. Na API jsou často přijímáni čerství absolventi VŠ, neboť platové ohodnocení, které API může nabídnout, těžko konkuruje nejen soukromému sektoru, </w:t>
      </w:r>
      <w:r w:rsidR="006F1F4B">
        <w:br/>
      </w:r>
      <w:r>
        <w:t>ale i MPO. Zaměstnávání této cílové skupiny s sebou však přináší právě větší fluktuaci – ukončování úvazků ve zkušební době (nalezení lépe finančně ohodnoceného, příp. zajímavějšího pracovního místa), příp. vyšší podíl zaměstnankyň odcházejících na mateřskou dovolenou. Faktorem, který může fluktuaci také ovlivňovat je náročnost, resp. nárazovost práce na API v závislosti na vyhlašování výzev.</w:t>
      </w:r>
    </w:p>
    <w:p w14:paraId="78459D95" w14:textId="77777777" w:rsidR="002958F7" w:rsidRDefault="002958F7" w:rsidP="002958F7">
      <w:r>
        <w:t xml:space="preserve">Oproti tomu převažují na MPO starší, zkušenější zaměstnanci, kteří již mají rodiny a mají menší tendence k časté změně zaměstnání. Navíc finanční ohodnocení pracovníků na MPO je nadprůměrné a pracovní místo poměrně stabilní. I z tohoto důvodu nebylo na MPO v posledních letech nutné činit opatření ke snížení fluktuace zaměstnanců. Jako faktor vedoucí ke snížení fluktuace na MPO po roce 2017 </w:t>
      </w:r>
      <w:bookmarkStart w:id="144" w:name="_Hlk46245379"/>
      <w:r>
        <w:t>byla identifikována změna na pozici klíčových vedoucích pracovníků MPO.</w:t>
      </w:r>
      <w:bookmarkEnd w:id="144"/>
    </w:p>
    <w:p w14:paraId="21BB5A43" w14:textId="77777777" w:rsidR="002958F7" w:rsidRDefault="002958F7" w:rsidP="002958F7">
      <w:r>
        <w:t>V případě API byla v letech 2017-2018 přijímána opatření vedoucí ke stabilizaci zaměstnanců:</w:t>
      </w:r>
    </w:p>
    <w:p w14:paraId="2B827D01" w14:textId="295DF793" w:rsidR="002958F7" w:rsidRDefault="002958F7" w:rsidP="002958F7">
      <w:pPr>
        <w:pStyle w:val="Odstavecseseznamem"/>
        <w:numPr>
          <w:ilvl w:val="0"/>
          <w:numId w:val="21"/>
        </w:numPr>
        <w:spacing w:after="160" w:line="256" w:lineRule="auto"/>
        <w:jc w:val="left"/>
      </w:pPr>
      <w:bookmarkStart w:id="145" w:name="_Hlk46245478"/>
      <w:r>
        <w:t>zvýšení platových tříd v rámci systemizace</w:t>
      </w:r>
      <w:bookmarkEnd w:id="145"/>
      <w:r w:rsidR="006F1F4B">
        <w:t>.</w:t>
      </w:r>
    </w:p>
    <w:p w14:paraId="48025FD6" w14:textId="14EF95BA" w:rsidR="002958F7" w:rsidRDefault="002958F7" w:rsidP="002958F7">
      <w:pPr>
        <w:pStyle w:val="Odstavecseseznamem"/>
        <w:numPr>
          <w:ilvl w:val="0"/>
          <w:numId w:val="21"/>
        </w:numPr>
        <w:spacing w:after="160" w:line="256" w:lineRule="auto"/>
        <w:jc w:val="left"/>
      </w:pPr>
      <w:r>
        <w:t>za účelem zvyšování odborných znalostí a kvalifikace zaměstnanců byla nově nastavena koncepce a proces vzdělávání</w:t>
      </w:r>
      <w:r w:rsidR="006F1F4B">
        <w:t>.</w:t>
      </w:r>
    </w:p>
    <w:p w14:paraId="1E2371BB" w14:textId="464FB372" w:rsidR="002958F7" w:rsidRDefault="002958F7" w:rsidP="002958F7">
      <w:pPr>
        <w:pStyle w:val="Odstavecseseznamem"/>
        <w:numPr>
          <w:ilvl w:val="0"/>
          <w:numId w:val="21"/>
        </w:numPr>
        <w:spacing w:after="160" w:line="256" w:lineRule="auto"/>
        <w:jc w:val="left"/>
      </w:pPr>
      <w:r>
        <w:t>za účelem zvyšování zaměstnaneckých benefitů došlo k rozšíření možností čerpání příspěvků z Fondu kulturních a sociálních potřeb</w:t>
      </w:r>
      <w:r w:rsidR="006F1F4B">
        <w:t>.</w:t>
      </w:r>
    </w:p>
    <w:p w14:paraId="50CED65E" w14:textId="77777777" w:rsidR="002958F7" w:rsidRDefault="002958F7" w:rsidP="002958F7">
      <w:pPr>
        <w:pStyle w:val="Odstavecseseznamem"/>
        <w:numPr>
          <w:ilvl w:val="0"/>
          <w:numId w:val="21"/>
        </w:numPr>
        <w:spacing w:after="160" w:line="256" w:lineRule="auto"/>
        <w:jc w:val="left"/>
      </w:pPr>
      <w:r>
        <w:lastRenderedPageBreak/>
        <w:t>obnova zastaralé a nefunkční výpočetní techniky zaměstnanců, kdy někteří zaměstnanci pracovali na počítačích starých až 10 let. Došlo tak ke zvýšení komfortu pracovních podmínek.</w:t>
      </w:r>
    </w:p>
    <w:p w14:paraId="2A02C046" w14:textId="0116772D" w:rsidR="002958F7" w:rsidRDefault="00A5209F" w:rsidP="002958F7">
      <w:r>
        <w:t xml:space="preserve">Z výše uvedené tabulky je však zřejmé, že tato opatření neměla na stabilizaci zaměstnanců v API zásadní vliv, neboť nedošlo ke snížení míry fluktuace, ale dokonce k jejímu nárůstu. Pokles byl zaznamenán až v 1. pololetí 2020, kdy fluktuace (bez odchodů na MR) činila 18 %. Jako pravděpodobný důvod poklesu fluktuace se jeví pandemie koronaviru a s ní spojená nejistota na trhu práce. </w:t>
      </w:r>
      <w:r w:rsidR="002958F7">
        <w:t>Z výsledků dotazníkového šetření, které jsou detailněji popsány níže, vyplývá, že vzdělávání nebo zaměstnanecké benefity nejsou pro zaměstnance až tak důležité, tj. zlepšení těchto aspektů může lehce oddálit odchod zaměstnance, ale nemůže mu zabránit.</w:t>
      </w:r>
    </w:p>
    <w:p w14:paraId="4696F507" w14:textId="77777777" w:rsidR="002958F7" w:rsidRDefault="002958F7" w:rsidP="002958F7">
      <w:r>
        <w:t xml:space="preserve">Pro získání detailnějších informací ohledně fluktuace zaměstnanců a jejich motivace pro setrvání </w:t>
      </w:r>
      <w:r w:rsidR="006F1F4B">
        <w:br/>
      </w:r>
      <w:r>
        <w:t>na MPO nebo API bylo připraveno dotazníkové šetření, jehož se zúčastnilo 84 zaměstnanců (z toho 58 z MPO a 26 z API). Zastoupeno bylo 19 oddělení MPO a 14 oddělení API. Z důvodu málo četných odpovědí z některých oddělení byly výsledky vyhodnocovány za celé odbory MPO nebo sekce v případě API. Respondenti byli mimo jiné dotazování na to, jaké důvody vedly jejich kolegy k odchodu ze zaměstnání a také na to, jaké důvody by k odchodu vedly je samotné.</w:t>
      </w:r>
    </w:p>
    <w:p w14:paraId="2842DED8" w14:textId="77777777" w:rsidR="002958F7" w:rsidRDefault="002958F7" w:rsidP="002958F7">
      <w:r>
        <w:t xml:space="preserve">Cílem šetření bylo zjistit, s jakými aspekty práce jsou zaměstnanci MPO/API spokojení a jak jsou </w:t>
      </w:r>
      <w:r w:rsidR="006F1F4B">
        <w:br/>
      </w:r>
      <w:r>
        <w:t>pro ně jednotlivé aspekty důležité. Respondenti hodnotili také náročnost své práce a v neposlední řadě také to, z jakých důvodů odešli z MPO/API jejich kolegové a jaké faktory by vedly je samotné k opuštění jejich pracovního místa.</w:t>
      </w:r>
    </w:p>
    <w:p w14:paraId="286BBB05" w14:textId="77777777" w:rsidR="002958F7" w:rsidRDefault="002958F7" w:rsidP="002958F7">
      <w:r>
        <w:t>Dotázaní pracovníci byli z nabízených možností nejvíce spokojeni s fungováním týmu a pracovním kolektivem, který získal průměrnou známku 2,06. Následovala spokojenost s koordinací pracovních činností a vedení týmu (2,15) a obecnou náplní práce (2,18). Na druhém konci žebříčku se objevila spolupráce s dalšími útvary (2,59), technické vybavení (2,80) a flexibilita práce a možnost využití homeoffice (3,22).</w:t>
      </w:r>
    </w:p>
    <w:p w14:paraId="47F26B49" w14:textId="77777777" w:rsidR="002958F7" w:rsidRDefault="002958F7" w:rsidP="002958F7">
      <w:r>
        <w:t>Při srovnání odpovědí respondentů z MPO a API byly vypozorovány určité odlišnosti (vi</w:t>
      </w:r>
      <w:r w:rsidR="00524BC4">
        <w:t>z graf níže</w:t>
      </w:r>
      <w:r>
        <w:t xml:space="preserve">). Zpravidla méně spokojeni jsou respondenti z MPO, jejichž hodnocení je u všech aspektů </w:t>
      </w:r>
      <w:r w:rsidR="006F1F4B">
        <w:br/>
      </w:r>
      <w:r>
        <w:t xml:space="preserve">(mimo aspekt Metodická podpora, odborné vedení činnosti) horší než v případě respondentů z API. Nutno dodat, že u zmíněného aspektu je rozdíl pouze zanedbatelný. Nejvyšší rozdíl v hodnocení je </w:t>
      </w:r>
      <w:r w:rsidR="006F1F4B">
        <w:br/>
      </w:r>
      <w:r>
        <w:t>u aspektů Zaměstnanecké benefity a Flexibilita práce, možnost využití homeoffice, které jsou v případě MPO hůře hodnoceny o 1,09 resp. 1,06.</w:t>
      </w:r>
    </w:p>
    <w:p w14:paraId="3A0A9966" w14:textId="3B66C295" w:rsidR="002958F7" w:rsidRPr="00111509" w:rsidRDefault="002958F7" w:rsidP="002958F7">
      <w:pPr>
        <w:pStyle w:val="Titulek"/>
      </w:pPr>
      <w:bookmarkStart w:id="146" w:name="_Toc50456766"/>
      <w:bookmarkStart w:id="147" w:name="_Hlk46245615"/>
      <w:r w:rsidRPr="00111509">
        <w:lastRenderedPageBreak/>
        <w:t xml:space="preserve">Graf </w:t>
      </w:r>
      <w:r w:rsidR="00C050DB">
        <w:fldChar w:fldCharType="begin"/>
      </w:r>
      <w:r w:rsidR="00C050DB">
        <w:instrText xml:space="preserve"> SEQ Graf \* ARABIC </w:instrText>
      </w:r>
      <w:r w:rsidR="00C050DB">
        <w:fldChar w:fldCharType="separate"/>
      </w:r>
      <w:r w:rsidR="00E96F43">
        <w:rPr>
          <w:noProof/>
        </w:rPr>
        <w:t>6</w:t>
      </w:r>
      <w:r w:rsidR="00C050DB">
        <w:rPr>
          <w:noProof/>
        </w:rPr>
        <w:fldChar w:fldCharType="end"/>
      </w:r>
      <w:r w:rsidRPr="00111509">
        <w:t>: Srovnání spokojenosti se stanovenými aspekty mezi respondenty MPO a API</w:t>
      </w:r>
      <w:bookmarkEnd w:id="146"/>
    </w:p>
    <w:p w14:paraId="43ABBBA4" w14:textId="77777777" w:rsidR="002958F7" w:rsidRDefault="002958F7" w:rsidP="002958F7">
      <w:r>
        <w:rPr>
          <w:noProof/>
          <w:lang w:eastAsia="cs-CZ"/>
        </w:rPr>
        <w:drawing>
          <wp:inline distT="0" distB="0" distL="0" distR="0" wp14:anchorId="4E28F07C" wp14:editId="6A4265F6">
            <wp:extent cx="5539740" cy="3124200"/>
            <wp:effectExtent l="0" t="0" r="3810" b="0"/>
            <wp:docPr id="52" name="Graf 52">
              <a:extLst xmlns:a="http://schemas.openxmlformats.org/drawingml/2006/main">
                <a:ext uri="{FF2B5EF4-FFF2-40B4-BE49-F238E27FC236}">
                  <a16:creationId xmlns:a16="http://schemas.microsoft.com/office/drawing/2014/main" id="{265FD35D-288A-44D8-928E-6AAE447F82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E4A5766" w14:textId="77777777" w:rsidR="002958F7" w:rsidRDefault="002958F7" w:rsidP="002958F7">
      <w:pPr>
        <w:rPr>
          <w:i/>
          <w:iCs/>
        </w:rPr>
      </w:pPr>
      <w:r>
        <w:rPr>
          <w:i/>
          <w:iCs/>
        </w:rPr>
        <w:t>Zdroj: Vlastní šetření (n = 84)</w:t>
      </w:r>
      <w:bookmarkEnd w:id="147"/>
    </w:p>
    <w:p w14:paraId="7507AF34" w14:textId="77777777" w:rsidR="002958F7" w:rsidRDefault="002958F7" w:rsidP="002958F7">
      <w:r>
        <w:t>V případě MPO stanovené aspekty negativně hodnotí zejména respondenti z odboru 61500, jehož průměrná známka je 3,27, a odbor 61200, jehož průměrná známka dosahuje hodnoty 3,12. Naopak nejspokojenějšími odbory jsou odbory 61000 a 61300, u nichž průměrná známka všech aspektů dosahovala hodnoty 2,35</w:t>
      </w:r>
      <w:r w:rsidR="006F1F4B">
        <w:t xml:space="preserve"> </w:t>
      </w:r>
      <w:r>
        <w:t>-</w:t>
      </w:r>
      <w:r w:rsidR="006F1F4B">
        <w:t xml:space="preserve"> </w:t>
      </w:r>
      <w:r>
        <w:t>2,38. V rámci API byly nejméně spokojenými sekcemi ty, které zajišťují administraci žádostí o dotaci a kontrolu projektů z jednotlivých programů, tj. Sekce konkurenceschopnosti a Sekce rozvoj podnikatelského prostředí. Hodnoty průměrných známek těchto sekcí byly shodné s průměrnými známkami nejvíce spokojených odborů na MPO.</w:t>
      </w:r>
    </w:p>
    <w:p w14:paraId="42D96536" w14:textId="77777777" w:rsidR="002958F7" w:rsidRDefault="002958F7" w:rsidP="002958F7">
      <w:r>
        <w:t xml:space="preserve">Pro respondenty je nejdůležitějším aspektem Fungování týmu, pracovní kolektiv (průměrná známka 1,42) a Finanční ohodnocení (1,60). Nejméně důležitým aspektem je Vzdělávání (2,21) </w:t>
      </w:r>
      <w:r w:rsidR="006F1F4B">
        <w:br/>
      </w:r>
      <w:r>
        <w:t xml:space="preserve">a Zaměstnanecké benefity (2,06). Dá se tedy říci, že všechny stanovené aspekty jsou pro většinu respondentů důležitými, neboť žádný z aspektů se nepřibližuje průměrné hodnotě 3,00. </w:t>
      </w:r>
    </w:p>
    <w:p w14:paraId="290CA442" w14:textId="77777777" w:rsidR="002958F7" w:rsidRDefault="002958F7" w:rsidP="002958F7">
      <w:r>
        <w:t>Zatímco mezi respondenty z API je jediným aspektem s vyšší důležitostí než 1,50 (konkrétně 1,38) aspekt Fungování týmu, v případě MPO respondenti připisují podobný význam i aspektu Finanční ohodnocení, který dosahuje hodnoty 1,44 (viz</w:t>
      </w:r>
      <w:r w:rsidR="00524BC4">
        <w:t xml:space="preserve"> graf níže</w:t>
      </w:r>
      <w:r>
        <w:t>). Tento aspekt je zároveň tím s největším rozdílem mezi respondenty MPO a API, konkrétně o 0,52. I přesto že mezi respondenty MPO je tento aspekt tím druhým nejdůležitějším, pro respondenty API je až na sedmém místě.</w:t>
      </w:r>
    </w:p>
    <w:p w14:paraId="65063112" w14:textId="6057624D" w:rsidR="002958F7" w:rsidRPr="00111509" w:rsidRDefault="002958F7" w:rsidP="002958F7">
      <w:pPr>
        <w:pStyle w:val="Titulek"/>
      </w:pPr>
      <w:bookmarkStart w:id="148" w:name="_Toc50456767"/>
      <w:r w:rsidRPr="00111509">
        <w:lastRenderedPageBreak/>
        <w:t xml:space="preserve">Graf </w:t>
      </w:r>
      <w:r w:rsidR="00C050DB">
        <w:fldChar w:fldCharType="begin"/>
      </w:r>
      <w:r w:rsidR="00C050DB">
        <w:instrText xml:space="preserve"> SEQ Graf \* ARABIC </w:instrText>
      </w:r>
      <w:r w:rsidR="00C050DB">
        <w:fldChar w:fldCharType="separate"/>
      </w:r>
      <w:r w:rsidR="00E96F43">
        <w:rPr>
          <w:noProof/>
        </w:rPr>
        <w:t>7</w:t>
      </w:r>
      <w:r w:rsidR="00C050DB">
        <w:rPr>
          <w:noProof/>
        </w:rPr>
        <w:fldChar w:fldCharType="end"/>
      </w:r>
      <w:r w:rsidRPr="00111509">
        <w:t>: Srovnání důležitosti stanovených aspektů mezi respondenty MPO a API</w:t>
      </w:r>
      <w:bookmarkEnd w:id="148"/>
    </w:p>
    <w:p w14:paraId="3995691D" w14:textId="77777777" w:rsidR="002958F7" w:rsidRDefault="002958F7" w:rsidP="002958F7">
      <w:r>
        <w:rPr>
          <w:noProof/>
          <w:lang w:eastAsia="cs-CZ"/>
        </w:rPr>
        <w:drawing>
          <wp:inline distT="0" distB="0" distL="0" distR="0" wp14:anchorId="4A4A5938" wp14:editId="104E8BE0">
            <wp:extent cx="5775960" cy="3611880"/>
            <wp:effectExtent l="0" t="0" r="15240" b="7620"/>
            <wp:docPr id="53" name="Graf 53">
              <a:extLst xmlns:a="http://schemas.openxmlformats.org/drawingml/2006/main">
                <a:ext uri="{FF2B5EF4-FFF2-40B4-BE49-F238E27FC236}">
                  <a16:creationId xmlns:a16="http://schemas.microsoft.com/office/drawing/2014/main" id="{2BCA9AFB-4140-4D2D-801B-0422DEABA4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3EE54C1" w14:textId="77777777" w:rsidR="002958F7" w:rsidRDefault="002958F7" w:rsidP="002958F7">
      <w:pPr>
        <w:rPr>
          <w:i/>
          <w:iCs/>
        </w:rPr>
      </w:pPr>
      <w:r>
        <w:rPr>
          <w:i/>
          <w:iCs/>
        </w:rPr>
        <w:t>Zdroj: Vlastní šetření (n = 84)</w:t>
      </w:r>
    </w:p>
    <w:p w14:paraId="59363412" w14:textId="77777777" w:rsidR="002958F7" w:rsidRDefault="002958F7" w:rsidP="002958F7">
      <w:r>
        <w:t xml:space="preserve">Korelační koeficienty ukazující závislost mezi spokojeností se stanovenými aspekty a jejich důležitostí pro respondenty ukázaly slabou pozitivní závislost, konkrétně 0,35. To znamená, že respondenti jsou spíše spokojenější s aspekty, které jsou pro ně nejvíce </w:t>
      </w:r>
      <w:r w:rsidR="003C6159">
        <w:t>důležité,</w:t>
      </w:r>
      <w:r>
        <w:t xml:space="preserve"> a naopak byli nejméně spokojení s aspekty, které pro ně tolik důležité nejsou. </w:t>
      </w:r>
    </w:p>
    <w:p w14:paraId="0F788D14" w14:textId="77777777" w:rsidR="002958F7" w:rsidRDefault="002958F7" w:rsidP="002958F7">
      <w:r>
        <w:t xml:space="preserve">Respondenti považují svou práci za náročnou (viz </w:t>
      </w:r>
      <w:r w:rsidR="003C6159">
        <w:t>graf níže</w:t>
      </w:r>
      <w:r>
        <w:t>). Jako Rozhodně náročnou nebo Spíše náročnou označily svou práci více než dvě třetiny respondentů, naopak jako nenáročnou ji neoznačil nikdo. Rozdíly odpovědí mezi zaměstnanci MPO a API nejsou příliš signifikantní.</w:t>
      </w:r>
    </w:p>
    <w:p w14:paraId="1EC8F961" w14:textId="27064304" w:rsidR="002958F7" w:rsidRPr="00111509" w:rsidRDefault="002958F7" w:rsidP="002958F7">
      <w:pPr>
        <w:pStyle w:val="Titulek"/>
      </w:pPr>
      <w:bookmarkStart w:id="149" w:name="_Toc50456768"/>
      <w:bookmarkStart w:id="150" w:name="_Hlk46245849"/>
      <w:r w:rsidRPr="00111509">
        <w:t xml:space="preserve">Graf </w:t>
      </w:r>
      <w:r w:rsidR="00C050DB">
        <w:fldChar w:fldCharType="begin"/>
      </w:r>
      <w:r w:rsidR="00C050DB">
        <w:instrText xml:space="preserve"> SEQ Graf \* ARABIC </w:instrText>
      </w:r>
      <w:r w:rsidR="00C050DB">
        <w:fldChar w:fldCharType="separate"/>
      </w:r>
      <w:r w:rsidR="00E96F43">
        <w:rPr>
          <w:noProof/>
        </w:rPr>
        <w:t>8</w:t>
      </w:r>
      <w:r w:rsidR="00C050DB">
        <w:rPr>
          <w:noProof/>
        </w:rPr>
        <w:fldChar w:fldCharType="end"/>
      </w:r>
      <w:r w:rsidRPr="00111509">
        <w:t>: Hodnocení náročnosti práce</w:t>
      </w:r>
      <w:bookmarkEnd w:id="149"/>
    </w:p>
    <w:p w14:paraId="1F13D229" w14:textId="77777777" w:rsidR="002958F7" w:rsidRDefault="002958F7" w:rsidP="002958F7">
      <w:r>
        <w:rPr>
          <w:noProof/>
          <w:lang w:eastAsia="cs-CZ"/>
        </w:rPr>
        <w:drawing>
          <wp:inline distT="0" distB="0" distL="0" distR="0" wp14:anchorId="37FD44C8" wp14:editId="3058CD5E">
            <wp:extent cx="5280660" cy="2110740"/>
            <wp:effectExtent l="0" t="0" r="15240" b="3810"/>
            <wp:docPr id="54" name="Graf 54">
              <a:extLst xmlns:a="http://schemas.openxmlformats.org/drawingml/2006/main">
                <a:ext uri="{FF2B5EF4-FFF2-40B4-BE49-F238E27FC236}">
                  <a16:creationId xmlns:a16="http://schemas.microsoft.com/office/drawing/2014/main" id="{49FFD7D9-C260-42FF-A1D5-CEA1460654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6723327" w14:textId="77777777" w:rsidR="002958F7" w:rsidRDefault="002958F7" w:rsidP="002958F7">
      <w:pPr>
        <w:rPr>
          <w:i/>
          <w:iCs/>
        </w:rPr>
      </w:pPr>
      <w:r>
        <w:rPr>
          <w:i/>
          <w:iCs/>
        </w:rPr>
        <w:t>Zdroj: Vlastní šetření (n = 83)</w:t>
      </w:r>
      <w:bookmarkEnd w:id="150"/>
    </w:p>
    <w:p w14:paraId="76214B36" w14:textId="77777777" w:rsidR="002958F7" w:rsidRDefault="002958F7" w:rsidP="002958F7">
      <w:r>
        <w:lastRenderedPageBreak/>
        <w:t xml:space="preserve">Při pohledu na jednotlivé odbory a sekce lze pozorovat nepatrné odlišnosti hodnocení náročnosti </w:t>
      </w:r>
      <w:r w:rsidR="006F1F4B">
        <w:br/>
      </w:r>
      <w:r>
        <w:t>(vi</w:t>
      </w:r>
      <w:r w:rsidR="00524BC4">
        <w:t>z grafy níže</w:t>
      </w:r>
      <w:r>
        <w:t xml:space="preserve">). Zatímco v případě MPO respondenti z oddělení 61300 pouze uvedli, že je jejich práce rozhodně náročná či spíše náročná, v případ odboru 61500 dominuje odpověď Ani náročná, </w:t>
      </w:r>
      <w:r w:rsidR="006F1F4B">
        <w:br/>
      </w:r>
      <w:r>
        <w:t xml:space="preserve">ani nenáročná. Podobný rozdíl lze pozorovat i u sekcí API. Odpověď Ani náročná, ani nenáročná dominuje v Sekci konkurenceschopnosti. </w:t>
      </w:r>
    </w:p>
    <w:p w14:paraId="764F53F8" w14:textId="23B7EF82" w:rsidR="002958F7" w:rsidRPr="00111509" w:rsidRDefault="002958F7" w:rsidP="002958F7">
      <w:pPr>
        <w:pStyle w:val="Titulek"/>
        <w:jc w:val="left"/>
      </w:pPr>
      <w:bookmarkStart w:id="151" w:name="_Toc50456769"/>
      <w:r w:rsidRPr="00111509">
        <w:t xml:space="preserve">Graf </w:t>
      </w:r>
      <w:r w:rsidR="00C050DB">
        <w:fldChar w:fldCharType="begin"/>
      </w:r>
      <w:r w:rsidR="00C050DB">
        <w:instrText xml:space="preserve"> SEQ Graf \* ARABIC </w:instrText>
      </w:r>
      <w:r w:rsidR="00C050DB">
        <w:fldChar w:fldCharType="separate"/>
      </w:r>
      <w:r w:rsidR="00E96F43">
        <w:rPr>
          <w:noProof/>
        </w:rPr>
        <w:t>9</w:t>
      </w:r>
      <w:r w:rsidR="00C050DB">
        <w:rPr>
          <w:noProof/>
        </w:rPr>
        <w:fldChar w:fldCharType="end"/>
      </w:r>
      <w:r w:rsidRPr="00111509">
        <w:t>: Vnímání náročnosti práce v rámci MPO</w:t>
      </w:r>
      <w:bookmarkEnd w:id="151"/>
    </w:p>
    <w:p w14:paraId="5C554CF3" w14:textId="77777777" w:rsidR="002958F7" w:rsidRDefault="002958F7" w:rsidP="002958F7">
      <w:r>
        <w:rPr>
          <w:noProof/>
          <w:lang w:eastAsia="cs-CZ"/>
        </w:rPr>
        <w:drawing>
          <wp:inline distT="0" distB="0" distL="0" distR="0" wp14:anchorId="010851E6" wp14:editId="59CB6371">
            <wp:extent cx="5768340" cy="2087880"/>
            <wp:effectExtent l="0" t="0" r="3810" b="7620"/>
            <wp:docPr id="55" name="Graf 55">
              <a:extLst xmlns:a="http://schemas.openxmlformats.org/drawingml/2006/main">
                <a:ext uri="{FF2B5EF4-FFF2-40B4-BE49-F238E27FC236}">
                  <a16:creationId xmlns:a16="http://schemas.microsoft.com/office/drawing/2014/main" id="{56D9F7C8-712C-4EEE-94F6-3B8F980A33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F75E9DB" w14:textId="77777777" w:rsidR="002958F7" w:rsidRDefault="002958F7" w:rsidP="002958F7">
      <w:pPr>
        <w:rPr>
          <w:i/>
          <w:iCs/>
        </w:rPr>
      </w:pPr>
      <w:r>
        <w:rPr>
          <w:i/>
          <w:iCs/>
        </w:rPr>
        <w:t>Zdroj: Vlastní šetření (n = 58)</w:t>
      </w:r>
    </w:p>
    <w:p w14:paraId="79995FC1" w14:textId="28CFD5A1" w:rsidR="002958F7" w:rsidRPr="00111509" w:rsidRDefault="002958F7" w:rsidP="002958F7">
      <w:pPr>
        <w:pStyle w:val="Titulek"/>
        <w:jc w:val="left"/>
      </w:pPr>
      <w:bookmarkStart w:id="152" w:name="_Toc50456770"/>
      <w:r w:rsidRPr="00111509">
        <w:t xml:space="preserve">Graf </w:t>
      </w:r>
      <w:r w:rsidR="00C050DB">
        <w:fldChar w:fldCharType="begin"/>
      </w:r>
      <w:r w:rsidR="00C050DB">
        <w:instrText xml:space="preserve"> SEQ Graf \* ARABIC </w:instrText>
      </w:r>
      <w:r w:rsidR="00C050DB">
        <w:fldChar w:fldCharType="separate"/>
      </w:r>
      <w:r w:rsidR="00E96F43">
        <w:rPr>
          <w:noProof/>
        </w:rPr>
        <w:t>10</w:t>
      </w:r>
      <w:r w:rsidR="00C050DB">
        <w:rPr>
          <w:noProof/>
        </w:rPr>
        <w:fldChar w:fldCharType="end"/>
      </w:r>
      <w:r w:rsidRPr="00111509">
        <w:t>: Vnímání náročnosti práce v rámci API</w:t>
      </w:r>
      <w:bookmarkEnd w:id="152"/>
    </w:p>
    <w:p w14:paraId="0BFB7038" w14:textId="77777777" w:rsidR="002958F7" w:rsidRDefault="002958F7" w:rsidP="002958F7">
      <w:r>
        <w:rPr>
          <w:noProof/>
          <w:lang w:eastAsia="cs-CZ"/>
        </w:rPr>
        <w:drawing>
          <wp:inline distT="0" distB="0" distL="0" distR="0" wp14:anchorId="6003A444" wp14:editId="6AB2CD26">
            <wp:extent cx="5775960" cy="2247900"/>
            <wp:effectExtent l="0" t="0" r="15240" b="0"/>
            <wp:docPr id="56" name="Graf 56">
              <a:extLst xmlns:a="http://schemas.openxmlformats.org/drawingml/2006/main">
                <a:ext uri="{FF2B5EF4-FFF2-40B4-BE49-F238E27FC236}">
                  <a16:creationId xmlns:a16="http://schemas.microsoft.com/office/drawing/2014/main" id="{C65A60E9-7881-4BFB-9664-E43AD598B7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80CC69F" w14:textId="77777777" w:rsidR="002958F7" w:rsidRDefault="002958F7" w:rsidP="002958F7">
      <w:pPr>
        <w:rPr>
          <w:i/>
          <w:iCs/>
        </w:rPr>
      </w:pPr>
      <w:r>
        <w:rPr>
          <w:i/>
          <w:iCs/>
        </w:rPr>
        <w:t>Zdroj: Vlastní šetření (n = 26)</w:t>
      </w:r>
    </w:p>
    <w:p w14:paraId="2D2C9708" w14:textId="77777777" w:rsidR="002958F7" w:rsidRDefault="002958F7" w:rsidP="002958F7">
      <w:r>
        <w:t xml:space="preserve">Časové vytížení dle instituce, ve které respondenti pracují, neprokázala významné odlišnosti. Rozložení odpovědí je pro obě hodnocené instituce srovnatelné, ale dá se říci, že pracovní agenda respondentů API inklinuje k přesčasům více než u respondentů MPO. Respondenti API nicméně hodnotí aspekty práce v průměru lépe než respondenti MPO. Mírně vyšší časová náročnost v této instituci tedy nemá na celkovou spokojenost vliv. Nejčetněji zastoupenou odpovědí se stala odpověď Několikrát za měsíc zmíněná 27krát. Naopak variantu Nikdy zvolili pouze 3 respondenti, </w:t>
      </w:r>
      <w:r w:rsidR="006F1F4B">
        <w:br/>
      </w:r>
      <w:r>
        <w:t xml:space="preserve">a to z různých odborů a sekcí. </w:t>
      </w:r>
    </w:p>
    <w:p w14:paraId="22AADC82" w14:textId="4DF06842" w:rsidR="002958F7" w:rsidRPr="00111509" w:rsidRDefault="002958F7" w:rsidP="002958F7">
      <w:pPr>
        <w:pStyle w:val="Titulek"/>
        <w:jc w:val="left"/>
      </w:pPr>
      <w:bookmarkStart w:id="153" w:name="_Toc50456771"/>
      <w:r w:rsidRPr="00111509">
        <w:lastRenderedPageBreak/>
        <w:t xml:space="preserve">Graf </w:t>
      </w:r>
      <w:r w:rsidR="00C050DB">
        <w:fldChar w:fldCharType="begin"/>
      </w:r>
      <w:r w:rsidR="00C050DB">
        <w:instrText xml:space="preserve"> SEQ Graf \* ARABIC </w:instrText>
      </w:r>
      <w:r w:rsidR="00C050DB">
        <w:fldChar w:fldCharType="separate"/>
      </w:r>
      <w:r w:rsidR="00E96F43">
        <w:rPr>
          <w:noProof/>
        </w:rPr>
        <w:t>11</w:t>
      </w:r>
      <w:r w:rsidR="00C050DB">
        <w:rPr>
          <w:noProof/>
        </w:rPr>
        <w:fldChar w:fldCharType="end"/>
      </w:r>
      <w:r w:rsidRPr="00111509">
        <w:t>: Vnímání časové náročnosti pracovních činností</w:t>
      </w:r>
      <w:bookmarkEnd w:id="153"/>
    </w:p>
    <w:p w14:paraId="0FDA2F76" w14:textId="77777777" w:rsidR="002958F7" w:rsidRDefault="002958F7" w:rsidP="002958F7">
      <w:r>
        <w:rPr>
          <w:noProof/>
          <w:lang w:eastAsia="cs-CZ"/>
        </w:rPr>
        <w:drawing>
          <wp:inline distT="0" distB="0" distL="0" distR="0" wp14:anchorId="4D732617" wp14:editId="6875289B">
            <wp:extent cx="5783580" cy="2446020"/>
            <wp:effectExtent l="0" t="0" r="7620" b="11430"/>
            <wp:docPr id="57" name="Graf 57">
              <a:extLst xmlns:a="http://schemas.openxmlformats.org/drawingml/2006/main">
                <a:ext uri="{FF2B5EF4-FFF2-40B4-BE49-F238E27FC236}">
                  <a16:creationId xmlns:a16="http://schemas.microsoft.com/office/drawing/2014/main" id="{769E1045-3F72-45BC-812B-20D5031DDE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05B793D" w14:textId="77777777" w:rsidR="002958F7" w:rsidRDefault="002958F7" w:rsidP="002958F7">
      <w:pPr>
        <w:rPr>
          <w:i/>
          <w:iCs/>
        </w:rPr>
      </w:pPr>
      <w:r>
        <w:rPr>
          <w:i/>
          <w:iCs/>
        </w:rPr>
        <w:t>Zdroj: Vlastní šetření (n = 83)</w:t>
      </w:r>
    </w:p>
    <w:p w14:paraId="1046FBEB" w14:textId="77777777" w:rsidR="002958F7" w:rsidRDefault="002958F7" w:rsidP="002958F7">
      <w:r>
        <w:t xml:space="preserve">Respondenti významně spojují náročnost pracovní agendy s frekvencí přesčasů. Zatímco respondenti, kteří odpověděli, že je jejich práce Rozhodně náročná, spíše označovali frekvenci přesčasů Téměř neustále či Přibližně jednou týdně. Tyto dvě frekvence byly respondenty zvoleny 14krát </w:t>
      </w:r>
      <w:r w:rsidR="006F1F4B">
        <w:br/>
      </w:r>
      <w:r>
        <w:t xml:space="preserve">z 21 odpovědí. Pro srovnání, respondenti, kteří vnímají svoji práci jako Ani náročnou, ani nenáročnou, volili spíše odpovědi Zcela výjimečně, Několikrát za měsíc či Nikdy (18krát z 23 odpovědí). Frekvence Téměř neustále nebyla touto skupinou respondentů zmíněna ani jednou. Na tomto základě lze tvrdit, že práce přesahující běžný fond pracovní doby může zvýšit pocit náročnosti pracovní agendy </w:t>
      </w:r>
      <w:r w:rsidR="006F1F4B">
        <w:br/>
      </w:r>
      <w:r>
        <w:t xml:space="preserve">a zároveň by mohla v obecné rovině být důsledkem fluktuace zaměstnanců. </w:t>
      </w:r>
    </w:p>
    <w:p w14:paraId="0E3B2949" w14:textId="38325FE9" w:rsidR="002958F7" w:rsidRPr="00111509" w:rsidRDefault="002958F7" w:rsidP="002958F7">
      <w:pPr>
        <w:pStyle w:val="Titulek"/>
        <w:jc w:val="left"/>
      </w:pPr>
      <w:bookmarkStart w:id="154" w:name="_Toc50456772"/>
      <w:r w:rsidRPr="00111509">
        <w:t xml:space="preserve">Graf </w:t>
      </w:r>
      <w:r w:rsidR="00C050DB">
        <w:fldChar w:fldCharType="begin"/>
      </w:r>
      <w:r w:rsidR="00C050DB">
        <w:instrText xml:space="preserve"> SEQ Graf \* ARABIC </w:instrText>
      </w:r>
      <w:r w:rsidR="00C050DB">
        <w:fldChar w:fldCharType="separate"/>
      </w:r>
      <w:r w:rsidR="00E96F43">
        <w:rPr>
          <w:noProof/>
        </w:rPr>
        <w:t>12</w:t>
      </w:r>
      <w:r w:rsidR="00C050DB">
        <w:rPr>
          <w:noProof/>
        </w:rPr>
        <w:fldChar w:fldCharType="end"/>
      </w:r>
      <w:r w:rsidRPr="00111509">
        <w:t>: Vnímání časové náročnosti v závislosti na obecné náročnosti práce</w:t>
      </w:r>
      <w:bookmarkEnd w:id="154"/>
    </w:p>
    <w:p w14:paraId="0EAB90DE" w14:textId="77777777" w:rsidR="002958F7" w:rsidRDefault="002958F7" w:rsidP="002958F7">
      <w:r>
        <w:rPr>
          <w:noProof/>
          <w:lang w:eastAsia="cs-CZ"/>
        </w:rPr>
        <w:drawing>
          <wp:inline distT="0" distB="0" distL="0" distR="0" wp14:anchorId="0765A5D9" wp14:editId="71A3C189">
            <wp:extent cx="5570220" cy="1874520"/>
            <wp:effectExtent l="0" t="0" r="11430" b="11430"/>
            <wp:docPr id="58" name="Graf 58">
              <a:extLst xmlns:a="http://schemas.openxmlformats.org/drawingml/2006/main">
                <a:ext uri="{FF2B5EF4-FFF2-40B4-BE49-F238E27FC236}">
                  <a16:creationId xmlns:a16="http://schemas.microsoft.com/office/drawing/2014/main" id="{F456EF47-6FDE-4779-BF1D-C1980448E8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6E142BA" w14:textId="77777777" w:rsidR="002958F7" w:rsidRDefault="002958F7" w:rsidP="002958F7">
      <w:pPr>
        <w:rPr>
          <w:i/>
          <w:iCs/>
        </w:rPr>
      </w:pPr>
      <w:r>
        <w:rPr>
          <w:i/>
          <w:iCs/>
        </w:rPr>
        <w:t>Zdroj: Vlastní šetření (n = 83)</w:t>
      </w:r>
    </w:p>
    <w:p w14:paraId="6AC9CE9B" w14:textId="77777777" w:rsidR="002958F7" w:rsidRDefault="002958F7" w:rsidP="002958F7">
      <w:r>
        <w:t xml:space="preserve">Přestože svoji pracovní agendu vnímají spíše jako náročnou a musejí pracovat přesčas, výsledky otázky „Jak jste celkově spokojen/a s prací pro implementační strukturu OP PIK?“ prokázaly, </w:t>
      </w:r>
      <w:r w:rsidR="006F1F4B">
        <w:br/>
      </w:r>
      <w:r>
        <w:t>že respondenti jsou zpravidla v práci spokojení, odpovědi inklinují k levé části stanoveného spektra (viz</w:t>
      </w:r>
      <w:r w:rsidR="00524BC4">
        <w:t xml:space="preserve"> graf níže</w:t>
      </w:r>
      <w:r>
        <w:t xml:space="preserve">). Možnost Rozhodně nespokojen využil pouze 1 z respondentů. Nadále platí, že obecně spokojenější jsou respondenti, kteří pracují pro API. Žádný z těchto respondentů v hodnocení spokojenosti nezvolil odpovědi Spíše nespokojen a Rozhodně nespokojen. Pro ilustraci, Spíše </w:t>
      </w:r>
      <w:r w:rsidR="006F1F4B">
        <w:br/>
      </w:r>
      <w:r>
        <w:lastRenderedPageBreak/>
        <w:t xml:space="preserve">či rozhodně spokojeno s prací pro API je celých 80,8 % respondentů, zatímco z respondentů MPO je to 64,9 %. </w:t>
      </w:r>
    </w:p>
    <w:p w14:paraId="5B0805DF" w14:textId="2ADF0CDB" w:rsidR="002958F7" w:rsidRPr="00111509" w:rsidRDefault="002958F7" w:rsidP="002958F7">
      <w:pPr>
        <w:pStyle w:val="Titulek"/>
        <w:jc w:val="left"/>
      </w:pPr>
      <w:bookmarkStart w:id="155" w:name="_Toc50456773"/>
      <w:r w:rsidRPr="00111509">
        <w:t xml:space="preserve">Graf </w:t>
      </w:r>
      <w:r w:rsidR="00C050DB">
        <w:fldChar w:fldCharType="begin"/>
      </w:r>
      <w:r w:rsidR="00C050DB">
        <w:instrText xml:space="preserve"> SEQ Graf \* ARABIC </w:instrText>
      </w:r>
      <w:r w:rsidR="00C050DB">
        <w:fldChar w:fldCharType="separate"/>
      </w:r>
      <w:r w:rsidR="00E96F43">
        <w:rPr>
          <w:noProof/>
        </w:rPr>
        <w:t>13</w:t>
      </w:r>
      <w:r w:rsidR="00C050DB">
        <w:rPr>
          <w:noProof/>
        </w:rPr>
        <w:fldChar w:fldCharType="end"/>
      </w:r>
      <w:r w:rsidRPr="00111509">
        <w:t>: Spokojenost respondentů s prací pro implementační strukturu OP PIK</w:t>
      </w:r>
      <w:bookmarkEnd w:id="155"/>
    </w:p>
    <w:p w14:paraId="5DD615B3" w14:textId="77777777" w:rsidR="002958F7" w:rsidRDefault="002958F7" w:rsidP="002958F7">
      <w:r>
        <w:rPr>
          <w:noProof/>
          <w:lang w:eastAsia="cs-CZ"/>
        </w:rPr>
        <w:drawing>
          <wp:inline distT="0" distB="0" distL="0" distR="0" wp14:anchorId="274A184B" wp14:editId="32448EF2">
            <wp:extent cx="5585460" cy="2606040"/>
            <wp:effectExtent l="0" t="0" r="15240" b="3810"/>
            <wp:docPr id="59" name="Graf 59">
              <a:extLst xmlns:a="http://schemas.openxmlformats.org/drawingml/2006/main">
                <a:ext uri="{FF2B5EF4-FFF2-40B4-BE49-F238E27FC236}">
                  <a16:creationId xmlns:a16="http://schemas.microsoft.com/office/drawing/2014/main" id="{825C7D44-E792-4DCD-A0D0-A7F5F4B568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90B5E1F" w14:textId="77777777" w:rsidR="002958F7" w:rsidRDefault="002958F7" w:rsidP="002958F7">
      <w:pPr>
        <w:rPr>
          <w:i/>
          <w:iCs/>
        </w:rPr>
      </w:pPr>
      <w:r>
        <w:rPr>
          <w:i/>
          <w:iCs/>
        </w:rPr>
        <w:t>Zdroj: Vlastní šetření (n = 83)</w:t>
      </w:r>
    </w:p>
    <w:p w14:paraId="4426D342" w14:textId="77777777" w:rsidR="002958F7" w:rsidRDefault="002958F7" w:rsidP="002958F7">
      <w:r>
        <w:t>Největší podíl respondentů se domnívá, že klíčovým důvodem odchodu zaměstnanců implementační struktury OP PIK je Nedostatečné finanční ohodnocení a zaměstnanecké benefity (viz</w:t>
      </w:r>
      <w:r w:rsidR="00524BC4">
        <w:t xml:space="preserve"> graf níže</w:t>
      </w:r>
      <w:r>
        <w:t xml:space="preserve">). Tento faktor byl uveden ve 20,6 % ze všech 209 odpovědích (respondenti měli možnost uvést více než 1 důvod). Druhým nejčastějším důvodem se stala Obecná nespokojenost s náplní práce s 18,7 %. Mezi respondenty jsou výrazné rozdíly v závislosti na instituci, pro kterou pracují. Pro zaměstnance MPO je spolu s nedostatečným finančním ohodnocením dalším důvodem odchodu z implementační struktury i Nespokojenost s řízením týmu a koordinací činností (oba faktory mají zastoupení shodně 19,7 %). Mezi zaměstnanci API byly jako nejčastější důvody odchodu uváděny Monotónní a stále se opakující činnosti, Obecná nespokojenost s náplní práce a Nedostatečné finanční ohodnocení </w:t>
      </w:r>
      <w:r w:rsidR="006F1F4B">
        <w:br/>
      </w:r>
      <w:r>
        <w:t>a zaměstnanecké benefity. Všechny tyto 3 důvody byly uvedeny shodně 22 % respondentů z API. Zajímavým zjištěním je také skutečnost, že ačkoliv zaměstnanci API častěji pracují přesčas, není vysoký objem práce jedním z hlavních důvodů jejich odchodu ze zaměstnání.</w:t>
      </w:r>
    </w:p>
    <w:p w14:paraId="20835888" w14:textId="77777777" w:rsidR="002958F7" w:rsidRDefault="002958F7" w:rsidP="002958F7">
      <w:r>
        <w:t xml:space="preserve">Respondenti měli v rámci této otázky možnost uvést i jiné důvody odchodu ze zaměstnání. Mezi odpověďmi byla např. nemožnost kariérního růstu, nebo špatná komunikace ze strany vedení API </w:t>
      </w:r>
      <w:r w:rsidR="006F1F4B">
        <w:br/>
      </w:r>
      <w:r>
        <w:t>i MPO.</w:t>
      </w:r>
    </w:p>
    <w:p w14:paraId="69E80CCE" w14:textId="530B887B" w:rsidR="002958F7" w:rsidRPr="00111509" w:rsidRDefault="002958F7" w:rsidP="002958F7">
      <w:pPr>
        <w:pStyle w:val="Titulek"/>
        <w:jc w:val="left"/>
      </w:pPr>
      <w:bookmarkStart w:id="156" w:name="_Toc50456774"/>
      <w:bookmarkStart w:id="157" w:name="_Hlk46246042"/>
      <w:r w:rsidRPr="00111509">
        <w:lastRenderedPageBreak/>
        <w:t xml:space="preserve">Graf </w:t>
      </w:r>
      <w:r w:rsidR="00C050DB">
        <w:fldChar w:fldCharType="begin"/>
      </w:r>
      <w:r w:rsidR="00C050DB">
        <w:instrText xml:space="preserve"> SEQ Graf \* ARABIC </w:instrText>
      </w:r>
      <w:r w:rsidR="00C050DB">
        <w:fldChar w:fldCharType="separate"/>
      </w:r>
      <w:r w:rsidR="00E96F43">
        <w:rPr>
          <w:noProof/>
        </w:rPr>
        <w:t>14</w:t>
      </w:r>
      <w:r w:rsidR="00C050DB">
        <w:rPr>
          <w:noProof/>
        </w:rPr>
        <w:fldChar w:fldCharType="end"/>
      </w:r>
      <w:r w:rsidRPr="00111509">
        <w:t>: Nejčastější důvody fluktuace zaměstnanců</w:t>
      </w:r>
      <w:bookmarkEnd w:id="156"/>
    </w:p>
    <w:p w14:paraId="06402BE8" w14:textId="77777777" w:rsidR="002958F7" w:rsidRDefault="002958F7" w:rsidP="002958F7">
      <w:r>
        <w:rPr>
          <w:noProof/>
          <w:lang w:eastAsia="cs-CZ"/>
        </w:rPr>
        <w:drawing>
          <wp:inline distT="0" distB="0" distL="0" distR="0" wp14:anchorId="781FD331" wp14:editId="0B2C9C3B">
            <wp:extent cx="5570220" cy="3055620"/>
            <wp:effectExtent l="0" t="0" r="11430" b="11430"/>
            <wp:docPr id="60" name="Graf 60">
              <a:extLst xmlns:a="http://schemas.openxmlformats.org/drawingml/2006/main">
                <a:ext uri="{FF2B5EF4-FFF2-40B4-BE49-F238E27FC236}">
                  <a16:creationId xmlns:a16="http://schemas.microsoft.com/office/drawing/2014/main" id="{B8E45F35-3FE0-41B9-A13A-1364FFECB5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6E11A6D" w14:textId="77777777" w:rsidR="002958F7" w:rsidRDefault="002958F7" w:rsidP="002958F7">
      <w:pPr>
        <w:rPr>
          <w:i/>
          <w:iCs/>
        </w:rPr>
      </w:pPr>
      <w:r>
        <w:rPr>
          <w:i/>
          <w:iCs/>
        </w:rPr>
        <w:t>Zdroj: Vlastní šetření (n = 83)</w:t>
      </w:r>
      <w:bookmarkEnd w:id="157"/>
    </w:p>
    <w:p w14:paraId="64BFBBCF" w14:textId="77777777" w:rsidR="002958F7" w:rsidRDefault="002958F7" w:rsidP="002958F7">
      <w:r>
        <w:t xml:space="preserve">Na úrovni jednotlivých oborů MPO se situace výrazně liší). </w:t>
      </w:r>
      <w:r w:rsidRPr="53498C29">
        <w:rPr>
          <w:lang w:eastAsia="cs-CZ"/>
        </w:rPr>
        <w:t xml:space="preserve">Nedostatečné finanční ohodnocení </w:t>
      </w:r>
      <w:r w:rsidR="006F1F4B">
        <w:rPr>
          <w:lang w:eastAsia="cs-CZ"/>
        </w:rPr>
        <w:br/>
      </w:r>
      <w:r w:rsidRPr="53498C29">
        <w:rPr>
          <w:lang w:eastAsia="cs-CZ"/>
        </w:rPr>
        <w:t xml:space="preserve">a zaměstnanecké benefity jsou hlavním důvodem pro odchod z MPO pro respondenty z odborů 61000, 61100 a 61300. V ostatních odborech je tento faktor spíše vedlejší příčinou fluktuace. V ostatních </w:t>
      </w:r>
      <w:r w:rsidR="057D2AF1" w:rsidRPr="53498C29">
        <w:rPr>
          <w:lang w:eastAsia="cs-CZ"/>
        </w:rPr>
        <w:t>odborech</w:t>
      </w:r>
      <w:r w:rsidRPr="53498C29">
        <w:rPr>
          <w:lang w:eastAsia="cs-CZ"/>
        </w:rPr>
        <w:t xml:space="preserve">, tedy 61200, 61400 a 61500 je hlavní příčinou fluktuace dle respondentů spíše Nespokojenost s řízením týmu a koordinací činností. </w:t>
      </w:r>
    </w:p>
    <w:p w14:paraId="2A94E9D7" w14:textId="77777777" w:rsidR="002958F7" w:rsidRDefault="002958F7" w:rsidP="002958F7">
      <w:r>
        <w:t xml:space="preserve">Oproti tomu v API bylo Nedostatečné finanční ohodnocení a zaměstnanecké benefity významným důvodem pro odchod ze zaměstnání u všech sekcí. V sekcích, které se věnují hodnocení žádostí </w:t>
      </w:r>
      <w:r w:rsidR="006F1F4B">
        <w:br/>
      </w:r>
      <w:r>
        <w:t xml:space="preserve">o dotaci a administraci projektů byly významným důvodem fluktuace také Monotónní a stále se opakující pracovní činnosti. </w:t>
      </w:r>
    </w:p>
    <w:p w14:paraId="2DDB9754" w14:textId="77777777" w:rsidR="002958F7" w:rsidRDefault="002958F7" w:rsidP="002958F7">
      <w:r>
        <w:t xml:space="preserve">Výsledky otázky „Jaké faktory by vás osobně přiměly uvažovat o odchodu k jinému zaměstnavateli?“ ukázaly, že faktory, které způsobily fluktuaci u kolegů na MPO/API v minulosti, mohou být shodné s potenciální fluktuací v budoucnu. Nedostatečné finanční ohodnocení a zaměstnanecké benefity, které jsou dominantním důvodem odchodu zaměstnanců v minulosti, jsou i hlavním důvodem, </w:t>
      </w:r>
      <w:r w:rsidR="006F1F4B">
        <w:br/>
      </w:r>
      <w:r>
        <w:t>který by respondenty přiměl uvažovat o odchodu k jinému zaměstnavateli. Tento faktor byl uveden ve 22,2 % případech z 248 (i v tomto případě mohli respondenti volit více než jeden faktor). Připomeňme, že spokojenost respondentů s finančním ohodnocením není velká (celkově 4. nejnižší spokojenost mezi všemi aspekty), ale představuje pro ně důležitý aspekt (celkově 2. nejdůležitější aspekt z 11). Faktor Atmosféra na pracovišti, včetně vztahů s kolegy je sice s 20,6 % zmínek druhým častějším potenciálním důvodem fluktuace, ale na základě výsledků otázky věnované spokojenosti zaměstnanců s vybranými pracovními aspekty nepovažujeme tento faktor jako rizikový, neboť Fungování týmu, pracovní kolektiv je nejlépe hodnoceným aspektem práce.</w:t>
      </w:r>
    </w:p>
    <w:p w14:paraId="5C492A29" w14:textId="77777777" w:rsidR="002958F7" w:rsidRDefault="002958F7" w:rsidP="002958F7">
      <w:r>
        <w:t>Rozdíly mezi MPO a API jsou jen minimální, podíly se mezi oběma institucemi liší o méně než 5 p. b. (viz</w:t>
      </w:r>
      <w:r w:rsidR="00524BC4">
        <w:t xml:space="preserve"> graf níže</w:t>
      </w:r>
      <w:r>
        <w:t xml:space="preserve">). Pouze jeden z faktorů, Nespokojenost s řízením týmu a koordinací činností se liší o 7,5 p. b., konkrétně, tento faktor je významnější pro respondenty MPO. Nicméně, aspekt práce </w:t>
      </w:r>
      <w:r>
        <w:lastRenderedPageBreak/>
        <w:t>Koordinace pracovních činností a vedení týmu, který s uvedeným faktorem souvisí, je druhým nejlépe hodnoceným aspektem mezi respondenty, kteří pocházejí z MPO.</w:t>
      </w:r>
    </w:p>
    <w:p w14:paraId="7DE34D05" w14:textId="4F8CFD97" w:rsidR="002958F7" w:rsidRPr="004A07E6" w:rsidRDefault="002958F7" w:rsidP="002958F7">
      <w:pPr>
        <w:pStyle w:val="Titulek"/>
      </w:pPr>
      <w:bookmarkStart w:id="158" w:name="_Toc50456775"/>
      <w:r w:rsidRPr="004A07E6">
        <w:t xml:space="preserve">Graf </w:t>
      </w:r>
      <w:r w:rsidR="00C050DB">
        <w:fldChar w:fldCharType="begin"/>
      </w:r>
      <w:r w:rsidR="00C050DB">
        <w:instrText xml:space="preserve"> SEQ Graf \* ARABIC </w:instrText>
      </w:r>
      <w:r w:rsidR="00C050DB">
        <w:fldChar w:fldCharType="separate"/>
      </w:r>
      <w:r w:rsidR="00E96F43">
        <w:rPr>
          <w:noProof/>
        </w:rPr>
        <w:t>15</w:t>
      </w:r>
      <w:r w:rsidR="00C050DB">
        <w:rPr>
          <w:noProof/>
        </w:rPr>
        <w:fldChar w:fldCharType="end"/>
      </w:r>
      <w:r w:rsidRPr="004A07E6">
        <w:t>: Faktory, které by respondenty přiměly uvažovat o změně pracovního místa</w:t>
      </w:r>
      <w:bookmarkEnd w:id="158"/>
    </w:p>
    <w:p w14:paraId="140EA8C3" w14:textId="77777777" w:rsidR="002958F7" w:rsidRDefault="002958F7" w:rsidP="002958F7">
      <w:r>
        <w:rPr>
          <w:noProof/>
          <w:lang w:eastAsia="cs-CZ"/>
        </w:rPr>
        <w:drawing>
          <wp:inline distT="0" distB="0" distL="0" distR="0" wp14:anchorId="315ED10B" wp14:editId="49722D65">
            <wp:extent cx="5753100" cy="3238500"/>
            <wp:effectExtent l="0" t="0" r="0" b="0"/>
            <wp:docPr id="61" name="Graf 61">
              <a:extLst xmlns:a="http://schemas.openxmlformats.org/drawingml/2006/main">
                <a:ext uri="{FF2B5EF4-FFF2-40B4-BE49-F238E27FC236}">
                  <a16:creationId xmlns:a16="http://schemas.microsoft.com/office/drawing/2014/main" id="{5E914458-3EB9-447C-91C5-DA7A7F966F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16D02B4" w14:textId="77777777" w:rsidR="002958F7" w:rsidRDefault="002958F7" w:rsidP="002958F7">
      <w:pPr>
        <w:rPr>
          <w:i/>
          <w:iCs/>
        </w:rPr>
      </w:pPr>
      <w:r>
        <w:rPr>
          <w:i/>
          <w:iCs/>
        </w:rPr>
        <w:t>Zdroj: Vlastní šetření (n = 83)</w:t>
      </w:r>
    </w:p>
    <w:p w14:paraId="1E0D8045" w14:textId="77777777" w:rsidR="002958F7" w:rsidRDefault="002958F7" w:rsidP="002958F7">
      <w:r>
        <w:t>Respondenti měli dále příležitost zvolit možnost Jiné a uvést faktory, které v dotazníku nebyly explicitně stanoveny. Respondenti v rámci této otázky uvedli následující další aspekty:</w:t>
      </w:r>
    </w:p>
    <w:p w14:paraId="06FE987C" w14:textId="55E69E49" w:rsidR="002958F7" w:rsidRDefault="002958F7" w:rsidP="002958F7">
      <w:pPr>
        <w:pStyle w:val="Odstavecseseznamem"/>
        <w:numPr>
          <w:ilvl w:val="0"/>
          <w:numId w:val="22"/>
        </w:numPr>
        <w:spacing w:after="160" w:line="256" w:lineRule="auto"/>
      </w:pPr>
      <w:r>
        <w:t>nadměrné CTRL+C, CTRL+V</w:t>
      </w:r>
      <w:r w:rsidR="006F1F4B">
        <w:t>.</w:t>
      </w:r>
    </w:p>
    <w:p w14:paraId="702C701C" w14:textId="0B53456B" w:rsidR="002958F7" w:rsidRDefault="002958F7" w:rsidP="002958F7">
      <w:pPr>
        <w:pStyle w:val="Odstavecseseznamem"/>
        <w:numPr>
          <w:ilvl w:val="0"/>
          <w:numId w:val="22"/>
        </w:numPr>
        <w:spacing w:after="160" w:line="256" w:lineRule="auto"/>
      </w:pPr>
      <w:r>
        <w:t>nesouhlas s vrcholovým řízením</w:t>
      </w:r>
      <w:r w:rsidR="006F1F4B">
        <w:t>.</w:t>
      </w:r>
    </w:p>
    <w:p w14:paraId="73D5E2AC" w14:textId="149AD238" w:rsidR="002958F7" w:rsidRDefault="002958F7" w:rsidP="002958F7">
      <w:pPr>
        <w:pStyle w:val="Odstavecseseznamem"/>
        <w:numPr>
          <w:ilvl w:val="0"/>
          <w:numId w:val="22"/>
        </w:numPr>
        <w:spacing w:after="160" w:line="256" w:lineRule="auto"/>
      </w:pPr>
      <w:r>
        <w:t>neustále házení klacků pod nohy od lidí, kteří by zde vůbec nikomu nechyběli (především myšleno skrze svoji pracovní náplň)</w:t>
      </w:r>
      <w:r w:rsidR="006F1F4B">
        <w:t>.</w:t>
      </w:r>
    </w:p>
    <w:p w14:paraId="6F65CE1A" w14:textId="127F789A" w:rsidR="002958F7" w:rsidRDefault="002958F7" w:rsidP="002958F7">
      <w:pPr>
        <w:pStyle w:val="Odstavecseseznamem"/>
        <w:numPr>
          <w:ilvl w:val="0"/>
          <w:numId w:val="22"/>
        </w:numPr>
        <w:spacing w:after="160" w:line="256" w:lineRule="auto"/>
      </w:pPr>
      <w:r>
        <w:t>při spojení uvedených důvodů a z důvodu, že oblast dotací postrádá smysl</w:t>
      </w:r>
      <w:r w:rsidR="006F1F4B">
        <w:t>.</w:t>
      </w:r>
    </w:p>
    <w:p w14:paraId="2FA0B1C2" w14:textId="77777777" w:rsidR="002958F7" w:rsidRDefault="002958F7" w:rsidP="002958F7">
      <w:pPr>
        <w:pStyle w:val="Odstavecseseznamem"/>
        <w:numPr>
          <w:ilvl w:val="0"/>
          <w:numId w:val="22"/>
        </w:numPr>
        <w:spacing w:after="160" w:line="256" w:lineRule="auto"/>
      </w:pPr>
      <w:r>
        <w:t>zajímavá zcela jiná a dobře ohodnocená nabídka.</w:t>
      </w:r>
    </w:p>
    <w:p w14:paraId="42D0321F" w14:textId="77777777" w:rsidR="002958F7" w:rsidRDefault="002958F7" w:rsidP="002958F7">
      <w:r>
        <w:t>První tři důvody jsou úzce spojeny s námi stanovenými faktory Obecná nespokojenost s náplní práce a faktorem Atmosféra na pracovišti včetně vztahů s kolegy. Poslední dva důvody spíše poukazují na externí faktory, které mohou být řešeny interně na pracovišti MPO a API pouze v omezeném rozsahu či vůbec.</w:t>
      </w:r>
    </w:p>
    <w:p w14:paraId="481FB683" w14:textId="77777777" w:rsidR="002958F7" w:rsidRDefault="002958F7" w:rsidP="00C173BC">
      <w:pPr>
        <w:pStyle w:val="Nadpis1"/>
        <w:rPr>
          <w:lang w:val="fr-FR"/>
        </w:rPr>
      </w:pPr>
      <w:bookmarkStart w:id="159" w:name="_Toc50456795"/>
      <w:r w:rsidRPr="0084087C">
        <w:lastRenderedPageBreak/>
        <w:t>Doplňující</w:t>
      </w:r>
      <w:r>
        <w:rPr>
          <w:lang w:val="fr-FR"/>
        </w:rPr>
        <w:t xml:space="preserve"> informace k EO 15</w:t>
      </w:r>
      <w:bookmarkEnd w:id="159"/>
    </w:p>
    <w:p w14:paraId="03A9A4F9" w14:textId="77777777" w:rsidR="002958F7" w:rsidRPr="000E45AF" w:rsidRDefault="002958F7" w:rsidP="002958F7">
      <w:pPr>
        <w:rPr>
          <w:iCs/>
        </w:rPr>
      </w:pPr>
      <w:r w:rsidRPr="000E45AF">
        <w:t xml:space="preserve">Z pohledu odpovědných pracovníků </w:t>
      </w:r>
      <w:r>
        <w:t xml:space="preserve">ŘO </w:t>
      </w:r>
      <w:r w:rsidRPr="000E45AF">
        <w:t xml:space="preserve">odpovídá většinou průběh procesů okolo vzdělávacích akcí (Plán akcí a přihlašování na akce) procesnímu diagramu vytvořenému dle Operačního manuálu. Jeden z oslovených pracovníků míní, že procesy vedoucí k Plánu vzdělávacích akcí se mírně liší, že se jedná </w:t>
      </w:r>
      <w:r w:rsidR="006F1F4B">
        <w:br/>
      </w:r>
      <w:r w:rsidRPr="000E45AF">
        <w:t>o sestavení požadavků na zajištění vzdělávacích akcí v rámci Systému vzdělávání, ne přímo o plán vzdělávacích akcí („</w:t>
      </w:r>
      <w:r w:rsidRPr="000E45AF">
        <w:rPr>
          <w:i/>
        </w:rPr>
        <w:t>Není nutné zároveň vypracovávat „S5_4_F_Plán vzdělávacích akcí“, když je již identický obsah s požadavky na Systém vzdělávání zaslán na MMR-NOK. MMR-NOK zasílá svoji vlastní šablonu k vyplnění dvakrát ročně...“</w:t>
      </w:r>
      <w:r w:rsidRPr="000E45AF">
        <w:rPr>
          <w:iCs/>
        </w:rPr>
        <w:t>).</w:t>
      </w:r>
    </w:p>
    <w:p w14:paraId="1E2A8EB8" w14:textId="77777777" w:rsidR="002958F7" w:rsidRDefault="002958F7" w:rsidP="002958F7">
      <w:r w:rsidRPr="000E45AF">
        <w:t xml:space="preserve">Odpovědní pracovníci také míní, procesy jsou nastaveny efektivně a adekvátně. Příležitost </w:t>
      </w:r>
      <w:r w:rsidR="006F1F4B">
        <w:br/>
      </w:r>
      <w:r w:rsidRPr="000E45AF">
        <w:t xml:space="preserve">ke zjednodušení a zrychlení procesu vidí např. skrze </w:t>
      </w:r>
      <w:bookmarkStart w:id="160" w:name="_Hlk46299648"/>
      <w:r w:rsidRPr="000E45AF">
        <w:t xml:space="preserve">zasílání podepsaných přihlášek </w:t>
      </w:r>
      <w:r w:rsidR="00E42EF8">
        <w:t xml:space="preserve">do specifického vzdělávání (externí školení) </w:t>
      </w:r>
      <w:r w:rsidRPr="000E45AF">
        <w:t>elektronickou formou.</w:t>
      </w:r>
      <w:bookmarkEnd w:id="160"/>
      <w:r w:rsidRPr="000E45AF">
        <w:t xml:space="preserve"> Dle těchto pracovníků může RŠV ovlivnit podobu požadavků na zajištění vzdělávacích akcí, a to na základě požadavků zaměstnanců a v rámci komunikace s vedoucími. Následně MMR</w:t>
      </w:r>
      <w:r w:rsidR="006F1F4B">
        <w:t xml:space="preserve"> </w:t>
      </w:r>
      <w:r w:rsidRPr="000E45AF">
        <w:t>-</w:t>
      </w:r>
      <w:r w:rsidR="006F1F4B">
        <w:t xml:space="preserve"> </w:t>
      </w:r>
      <w:r w:rsidRPr="000E45AF">
        <w:t xml:space="preserve">NOK připravuje na základě dodaných požadavků kurzy </w:t>
      </w:r>
      <w:r w:rsidR="006F1F4B">
        <w:br/>
      </w:r>
      <w:r w:rsidRPr="000E45AF">
        <w:t>a školení.</w:t>
      </w:r>
      <w:r>
        <w:t xml:space="preserve"> </w:t>
      </w:r>
    </w:p>
    <w:p w14:paraId="61B1ED67" w14:textId="77777777" w:rsidR="002958F7" w:rsidRDefault="002958F7" w:rsidP="002958F7">
      <w:r>
        <w:t>Do vyhodnocení této evaluační otázky se skrze dotazníkové šetření zapojilo celkem 84 respondentů, většina z nich pracuje pro MPO (69 %).</w:t>
      </w:r>
    </w:p>
    <w:p w14:paraId="01ED69FB" w14:textId="77777777" w:rsidR="002958F7" w:rsidRDefault="002958F7" w:rsidP="002958F7">
      <w:r>
        <w:t>Při hodnocení spokojenosti respondentů s různými aspekty práce (EO 14) bylo vzdělávání hodnoceno poměrně vysoko (4. nejlépe hodnocený aspekt z celkem 11 aspektů). Hůře bylo vzdělávání hodnoceno respondenty z odboru 61500 MPO (hodnocení horší téměř o celý jeden stupeň oproti průměru), naopak výraznější kladné hodnocení obdrželo od respondentů ze Sekce Kanceláře vedoucího služebního úřadu API.</w:t>
      </w:r>
    </w:p>
    <w:p w14:paraId="0C076255" w14:textId="77777777" w:rsidR="002958F7" w:rsidRDefault="002958F7" w:rsidP="002958F7">
      <w:r>
        <w:t xml:space="preserve">Překvapivé je, že při hodnocení důležitosti jednotlivých aspektů pro práci, se vzdělávání umístilo </w:t>
      </w:r>
      <w:r w:rsidR="006F1F4B">
        <w:br/>
      </w:r>
      <w:r>
        <w:t xml:space="preserve">až na poslední příčce. Jeho průměrná známka (na pětibodové škále) ovšem byla 2,2 – tedy stále velmi příznivý výsledek. Obdobně vyšlo i šetření důvodů fluktuace zaměstnanců, kdy vzdělávání (resp. celkovou podporu v týmu) nepovažuje většina respondentů za důvod odchodu kolegů a nebylo </w:t>
      </w:r>
      <w:r w:rsidR="006F1F4B">
        <w:br/>
      </w:r>
      <w:r>
        <w:t xml:space="preserve">ani důvodem, kvůli kterému by zvažovali odchod oni sami. </w:t>
      </w:r>
    </w:p>
    <w:p w14:paraId="12540770" w14:textId="77777777" w:rsidR="002958F7" w:rsidRPr="001967FF" w:rsidRDefault="002958F7" w:rsidP="002958F7">
      <w:r>
        <w:t xml:space="preserve">V rámci dotazníku byla hodnocena spokojenost respondentů s nabídkou dalšího vzdělávání </w:t>
      </w:r>
      <w:r w:rsidR="006F1F4B">
        <w:br/>
      </w:r>
      <w:r>
        <w:t>u zaměstnavatele, přičemž zde převažuje pozitivní hodnocení. Celkem 63 % resp</w:t>
      </w:r>
      <w:r w:rsidRPr="001967FF">
        <w:t xml:space="preserve">ondentů je Rozhodně či Spíše spokojeno s nabídkou (mírně vyšší je spokojenost u zaměstnanců MPO oproti API). Při konkrétním hodnocení nabídky a možností vzdělávání se zaměstnanci vyjadřovali negativněji k faktoru flexibility, a to jak z pohledu nadstavbových školení nad rámec pracovního výkonu, </w:t>
      </w:r>
      <w:r w:rsidR="006F1F4B">
        <w:br/>
      </w:r>
      <w:r w:rsidRPr="001967FF">
        <w:t xml:space="preserve">tak školení potřebných pro konkrétní výkon práce. </w:t>
      </w:r>
    </w:p>
    <w:p w14:paraId="3CAE12C5" w14:textId="77777777" w:rsidR="002958F7" w:rsidRDefault="002958F7" w:rsidP="002958F7">
      <w:r w:rsidRPr="001967FF">
        <w:t>Nespokojenost s nabídkou a možnostmi vzdělávání pramení primárně z příliš obecného zaměření školení bez konkrétních odborných okruhů, které by měly přímý dopad na zlepšování v každodenních pracovních činnostech (konkrétně zaznívaly např. komentáře: „</w:t>
      </w:r>
      <w:r w:rsidRPr="001967FF">
        <w:rPr>
          <w:i/>
          <w:iCs/>
        </w:rPr>
        <w:t>omezená možnost zvolit úzce specializované odborné školení potřebné pro rozvoj činnosti</w:t>
      </w:r>
      <w:r w:rsidRPr="001967FF">
        <w:t>“ či „</w:t>
      </w:r>
      <w:r w:rsidRPr="001967FF">
        <w:rPr>
          <w:i/>
          <w:iCs/>
        </w:rPr>
        <w:t xml:space="preserve">školení jsou dělaná pro širší okruh, tedy i osoby z jiných ministerstev, </w:t>
      </w:r>
      <w:r w:rsidRPr="001C0A1D">
        <w:rPr>
          <w:i/>
          <w:iCs/>
        </w:rPr>
        <w:t>školení nebyla uplatnitelná při mé práci</w:t>
      </w:r>
      <w:r w:rsidRPr="001967FF">
        <w:t>“</w:t>
      </w:r>
      <w:r>
        <w:t xml:space="preserve">). Také u konkrétních absolvovaných kurzů respondenti negativně hodnotí faktor Uplatnitelnost školení v praxi. Potvrzuje se, že školení mají široké, příliš obecné zaměření, které má jen omezený vliv na pracovní agendu respondentů (nicméně, průměrná známka tohoto faktoru dosahuje 2,33 – což nelze hodnotit jako </w:t>
      </w:r>
      <w:r>
        <w:lastRenderedPageBreak/>
        <w:t>extrémně negativní výsledek). Obdobně negativněji byl hodnocen také faktor Četnost školení. Nutné je dále dodat, že u všech aspektů lze pozorovat horší hodnocení v případě API. Kladně byl naopak hodnocen faktor Kvalita vzdělávání a lektorů, který získal průměrnou známkou 1,92.</w:t>
      </w:r>
    </w:p>
    <w:p w14:paraId="7D12D7E8" w14:textId="77777777" w:rsidR="002958F7" w:rsidRDefault="002958F7" w:rsidP="002958F7">
      <w:r>
        <w:t xml:space="preserve">Při hodnocení aspektů celého systému vzdělávání zaměstnavatele vycházela nejhůře Možnost využít externí kurz (mimo MMR) – průměrná známka 2,78. Významná je i směrodatná odchylka tohoto faktoru, její hodnota nabývá 1,37, což znamená, že mezi odpověďmi jsou silně zastoupeny i extrémní negativní hodnocení. I v této otázce lze pozorovat významnější nespokojenost respondentů, </w:t>
      </w:r>
      <w:r w:rsidR="006F1F4B">
        <w:br/>
      </w:r>
      <w:r>
        <w:t>kteří pracují v API. Nejvyšší rozdíl v hodnocení mezi MPO a API je právě u aspektu Možnosti využít externí kurz.</w:t>
      </w:r>
    </w:p>
    <w:p w14:paraId="56F1DA9D" w14:textId="77777777" w:rsidR="002958F7" w:rsidRDefault="002958F7" w:rsidP="002958F7">
      <w:r>
        <w:t>Na úrovni jednotlivých odborů MPO lze pozorovat nerovnoměrné rozložení odpovědí (viz graf níže). Nejhorší hodnocení získal aspekt Možnost využití externího kurzu mimo MMR na odboru 61500, konkrétně 4,0, což ale může být primárně způsobeno nízkým počtem respondentů z tohoto odboru (tj. 6).</w:t>
      </w:r>
    </w:p>
    <w:p w14:paraId="175C9247" w14:textId="7F3CE836" w:rsidR="002958F7" w:rsidRDefault="002958F7" w:rsidP="002958F7">
      <w:pPr>
        <w:pStyle w:val="Titulek"/>
      </w:pPr>
      <w:bookmarkStart w:id="161" w:name="_Toc50456776"/>
      <w:r>
        <w:t xml:space="preserve">Graf </w:t>
      </w:r>
      <w:r w:rsidR="00C050DB">
        <w:fldChar w:fldCharType="begin"/>
      </w:r>
      <w:r w:rsidR="00C050DB">
        <w:instrText xml:space="preserve"> SEQ Graf \* ARABIC </w:instrText>
      </w:r>
      <w:r w:rsidR="00C050DB">
        <w:fldChar w:fldCharType="separate"/>
      </w:r>
      <w:r w:rsidR="00E96F43">
        <w:rPr>
          <w:noProof/>
        </w:rPr>
        <w:t>16</w:t>
      </w:r>
      <w:r w:rsidR="00C050DB">
        <w:rPr>
          <w:noProof/>
        </w:rPr>
        <w:fldChar w:fldCharType="end"/>
      </w:r>
      <w:r>
        <w:t>: Průměrné hodnocení systému dalšího vzdělávání dle odborů MPO</w:t>
      </w:r>
      <w:bookmarkEnd w:id="161"/>
    </w:p>
    <w:p w14:paraId="55646E15" w14:textId="77777777" w:rsidR="002958F7" w:rsidRDefault="002958F7" w:rsidP="002958F7">
      <w:r>
        <w:rPr>
          <w:noProof/>
          <w:lang w:eastAsia="cs-CZ"/>
        </w:rPr>
        <w:drawing>
          <wp:inline distT="0" distB="0" distL="0" distR="0" wp14:anchorId="4635C001" wp14:editId="3C444ABE">
            <wp:extent cx="5753100" cy="2758440"/>
            <wp:effectExtent l="0" t="0" r="0" b="3810"/>
            <wp:docPr id="62" name="Graf 62">
              <a:extLst xmlns:a="http://schemas.openxmlformats.org/drawingml/2006/main">
                <a:ext uri="{FF2B5EF4-FFF2-40B4-BE49-F238E27FC236}">
                  <a16:creationId xmlns:a16="http://schemas.microsoft.com/office/drawing/2014/main" id="{3BA1B4F2-84B9-48C0-98E4-1CD4CFAA13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8DFEFA1" w14:textId="77777777" w:rsidR="002958F7" w:rsidRDefault="002958F7" w:rsidP="002958F7">
      <w:pPr>
        <w:rPr>
          <w:i/>
          <w:iCs/>
        </w:rPr>
      </w:pPr>
      <w:r>
        <w:rPr>
          <w:i/>
          <w:iCs/>
        </w:rPr>
        <w:t>Zdroj: Vlastní šetření (n = 56)</w:t>
      </w:r>
    </w:p>
    <w:p w14:paraId="11F8985B" w14:textId="77777777" w:rsidR="002958F7" w:rsidRDefault="002958F7" w:rsidP="002958F7">
      <w:r>
        <w:t>Respondenti uváděli i spontánně, v komentářích, že by uvítali, kdyby se konaly kurzy i mimo instituci MMR. Dle respondentů je toto důvod, proč školení nejsou zaměřována úžeji, tj. na jejich konkrétní pracovní úkony („</w:t>
      </w:r>
      <w:r w:rsidRPr="00A937AA">
        <w:rPr>
          <w:i/>
          <w:iCs/>
        </w:rPr>
        <w:t xml:space="preserve">školení MMR obsahují rozsáhlou problematiku k danému tématu nakupenou </w:t>
      </w:r>
      <w:r w:rsidR="006F1F4B">
        <w:rPr>
          <w:i/>
          <w:iCs/>
        </w:rPr>
        <w:br/>
      </w:r>
      <w:r w:rsidRPr="00A937AA">
        <w:rPr>
          <w:i/>
          <w:iCs/>
        </w:rPr>
        <w:t>do příliš krátkého času, často nelze vše stihnout</w:t>
      </w:r>
      <w:r>
        <w:t>“).</w:t>
      </w:r>
    </w:p>
    <w:p w14:paraId="08F99CA0" w14:textId="705C2384" w:rsidR="002958F7" w:rsidRDefault="002958F7" w:rsidP="002958F7">
      <w:r>
        <w:t>Na základě výše uváděných zjištění</w:t>
      </w:r>
      <w:r w:rsidRPr="001967FF">
        <w:t xml:space="preserve"> lze doporučit zvýšit flexibilitu nabízených školení </w:t>
      </w:r>
      <w:r>
        <w:t>především</w:t>
      </w:r>
      <w:r w:rsidRPr="001967FF">
        <w:t xml:space="preserve"> poskytovat konkrétní, úzce zaměřená školení, která přímo souvisejí s pracovní náplní zaměstnanců </w:t>
      </w:r>
      <w:r w:rsidR="006F1F4B">
        <w:br/>
      </w:r>
      <w:r w:rsidRPr="001967FF">
        <w:t>a umožňují probírat témata, která zaměstnanci pro výkon svojí práce potřebují a preferují.</w:t>
      </w:r>
      <w:r>
        <w:t xml:space="preserve"> A dále více nabízet/propagovat i možnosti přihlásit se na kurzy i mimo MMR.</w:t>
      </w:r>
    </w:p>
    <w:p w14:paraId="6AFA5720" w14:textId="77777777" w:rsidR="002958F7" w:rsidRDefault="002958F7" w:rsidP="002958F7">
      <w:r>
        <w:t xml:space="preserve">Na otázku, zda zaměstnavatel nabízí adekvátní školení pro agendu, které se respondenti věnují, odpověděla více než polovina respondentů že Spíše ano, dalších 16 % uvedlo Rozhodně ano, což je velmi pozitivní výsledek. Odpovědi se lišily v závislosti na instituci, ve které respondenti pracují </w:t>
      </w:r>
      <w:r w:rsidR="006F1F4B">
        <w:br/>
      </w:r>
      <w:r>
        <w:t>(viz graf níže).</w:t>
      </w:r>
    </w:p>
    <w:p w14:paraId="20ED5EE3" w14:textId="6B2F790D" w:rsidR="002958F7" w:rsidRDefault="002958F7" w:rsidP="002958F7">
      <w:pPr>
        <w:pStyle w:val="Titulek"/>
      </w:pPr>
      <w:bookmarkStart w:id="162" w:name="_Toc50456777"/>
      <w:r>
        <w:lastRenderedPageBreak/>
        <w:t xml:space="preserve">Graf </w:t>
      </w:r>
      <w:r w:rsidR="00C050DB">
        <w:fldChar w:fldCharType="begin"/>
      </w:r>
      <w:r w:rsidR="00C050DB">
        <w:instrText xml:space="preserve"> SEQ Graf \* ARABIC </w:instrText>
      </w:r>
      <w:r w:rsidR="00C050DB">
        <w:fldChar w:fldCharType="separate"/>
      </w:r>
      <w:r w:rsidR="00E96F43">
        <w:rPr>
          <w:noProof/>
        </w:rPr>
        <w:t>17</w:t>
      </w:r>
      <w:r w:rsidR="00C050DB">
        <w:rPr>
          <w:noProof/>
        </w:rPr>
        <w:fldChar w:fldCharType="end"/>
      </w:r>
      <w:r>
        <w:t>: Hodnocení adekvátnosti školení pro pracovní agendu</w:t>
      </w:r>
      <w:bookmarkEnd w:id="162"/>
    </w:p>
    <w:p w14:paraId="4D5DF278" w14:textId="77777777" w:rsidR="002958F7" w:rsidRDefault="002958F7" w:rsidP="002958F7">
      <w:r>
        <w:rPr>
          <w:noProof/>
          <w:lang w:eastAsia="cs-CZ"/>
        </w:rPr>
        <w:drawing>
          <wp:inline distT="0" distB="0" distL="0" distR="0" wp14:anchorId="6C1798AE" wp14:editId="22F426B4">
            <wp:extent cx="5349240" cy="2727960"/>
            <wp:effectExtent l="0" t="0" r="3810" b="15240"/>
            <wp:docPr id="63" name="Graf 63">
              <a:extLst xmlns:a="http://schemas.openxmlformats.org/drawingml/2006/main">
                <a:ext uri="{FF2B5EF4-FFF2-40B4-BE49-F238E27FC236}">
                  <a16:creationId xmlns:a16="http://schemas.microsoft.com/office/drawing/2014/main" id="{C604C0C1-C6B4-4B4F-BE67-BDC5EBD442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82BD4CA" w14:textId="77777777" w:rsidR="002958F7" w:rsidRDefault="002958F7" w:rsidP="002958F7">
      <w:pPr>
        <w:rPr>
          <w:i/>
          <w:iCs/>
        </w:rPr>
      </w:pPr>
      <w:r>
        <w:rPr>
          <w:i/>
          <w:iCs/>
        </w:rPr>
        <w:t>Zdroje: Vlastní šetření (n = 81)</w:t>
      </w:r>
    </w:p>
    <w:p w14:paraId="348F1224" w14:textId="77777777" w:rsidR="004613AF" w:rsidRDefault="002958F7" w:rsidP="00C173BC">
      <w:r>
        <w:t>Mezi výtkami směrem k nabídce dalšího vzdělávání (kromě již zmiňovaného příliš obecného zaměření školení) byla často zmíněna také problematika zaplněnosti a formy přihlašování kurzů. Respondenti si stěžují zejména na administraci spojenou s přihlašováním a na to, že oblíbené kurzy bývají hned zaplněny</w:t>
      </w:r>
      <w:r w:rsidR="00E42EF8">
        <w:rPr>
          <w:rStyle w:val="Znakapoznpodarou"/>
        </w:rPr>
        <w:footnoteReference w:id="20"/>
      </w:r>
      <w:r>
        <w:t>. Na tomto základě doporučují frekventovanější opakování školení.</w:t>
      </w:r>
    </w:p>
    <w:p w14:paraId="6FB7B0DD" w14:textId="77777777" w:rsidR="00CA5159" w:rsidRDefault="00CA5159" w:rsidP="00CA5159">
      <w:pPr>
        <w:pStyle w:val="Nadpis1"/>
        <w:rPr>
          <w:lang w:val="fr-FR"/>
        </w:rPr>
      </w:pPr>
      <w:bookmarkStart w:id="163" w:name="_Toc50456796"/>
      <w:r>
        <w:rPr>
          <w:lang w:val="fr-FR"/>
        </w:rPr>
        <w:lastRenderedPageBreak/>
        <w:t>Doplňující informace k EO 16</w:t>
      </w:r>
      <w:bookmarkEnd w:id="163"/>
    </w:p>
    <w:p w14:paraId="7508FA8E" w14:textId="77777777" w:rsidR="00CA5159" w:rsidRPr="006276A5" w:rsidRDefault="00CA5159" w:rsidP="00CA5159">
      <w:pPr>
        <w:pStyle w:val="Nadpis6"/>
      </w:pPr>
      <w:r>
        <w:t>Komunikační plán</w:t>
      </w:r>
    </w:p>
    <w:p w14:paraId="7481058E" w14:textId="3ACB55B1" w:rsidR="00CA5159" w:rsidRDefault="00CA5159" w:rsidP="00CA5159">
      <w:r>
        <w:t>Na začátku realizace OP PIK byl zpracován detailní komunikační plán operačního programu pro celé PO 2014</w:t>
      </w:r>
      <w:r w:rsidR="006F1F4B">
        <w:t xml:space="preserve"> </w:t>
      </w:r>
      <w:r>
        <w:t>–</w:t>
      </w:r>
      <w:r w:rsidR="006F1F4B">
        <w:t xml:space="preserve"> </w:t>
      </w:r>
      <w:r>
        <w:t>2020. Komunikační plán byl zpracován na základě několika zdrojů, z nichž klíčové byly Analýza komunikační kampaně realizovaná na začátku implementace předchozího OP PI v roce 2008 a Evaluace aktivit OP</w:t>
      </w:r>
      <w:r w:rsidR="00E52B39">
        <w:t xml:space="preserve"> </w:t>
      </w:r>
      <w:r>
        <w:t>PI a KoP v letech 2007</w:t>
      </w:r>
      <w:r w:rsidR="006F1F4B">
        <w:t xml:space="preserve"> </w:t>
      </w:r>
      <w:r>
        <w:t>–</w:t>
      </w:r>
      <w:r w:rsidR="006F1F4B">
        <w:t xml:space="preserve"> </w:t>
      </w:r>
      <w:r>
        <w:t xml:space="preserve">2010. Tato analýza byla zpracována na základě pěti vln výzkumu mezi cílovou skupinou. I přes jistou zastaralost dat v okamžiku zpracování Komunikačního plánu tak lze uvést, že byl zpracován na základě robustních dat a lze jej tak považovat za adekvátní </w:t>
      </w:r>
      <w:r w:rsidR="006F1F4B">
        <w:br/>
      </w:r>
      <w:r>
        <w:t>a relevantní.</w:t>
      </w:r>
    </w:p>
    <w:p w14:paraId="14BF0F0D" w14:textId="77777777" w:rsidR="00CA5159" w:rsidRDefault="00CA5159" w:rsidP="00CA5159">
      <w:bookmarkStart w:id="164" w:name="_Hlk46300932"/>
      <w:r>
        <w:t>Komunikační plán stanovuje dva marketingové cíle, a sice včasné a úspěšné čerpání alokovaných prostředků programu (cílovou skupinou tedy jsou žadatelé) a seznámit s programem širokou veřejnost</w:t>
      </w:r>
      <w:bookmarkEnd w:id="164"/>
      <w:r>
        <w:t xml:space="preserve">, tento cíl je přitom formulován jako sekundární. Při podrobnějším rozboru je ale nutné si povšimnout, že mezi primární cílovou skupinu nejsou řazeni pouze subjekty, které (ať už úspěšně nebo neúspěšně) žádají o podporu z programu, ale také potenciální žadatelé. Komunikačním cílem tak je, mimo jiné, informovat potenciální žadatele o možnostech podpory a přesvědčit je, </w:t>
      </w:r>
      <w:r w:rsidR="006F1F4B">
        <w:br/>
      </w:r>
      <w:r>
        <w:t>aby předložili svou žádost. Obecněji se ale komunikační plán, na základě zkušeností z předchozího PO, „</w:t>
      </w:r>
      <w:r w:rsidRPr="00FC1497">
        <w:t>soustředí na výsledek a naplnění smyslu samotného programu</w:t>
      </w:r>
      <w:r w:rsidR="00FD7F25">
        <w:t xml:space="preserve"> </w:t>
      </w:r>
      <w:r>
        <w:t>–</w:t>
      </w:r>
      <w:r w:rsidR="00FD7F25">
        <w:t xml:space="preserve"> </w:t>
      </w:r>
      <w:r w:rsidRPr="00FC1497">
        <w:t xml:space="preserve">staví tak na první místo žadatele a reálnou konkurenceschopnost České republiky namísto publicity u veřejnosti, která je </w:t>
      </w:r>
      <w:r w:rsidR="006F1F4B">
        <w:br/>
      </w:r>
      <w:r w:rsidRPr="00FC1497">
        <w:t>pro program důležitým, avšak pouze sekundárním cílem.</w:t>
      </w:r>
      <w:r>
        <w:t xml:space="preserve">“ V souladu s tím se komunikační plán soustředí především na aktivity související s informovaností (potenciálních) žadatelů, než </w:t>
      </w:r>
      <w:r w:rsidR="00487086">
        <w:br/>
      </w:r>
      <w:r>
        <w:t>na posilování obecné znalosti OP PIK jako „značky“ u obecné veřejnosti</w:t>
      </w:r>
      <w:r w:rsidR="00997C94">
        <w:t xml:space="preserve"> </w:t>
      </w:r>
      <w:r>
        <w:t>–</w:t>
      </w:r>
      <w:r w:rsidR="00997C94">
        <w:t xml:space="preserve"> </w:t>
      </w:r>
      <w:r>
        <w:t xml:space="preserve">tedy zvýšení důrazu </w:t>
      </w:r>
      <w:r w:rsidR="00487086">
        <w:br/>
      </w:r>
      <w:r>
        <w:t>na přesnější cílení komunikačních nástrojů a jejich efektivitu na úkor plošné reklamy programu v masových médiích.</w:t>
      </w:r>
    </w:p>
    <w:p w14:paraId="00B11FF2" w14:textId="77777777" w:rsidR="00CA5159" w:rsidRDefault="00CA5159" w:rsidP="00CA5159">
      <w:r>
        <w:t>Ve vztahu k měření efektivity Komunikační plán, mimo jiné, navrhuje každoroční výzkum u široké veřejnosti i u žadatelů a potenciálních žadatelů. V případě obecné veřejnosti doporučuje Komunikační plán využít nejlépe metodu internetového dotazování respondentů bez přímé asistence tazatele. V případě žadatelů o podporu má být potom zjišťováno, který komunikační nástroj žadatelé označují za rozhodující faktor</w:t>
      </w:r>
      <w:r>
        <w:rPr>
          <w:rStyle w:val="Znakapoznpodarou"/>
        </w:rPr>
        <w:footnoteReference w:id="21"/>
      </w:r>
      <w:r>
        <w:t xml:space="preserve">. </w:t>
      </w:r>
      <w:bookmarkStart w:id="165" w:name="_Hlk46301919"/>
      <w:r>
        <w:t xml:space="preserve">Na základě těchto dat Komunikační plán předložil tabulku </w:t>
      </w:r>
      <w:r w:rsidR="00487086">
        <w:br/>
      </w:r>
      <w:r>
        <w:t>pro systematické vyhodnocování komunikačních nástrojů.</w:t>
      </w:r>
      <w:bookmarkEnd w:id="165"/>
    </w:p>
    <w:p w14:paraId="26233F90" w14:textId="77777777" w:rsidR="00CA5159" w:rsidRDefault="00CA5159" w:rsidP="00CA5159">
      <w:r>
        <w:t xml:space="preserve">Mimo návrh komunikačních aktivit a jejich zacílení i systému hodnocení efektivity Komunikační plán navrhuje také rozložení rozpočtu na komunikační aktivity v čase. Z návrhu je patrné, že nejvyšší podíl prostředků má být investován na začátku implementace programu, tedy v roce 2014 </w:t>
      </w:r>
      <w:r w:rsidR="006F1F4B">
        <w:br/>
      </w:r>
      <w:r>
        <w:t>(17 % prostředků) a postupem implementace má být tento podíl snižován.</w:t>
      </w:r>
    </w:p>
    <w:p w14:paraId="314A3714" w14:textId="77777777" w:rsidR="00CA5159" w:rsidRDefault="00CA5159" w:rsidP="00CA5159"/>
    <w:p w14:paraId="072FCF5A" w14:textId="77777777" w:rsidR="00CA5159" w:rsidRDefault="00CA5159" w:rsidP="00CA5159">
      <w:pPr>
        <w:pStyle w:val="Nadpis6"/>
      </w:pPr>
      <w:r>
        <w:lastRenderedPageBreak/>
        <w:t>Nastavení procesu tvorby a vyhodnocování efektivity publicitních opatření</w:t>
      </w:r>
    </w:p>
    <w:p w14:paraId="503259B1" w14:textId="77777777" w:rsidR="00CA5159" w:rsidRDefault="00CA5159" w:rsidP="00CA5159">
      <w:r w:rsidRPr="004A2A58">
        <w:t>Jak již bylo nastíněno</w:t>
      </w:r>
      <w:r>
        <w:t xml:space="preserve"> v předešlých evaluačních otázkách, hlavním nástrojem publicity jsou ročně zpracovávané Roční komunikační plány. Tyto plány jsou zpracovány ve formuláři, který částečně vychází z Metodického pokynu NOK pro publicitu, který stanovuje jeho strukturu a obsah, alespoň zčásti je ale relevantní také ve vztahu ke struktuře komunikačního plánu navrhovaného Komunikačním plánem OP PIK. Roční komunikační plán zpracovává cíle komunikace a cílové skupiny </w:t>
      </w:r>
      <w:r w:rsidR="00487086">
        <w:br/>
      </w:r>
      <w:r>
        <w:t xml:space="preserve">a v této části do značné míry vychází z Komunikačního plánu, klade tak důraz především </w:t>
      </w:r>
      <w:r w:rsidR="00487086">
        <w:br/>
      </w:r>
      <w:r>
        <w:t xml:space="preserve">na informovanost potenciálních žadatelů. Hlavním zdrojem pro zpracování cílů i cílových skupin komunikace ale je Společná komunikační strategie zpracovaná pro všechny OP. Komunikační plán dále zpracovává rozpočet komunikačních aktivit na daný rok (rozpočty jsou si ale velmi podobné </w:t>
      </w:r>
      <w:r w:rsidR="00487086">
        <w:br/>
      </w:r>
      <w:r>
        <w:t>a pohybují se v rozmezí 22,4</w:t>
      </w:r>
      <w:r w:rsidR="00487086">
        <w:t xml:space="preserve"> </w:t>
      </w:r>
      <w:r>
        <w:t>–</w:t>
      </w:r>
      <w:r w:rsidR="00487086">
        <w:t xml:space="preserve"> </w:t>
      </w:r>
      <w:r>
        <w:t>23,6 mil. Kč/rok) a následně rozpracovává jednotlivé nástroje.</w:t>
      </w:r>
    </w:p>
    <w:p w14:paraId="36A7C104" w14:textId="77777777" w:rsidR="00CA5159" w:rsidRDefault="00CA5159" w:rsidP="00CA5159">
      <w:r>
        <w:t xml:space="preserve">Komunikační plány pro jednotlivé roky mají totožnou strukturu a jsou si navzájem velmi podobné. Cíle komunikace se napříč jednotlivými roky téměř nemění, nedochází tak k přesnějšímu cílení aktivit s ohledem na aktuální potřeby cílových skupin a/nebo aktuální fázi programového cyklu (RKoP </w:t>
      </w:r>
      <w:r w:rsidR="00487086">
        <w:br/>
      </w:r>
      <w:r>
        <w:t xml:space="preserve">pro rok 2020 pouze mezi úkoly a cíle přidává „zajistit informovanost o přípravě budoucího PO“, v roce 2019 potom bylo mezi cíle přidáno organizování seminářů na preventivní vzdělávání žadatelů </w:t>
      </w:r>
      <w:r w:rsidR="00487086">
        <w:br/>
      </w:r>
      <w:r>
        <w:t xml:space="preserve">a příjemců ve vztahu k nálezům auditu). Totožné jsou také cílové skupiny (od roku 2017, kdy je cílovou skupinou široká veřejnost a potenciální žadatelé jsou jednou z podskupin této cílové skupiny, což není plně v souladu s důrazy Komunikačního plánu OP PIK) a také další části. </w:t>
      </w:r>
      <w:bookmarkStart w:id="166" w:name="_Hlk46302132"/>
      <w:r>
        <w:t xml:space="preserve">Jednotlivé RKoP jsou tak skutečně specifické pouze v části aplikace jednotlivých nástrojů </w:t>
      </w:r>
      <w:r w:rsidR="00524BC4">
        <w:t>komunikace,</w:t>
      </w:r>
      <w:r>
        <w:t xml:space="preserve"> a i zde především v části seminářů a workshopů.</w:t>
      </w:r>
      <w:bookmarkEnd w:id="166"/>
      <w:r>
        <w:t xml:space="preserve"> RKoP tak tedy představuje operativní dokument, který detailně </w:t>
      </w:r>
      <w:bookmarkStart w:id="167" w:name="_Hlk46302174"/>
      <w:r>
        <w:t>plánuje především vzdělávací aktivity pro žadatele, příjemce a potenciální žadatele.</w:t>
      </w:r>
      <w:bookmarkEnd w:id="167"/>
      <w:r>
        <w:t xml:space="preserve"> Nijak explicitně ale nereflektuje zkušenosti s realizací komunikačních aktivit v předchozím období a/nebo plnění Komunikačního plánu OP PIK jako zastřešujícího „strategického“ dokumentu.</w:t>
      </w:r>
    </w:p>
    <w:p w14:paraId="5CA49337" w14:textId="77777777" w:rsidR="00CA5159" w:rsidRDefault="00CA5159" w:rsidP="00CA5159">
      <w:r>
        <w:t xml:space="preserve">Hlavním nástrojem pro monitoring komunikačních aktivit jsou čtvrtletní monitoringy plnění RKoP (publikovány dvakrát ročně, zpravidla za dva kvartály). Tyto dokumenty představují systematický soupis realizovaných akcí v oblasti publicity, a to včetně některých kvantifikací potřebných </w:t>
      </w:r>
      <w:r w:rsidR="00487086">
        <w:br/>
      </w:r>
      <w:r>
        <w:t>pro nápočet hlavních i interních indikátorů výstupu (zejména počet účastníků). Zprávy se tak především detailně věnují jednotlivým seminářům a dalším vzdělávacím akcím. Nad rámec daného uvádí „standardní“ nástroje</w:t>
      </w:r>
      <w:r w:rsidR="00A10A20">
        <w:t xml:space="preserve"> </w:t>
      </w:r>
      <w:r>
        <w:t>–</w:t>
      </w:r>
      <w:r w:rsidR="00A10A20">
        <w:t xml:space="preserve"> </w:t>
      </w:r>
      <w:r>
        <w:t xml:space="preserve">monitoring médií, Zelená linka OP PIK, webové stránky, sociální sítě </w:t>
      </w:r>
      <w:r w:rsidR="00487086">
        <w:br/>
      </w:r>
      <w:r>
        <w:t>a propagační předměty a informace o počtu zpracovaných a vytištěných letáků (v detailním členění). Spíše výjimečně (např. informace o plnění za první tři kvartály roku 2019) jsou rozpracovány některé další komunikační nástroje.</w:t>
      </w:r>
    </w:p>
    <w:p w14:paraId="30B079E0" w14:textId="77777777" w:rsidR="00CA5159" w:rsidRDefault="00CA5159" w:rsidP="00CA5159">
      <w:r>
        <w:t>Informace o plnění RKoP neobsahují informace o čerpání rozpočtu na komunikační aktivity, který jednotlivé RKoP stanovují</w:t>
      </w:r>
      <w:r w:rsidR="00A10A20">
        <w:t xml:space="preserve"> </w:t>
      </w:r>
      <w:r>
        <w:t>–</w:t>
      </w:r>
      <w:r w:rsidR="00A10A20">
        <w:t xml:space="preserve"> </w:t>
      </w:r>
      <w:r>
        <w:t>nelze tedy vyhodnotit, zda a do jaké míry byly naplánované akce plněny z finančního pohledu. Je ale zřejmé že rozpočty jednotlivých RKoP nejsou naplňovány: za roky 2016</w:t>
      </w:r>
      <w:r w:rsidR="00487086">
        <w:t xml:space="preserve"> </w:t>
      </w:r>
      <w:r>
        <w:t>–2018 činil rozpočet komunikačních aktivit dle RKoP celkem 68 mil. Kč. Jednotlivé IP, jejichž prostřednictvím jsou náklady komunikačních aktivit hrazeny ale ve stejném období vyčerpaly pouze cca 8 mil. Kč.</w:t>
      </w:r>
    </w:p>
    <w:p w14:paraId="7D40587E" w14:textId="77777777" w:rsidR="00CA5159" w:rsidRDefault="00CA5159" w:rsidP="00CA5159">
      <w:r>
        <w:t xml:space="preserve">Na rámec informací uvedených v monitoringu nejsou publicitní a komunikační aktivity žádným způsobem systematicky vyhodnocovány (s výjimkou dílčích komunikačních kampaní, </w:t>
      </w:r>
      <w:r w:rsidR="00487086">
        <w:br/>
      </w:r>
      <w:r>
        <w:t>kdy vyhodnocení je součástí dodávky kampaně externím subjektem</w:t>
      </w:r>
      <w:r w:rsidR="00425B0B">
        <w:t xml:space="preserve"> </w:t>
      </w:r>
      <w:r>
        <w:t>–</w:t>
      </w:r>
      <w:r w:rsidR="00425B0B">
        <w:t xml:space="preserve"> </w:t>
      </w:r>
      <w:r>
        <w:t xml:space="preserve">je tedy zpracováváno stejným </w:t>
      </w:r>
      <w:r>
        <w:lastRenderedPageBreak/>
        <w:t xml:space="preserve">subjektem, který kampaň realizuje). Šablona pro roční operativní vyhodnocování komunikačních aktivit, která byla zpracována v Komunikačním plánu programu tak není aplikována. Nejsou zavedena ani další doporučení Komunikačního plánu ve vztahu k monitoringu a evaluaci komunikace, </w:t>
      </w:r>
      <w:r w:rsidR="00487086">
        <w:br/>
      </w:r>
      <w:r>
        <w:t xml:space="preserve">a sice </w:t>
      </w:r>
      <w:bookmarkStart w:id="168" w:name="_Hlk46302856"/>
      <w:r>
        <w:t xml:space="preserve">pravidelný a systematizovaný sběr dat od žadatelů v OP PIK (ve vztahu ke klíčovým komunikačním nástrojům, na jejichž základě se žadatel rozhodl žádost podat) a výroční sběr dat </w:t>
      </w:r>
      <w:r w:rsidR="00487086">
        <w:br/>
      </w:r>
      <w:r>
        <w:t>o povědomí o OP PIK ze strany široké veřejnosti prostřednictvím internetového dotazníku.</w:t>
      </w:r>
      <w:bookmarkEnd w:id="168"/>
      <w:r>
        <w:t xml:space="preserve"> Program také, jak již bylo uvedeno výše, nezavedl monitorovací indikátory specifické pro bezprostřední monitoring komunikačních aktivit. </w:t>
      </w:r>
    </w:p>
    <w:p w14:paraId="288FDCFA" w14:textId="77777777" w:rsidR="00CA5159" w:rsidRDefault="00CA5159" w:rsidP="00CA5159">
      <w:bookmarkStart w:id="169" w:name="_Hlk46302876"/>
      <w:r>
        <w:t xml:space="preserve">Pracovníci ŘO zodpovědní za koordinaci komunikačních aktivit tak nemají žádné informace </w:t>
      </w:r>
      <w:r w:rsidR="00487086">
        <w:br/>
      </w:r>
      <w:r>
        <w:t>o efektivnosti a „zásahu“ jednotlivých komunikačních nástrojů, které využívají, nad rámec obecného monitoringu médií, zpětné vazby od účastníků seminářů a případně ad-hoc informací od realizátorů komunikačních kampaní. Vyhodnocení komunikačních aktivit a publicity obecněji není ani součástí evaluačního plánu OP PIK</w:t>
      </w:r>
      <w:r w:rsidR="00D33F4E">
        <w:rPr>
          <w:rStyle w:val="Znakapoznpodarou"/>
        </w:rPr>
        <w:footnoteReference w:id="22"/>
      </w:r>
      <w:r>
        <w:t xml:space="preserve">. Při plánování jednotlivých komunikačních aktivit proto ŘO vychází spíše jen z informací z implementace jednotlivých programů OP PIK poskytovaných jednotlivými garanty, spíše </w:t>
      </w:r>
      <w:r w:rsidR="00D33F4E">
        <w:t xml:space="preserve">útržkovitých a nesystematizovaných </w:t>
      </w:r>
      <w:r>
        <w:t>informací o publicitě Programu získávaných na jednáních Pracovní skupiny pro publicitu a ad-hoc rozhodnutí vedoucích pracovníků implementační struktury Programu.</w:t>
      </w:r>
      <w:bookmarkEnd w:id="169"/>
    </w:p>
    <w:p w14:paraId="321D1865" w14:textId="77777777" w:rsidR="00B323B4" w:rsidRDefault="00CA5159" w:rsidP="00CA5159">
      <w:r>
        <w:t xml:space="preserve">Pro zvýšení informovanosti ŘO o efektivnosti a efektivitě komunikačních aktivit je proto vhodné především aplikovat doporučení původního Komunikačního plánu, a to </w:t>
      </w:r>
      <w:bookmarkStart w:id="170" w:name="_Hlk46302962"/>
      <w:r>
        <w:t xml:space="preserve">zavedení systematického sběru zpětné vazby se strany žadatelů o podporu a pravidelného sběru dat ze strany široké veřejnosti (alespoň v rozsahu specifikovaném pro kvantifikaci monitorovacího indikátoru 80110/80120) </w:t>
      </w:r>
      <w:r w:rsidR="00487086">
        <w:br/>
      </w:r>
      <w:r>
        <w:t>a výroční vyhodnocování efektivity komunikačních aktivit (vč. finanční) v rozsahu hodnotící tabulky uvedené na straně 41 Komunikačního plánu</w:t>
      </w:r>
      <w:bookmarkEnd w:id="170"/>
      <w:r>
        <w:t xml:space="preserve">, která by poskytla systematizovanou zpětnou vazbu </w:t>
      </w:r>
      <w:r w:rsidR="00487086">
        <w:br/>
      </w:r>
      <w:r>
        <w:t>ve vztahu k implementaci RKoP pro daný rok. Taková zpětná vazba prozatím není poskytována</w:t>
      </w:r>
      <w:r w:rsidR="00425B0B">
        <w:t xml:space="preserve"> </w:t>
      </w:r>
      <w:r>
        <w:t>–</w:t>
      </w:r>
      <w:r w:rsidR="00425B0B">
        <w:t xml:space="preserve"> </w:t>
      </w:r>
      <w:r>
        <w:t xml:space="preserve">informační aktivity sice jsou monitorovány na úrovni výstupů, tento monitoring ale není přímo propojen s implementací stávajícího RKoP (tj. které aktivity byly implementovány a které nikoliv </w:t>
      </w:r>
      <w:r w:rsidR="00487086">
        <w:br/>
      </w:r>
      <w:r>
        <w:t xml:space="preserve">nebo v jiném rozsahu a proč; jak byl naplněn finanční plán RKoP; které z cílů RKoP byly naplněny </w:t>
      </w:r>
      <w:r w:rsidR="00487086">
        <w:br/>
      </w:r>
      <w:r>
        <w:t xml:space="preserve">a které ne atd.) ani s formulací nového. Je ale nutné poznamenat, že tato doporučení se vztahují především k novému programovému období. Implementace OP PIK je v tak pokročilé fázi, že míra závazkování se blíží alokacím jednotlivých PO (s výjimkou PO 5) a přesnější zacílení komunikačních aktivit tak již nemůže mít významnější efekt na čerpání programu (s výjimkou aktivit zaměřených </w:t>
      </w:r>
      <w:r w:rsidR="00487086">
        <w:br/>
      </w:r>
      <w:r>
        <w:t>na prevenci chyb v implementaci, které by způsobovaly nedočerpávání alokací projektů). Ve vztahu k plánování komunikačních aktivit v novém PO by rovněž bylo vhodné analyzovat publicitu OP PIK jako celek formou tematické evaluace, která by poskytla bezprostřední vstupy pro komunikaci nového programu.</w:t>
      </w:r>
    </w:p>
    <w:p w14:paraId="213DAFAA" w14:textId="77777777" w:rsidR="00B323B4" w:rsidRDefault="00B323B4">
      <w:pPr>
        <w:spacing w:after="200"/>
        <w:jc w:val="left"/>
      </w:pPr>
      <w:r>
        <w:br w:type="page"/>
      </w:r>
    </w:p>
    <w:p w14:paraId="5688BF7C" w14:textId="77777777" w:rsidR="00B323B4" w:rsidRDefault="00B323B4" w:rsidP="00CE6DA3">
      <w:pPr>
        <w:pStyle w:val="Nadpis1"/>
      </w:pPr>
      <w:bookmarkStart w:id="171" w:name="_Toc46216109"/>
      <w:bookmarkStart w:id="172" w:name="_Toc46303723"/>
      <w:bookmarkStart w:id="173" w:name="_Toc50456797"/>
      <w:r>
        <w:lastRenderedPageBreak/>
        <w:t>Informační zdroje</w:t>
      </w:r>
      <w:bookmarkEnd w:id="171"/>
      <w:bookmarkEnd w:id="172"/>
      <w:bookmarkEnd w:id="173"/>
    </w:p>
    <w:p w14:paraId="5726D0C3" w14:textId="77777777" w:rsidR="00B323B4" w:rsidRDefault="00B323B4" w:rsidP="00B323B4">
      <w:pPr>
        <w:rPr>
          <w:u w:val="single"/>
        </w:rPr>
      </w:pPr>
      <w:r>
        <w:rPr>
          <w:u w:val="single"/>
        </w:rPr>
        <w:t>Zdroje vztahující se k programovému dokumentu</w:t>
      </w:r>
    </w:p>
    <w:p w14:paraId="0723A515" w14:textId="77777777" w:rsidR="00B323B4" w:rsidRDefault="00B323B4" w:rsidP="00B323B4">
      <w:pPr>
        <w:pStyle w:val="Odrky1"/>
        <w:numPr>
          <w:ilvl w:val="0"/>
          <w:numId w:val="7"/>
        </w:numPr>
        <w:spacing w:after="40"/>
      </w:pPr>
      <w:r>
        <w:t>OP PIK vč. příloh a dalších souvisejících dokumentů</w:t>
      </w:r>
    </w:p>
    <w:p w14:paraId="7D80BABE" w14:textId="77777777" w:rsidR="00B323B4" w:rsidRDefault="00B323B4" w:rsidP="00B323B4">
      <w:pPr>
        <w:pStyle w:val="Odrky1"/>
        <w:numPr>
          <w:ilvl w:val="0"/>
          <w:numId w:val="7"/>
        </w:numPr>
        <w:spacing w:after="40"/>
      </w:pPr>
      <w:r>
        <w:t>Výzva Technická pomoc OP PIK</w:t>
      </w:r>
    </w:p>
    <w:p w14:paraId="4E88F9FE" w14:textId="77777777" w:rsidR="00B323B4" w:rsidRDefault="00B323B4" w:rsidP="00B323B4">
      <w:pPr>
        <w:pStyle w:val="Odrky1"/>
        <w:numPr>
          <w:ilvl w:val="0"/>
          <w:numId w:val="7"/>
        </w:numPr>
        <w:spacing w:after="40"/>
      </w:pPr>
      <w:r>
        <w:t>Operační manuál včetně příloh</w:t>
      </w:r>
    </w:p>
    <w:p w14:paraId="77EB5F8F" w14:textId="77777777" w:rsidR="00B323B4" w:rsidRDefault="00B323B4" w:rsidP="00B323B4">
      <w:pPr>
        <w:pStyle w:val="Odrky1"/>
        <w:numPr>
          <w:ilvl w:val="0"/>
          <w:numId w:val="7"/>
        </w:numPr>
        <w:spacing w:after="40"/>
      </w:pPr>
      <w:r>
        <w:t>Výroční zprávy o realizaci OP PIK</w:t>
      </w:r>
    </w:p>
    <w:p w14:paraId="1BBDEC6F" w14:textId="77777777" w:rsidR="00B323B4" w:rsidRDefault="00B323B4" w:rsidP="00B323B4">
      <w:pPr>
        <w:pStyle w:val="Odrky1"/>
        <w:numPr>
          <w:ilvl w:val="0"/>
          <w:numId w:val="7"/>
        </w:numPr>
        <w:spacing w:after="40"/>
      </w:pPr>
      <w:r>
        <w:t>Interní projekty (IP) realizované v rámci TP OP PIK</w:t>
      </w:r>
    </w:p>
    <w:p w14:paraId="60241EFC" w14:textId="77777777" w:rsidR="00B323B4" w:rsidRDefault="00B323B4" w:rsidP="00B323B4">
      <w:pPr>
        <w:pStyle w:val="Odrky1"/>
        <w:numPr>
          <w:ilvl w:val="0"/>
          <w:numId w:val="7"/>
        </w:numPr>
        <w:spacing w:after="40"/>
      </w:pPr>
      <w:r>
        <w:t>Metodické prostředí ŘO OP PIK (metodické pokyny)</w:t>
      </w:r>
    </w:p>
    <w:p w14:paraId="64C5A062" w14:textId="77777777" w:rsidR="00B323B4" w:rsidRDefault="00B323B4" w:rsidP="00B323B4">
      <w:pPr>
        <w:pStyle w:val="Odrky1"/>
        <w:numPr>
          <w:ilvl w:val="0"/>
          <w:numId w:val="7"/>
        </w:numPr>
        <w:spacing w:after="40"/>
      </w:pPr>
      <w:r>
        <w:t>Metodické prostředí NOK</w:t>
      </w:r>
    </w:p>
    <w:p w14:paraId="0CA6AC97" w14:textId="77777777" w:rsidR="00B323B4" w:rsidRDefault="00B323B4" w:rsidP="00B323B4">
      <w:pPr>
        <w:pStyle w:val="Odrky1"/>
        <w:numPr>
          <w:ilvl w:val="0"/>
          <w:numId w:val="7"/>
        </w:numPr>
        <w:spacing w:after="40"/>
      </w:pPr>
      <w:r>
        <w:t>Organizační řády ŘO a ZS</w:t>
      </w:r>
    </w:p>
    <w:p w14:paraId="7137E04A" w14:textId="77777777" w:rsidR="00B323B4" w:rsidRDefault="00B323B4" w:rsidP="00B323B4">
      <w:pPr>
        <w:pStyle w:val="Odrky1"/>
        <w:numPr>
          <w:ilvl w:val="0"/>
          <w:numId w:val="7"/>
        </w:numPr>
        <w:spacing w:after="40"/>
      </w:pPr>
      <w:r>
        <w:t>Ad-hoc data související s administrativní kapacitou ŘO a ZS, zprávy o administrativní kapacitě ŘO a ZS</w:t>
      </w:r>
    </w:p>
    <w:p w14:paraId="07A46302" w14:textId="77777777" w:rsidR="00B323B4" w:rsidRDefault="00B323B4" w:rsidP="00B323B4">
      <w:pPr>
        <w:pStyle w:val="Odrky1"/>
        <w:numPr>
          <w:ilvl w:val="0"/>
          <w:numId w:val="7"/>
        </w:numPr>
        <w:spacing w:after="40"/>
      </w:pPr>
      <w:r>
        <w:t>Data k monitorovacím indikátorům – agregační mapa indikátorů atd.</w:t>
      </w:r>
    </w:p>
    <w:p w14:paraId="4876FB66" w14:textId="77777777" w:rsidR="00B323B4" w:rsidRDefault="00B323B4" w:rsidP="00B323B4">
      <w:pPr>
        <w:pStyle w:val="Odrky1"/>
        <w:numPr>
          <w:ilvl w:val="0"/>
          <w:numId w:val="7"/>
        </w:numPr>
        <w:spacing w:after="40"/>
      </w:pPr>
      <w:r>
        <w:t>Data vztahující se k plnění Komunikačního plánu</w:t>
      </w:r>
    </w:p>
    <w:p w14:paraId="17975053" w14:textId="77777777" w:rsidR="00B323B4" w:rsidRDefault="00B323B4" w:rsidP="00B323B4">
      <w:pPr>
        <w:pStyle w:val="Odrky1"/>
        <w:numPr>
          <w:ilvl w:val="0"/>
          <w:numId w:val="7"/>
        </w:numPr>
        <w:spacing w:after="40"/>
      </w:pPr>
      <w:r>
        <w:t>Výstupy kontrol NKÚ vztahující se k TP OP PIK</w:t>
      </w:r>
    </w:p>
    <w:p w14:paraId="22F13295" w14:textId="77777777" w:rsidR="00B323B4" w:rsidRDefault="00B323B4" w:rsidP="00B323B4">
      <w:pPr>
        <w:pStyle w:val="Odrky1"/>
        <w:numPr>
          <w:ilvl w:val="0"/>
          <w:numId w:val="7"/>
        </w:numPr>
        <w:spacing w:after="40"/>
      </w:pPr>
      <w:r>
        <w:t>Nařízení EP a Rady (EU) č. 1303/2013 a č. 1301/2013 ze dne 17. prosince 2013 a další relevantní legislativa</w:t>
      </w:r>
    </w:p>
    <w:p w14:paraId="1A2E3AF9" w14:textId="77777777" w:rsidR="00B323B4" w:rsidRDefault="00B323B4" w:rsidP="00B323B4">
      <w:pPr>
        <w:pStyle w:val="Odrky1"/>
        <w:numPr>
          <w:ilvl w:val="0"/>
          <w:numId w:val="7"/>
        </w:numPr>
        <w:spacing w:after="40"/>
      </w:pPr>
      <w:r>
        <w:t>Starší operační programy zaměřené na podnikání</w:t>
      </w:r>
    </w:p>
    <w:p w14:paraId="7A9928D0" w14:textId="77777777" w:rsidR="00B323B4" w:rsidRDefault="00B323B4" w:rsidP="00B323B4">
      <w:pPr>
        <w:pStyle w:val="Odrky1"/>
        <w:numPr>
          <w:ilvl w:val="0"/>
          <w:numId w:val="7"/>
        </w:numPr>
        <w:spacing w:after="40"/>
      </w:pPr>
      <w:r>
        <w:t>Klíčové evaluace:</w:t>
      </w:r>
    </w:p>
    <w:p w14:paraId="60BFA2E7" w14:textId="25A336CD" w:rsidR="00B323B4" w:rsidRDefault="00B323B4" w:rsidP="00B323B4">
      <w:pPr>
        <w:pStyle w:val="Odrky1"/>
        <w:numPr>
          <w:ilvl w:val="1"/>
          <w:numId w:val="7"/>
        </w:numPr>
        <w:spacing w:after="40"/>
      </w:pPr>
      <w:r>
        <w:t>Hodnocení řídících procesů v oblasti Technické pomoci OP</w:t>
      </w:r>
      <w:r w:rsidR="00E52B39">
        <w:t xml:space="preserve"> </w:t>
      </w:r>
      <w:r>
        <w:t xml:space="preserve">PI, MPO 2011 </w:t>
      </w:r>
    </w:p>
    <w:p w14:paraId="32D97520" w14:textId="77777777" w:rsidR="00B323B4" w:rsidRDefault="00B323B4" w:rsidP="00B323B4">
      <w:pPr>
        <w:pStyle w:val="Odrky1"/>
        <w:numPr>
          <w:ilvl w:val="1"/>
          <w:numId w:val="7"/>
        </w:numPr>
        <w:spacing w:after="40"/>
      </w:pPr>
      <w:r>
        <w:t>Evaluace metodického prostředí z pohledu implementační struktury, MMR 2019</w:t>
      </w:r>
    </w:p>
    <w:p w14:paraId="5B6F141B" w14:textId="77777777" w:rsidR="00B323B4" w:rsidRDefault="00B323B4" w:rsidP="00B323B4">
      <w:pPr>
        <w:pStyle w:val="Odrky1"/>
        <w:numPr>
          <w:ilvl w:val="1"/>
          <w:numId w:val="7"/>
        </w:numPr>
        <w:spacing w:after="40"/>
        <w:rPr>
          <w:iCs/>
        </w:rPr>
      </w:pPr>
      <w:r>
        <w:rPr>
          <w:rFonts w:ascii="Calibri" w:hAnsi="Calibri"/>
          <w:iCs/>
        </w:rPr>
        <w:t>Indikátory spokojenosti zaměstnanců ESIF, MMR 2014</w:t>
      </w:r>
      <w:r w:rsidR="00487086">
        <w:rPr>
          <w:rFonts w:ascii="Calibri" w:hAnsi="Calibri"/>
          <w:iCs/>
        </w:rPr>
        <w:t xml:space="preserve"> </w:t>
      </w:r>
      <w:r>
        <w:rPr>
          <w:rFonts w:ascii="Calibri" w:hAnsi="Calibri"/>
          <w:iCs/>
        </w:rPr>
        <w:t>–</w:t>
      </w:r>
      <w:r w:rsidR="00487086">
        <w:rPr>
          <w:rFonts w:ascii="Calibri" w:hAnsi="Calibri"/>
          <w:iCs/>
        </w:rPr>
        <w:t xml:space="preserve"> </w:t>
      </w:r>
      <w:r>
        <w:rPr>
          <w:rFonts w:ascii="Calibri" w:hAnsi="Calibri"/>
          <w:iCs/>
        </w:rPr>
        <w:t xml:space="preserve">2017 </w:t>
      </w:r>
    </w:p>
    <w:p w14:paraId="4F633496" w14:textId="77777777" w:rsidR="00B323B4" w:rsidRDefault="00B323B4" w:rsidP="00B323B4">
      <w:pPr>
        <w:pStyle w:val="Odrky1"/>
        <w:numPr>
          <w:ilvl w:val="1"/>
          <w:numId w:val="7"/>
        </w:numPr>
        <w:spacing w:after="40"/>
        <w:rPr>
          <w:iCs/>
        </w:rPr>
      </w:pPr>
      <w:r>
        <w:rPr>
          <w:iCs/>
        </w:rPr>
        <w:t>Hodnocení procesů a lhůt v programech a JMP – průvodce procesní evaluací, MMR 2016</w:t>
      </w:r>
    </w:p>
    <w:p w14:paraId="2BE54419" w14:textId="77777777" w:rsidR="00B323B4" w:rsidRDefault="00B323B4" w:rsidP="00B323B4">
      <w:pPr>
        <w:pStyle w:val="Odrky1"/>
        <w:numPr>
          <w:ilvl w:val="1"/>
          <w:numId w:val="7"/>
        </w:numPr>
        <w:spacing w:after="40"/>
        <w:rPr>
          <w:iCs/>
        </w:rPr>
      </w:pPr>
      <w:r>
        <w:rPr>
          <w:iCs/>
        </w:rPr>
        <w:t>Průběžná zpráva z procesní evaluace ESI fondů v České republice: "Systems thinking", MMR 2016</w:t>
      </w:r>
    </w:p>
    <w:p w14:paraId="15723240" w14:textId="77777777" w:rsidR="00B323B4" w:rsidRDefault="00B323B4" w:rsidP="00B323B4">
      <w:pPr>
        <w:pStyle w:val="Odrky1"/>
        <w:numPr>
          <w:ilvl w:val="0"/>
          <w:numId w:val="7"/>
        </w:numPr>
        <w:spacing w:after="40"/>
      </w:pPr>
      <w:r>
        <w:t>Relevantní části a závěry výsledkových evaluační OP PIK relevantní pro hodnocení TP (administrace žádostí a kapacita struktury, znalostní základna, informovanost cílových skupin o zdroji financování atd.)</w:t>
      </w:r>
    </w:p>
    <w:p w14:paraId="58FE7972" w14:textId="77777777" w:rsidR="00B323B4" w:rsidRDefault="00B323B4" w:rsidP="00B323B4">
      <w:pPr>
        <w:pStyle w:val="Odrky1"/>
        <w:numPr>
          <w:ilvl w:val="0"/>
          <w:numId w:val="7"/>
        </w:numPr>
        <w:spacing w:after="40"/>
      </w:pPr>
      <w:r>
        <w:t>Další evaluační zprávy s důrazem na průběžná hodnocení OP PIK, ex-post hodnocení OP PI a příp. OP PP a tematické evaluace vztahující se k TP, komunikačním aktivitám atd.</w:t>
      </w:r>
    </w:p>
    <w:p w14:paraId="3585ED18" w14:textId="52B3C4D4" w:rsidR="00B323B4" w:rsidRDefault="00B323B4" w:rsidP="00B323B4">
      <w:pPr>
        <w:pStyle w:val="Odrky1"/>
        <w:numPr>
          <w:ilvl w:val="0"/>
          <w:numId w:val="7"/>
        </w:numPr>
        <w:spacing w:after="40"/>
      </w:pPr>
      <w:r>
        <w:t>„Analýza absorpční kapacity a návrh cílových hodnot indikátoru OP PIK 2014</w:t>
      </w:r>
      <w:r w:rsidR="00487086">
        <w:t xml:space="preserve"> </w:t>
      </w:r>
      <w:r>
        <w:t>–</w:t>
      </w:r>
      <w:r w:rsidR="00487086">
        <w:t xml:space="preserve"> </w:t>
      </w:r>
      <w:r>
        <w:t>2020“, „Analýza indikátorů výsledku OP PIK 2014</w:t>
      </w:r>
      <w:r w:rsidR="00487086">
        <w:t xml:space="preserve"> </w:t>
      </w:r>
      <w:r>
        <w:t>–</w:t>
      </w:r>
      <w:r w:rsidR="00487086">
        <w:t xml:space="preserve"> </w:t>
      </w:r>
      <w:r>
        <w:t>2020“</w:t>
      </w:r>
    </w:p>
    <w:p w14:paraId="6DE59406" w14:textId="77777777" w:rsidR="00B323B4" w:rsidRDefault="00B323B4" w:rsidP="00B323B4">
      <w:pPr>
        <w:rPr>
          <w:u w:val="single"/>
        </w:rPr>
      </w:pPr>
      <w:r>
        <w:rPr>
          <w:u w:val="single"/>
        </w:rPr>
        <w:t>Metodické pokyny</w:t>
      </w:r>
    </w:p>
    <w:p w14:paraId="1B6C9003" w14:textId="77777777" w:rsidR="00B323B4" w:rsidRDefault="00B323B4" w:rsidP="00B323B4">
      <w:pPr>
        <w:pStyle w:val="Odrky1"/>
        <w:numPr>
          <w:ilvl w:val="0"/>
          <w:numId w:val="7"/>
        </w:numPr>
        <w:spacing w:after="40"/>
      </w:pPr>
      <w:r>
        <w:t>Jednotný národní rámec pravidel a postupů a další dokumenty související s JMP, především:</w:t>
      </w:r>
    </w:p>
    <w:p w14:paraId="2EDD70DF" w14:textId="77777777" w:rsidR="00B323B4" w:rsidRDefault="00B323B4" w:rsidP="00B323B4">
      <w:pPr>
        <w:pStyle w:val="Odrky1"/>
        <w:numPr>
          <w:ilvl w:val="1"/>
          <w:numId w:val="7"/>
        </w:numPr>
        <w:spacing w:after="40"/>
      </w:pPr>
      <w:r>
        <w:t>Metodika řízení programů v programovém období 2014–2020</w:t>
      </w:r>
    </w:p>
    <w:p w14:paraId="003FF42E" w14:textId="77777777" w:rsidR="00B323B4" w:rsidRDefault="00B323B4" w:rsidP="00B323B4">
      <w:pPr>
        <w:pStyle w:val="Odrky1"/>
        <w:numPr>
          <w:ilvl w:val="1"/>
          <w:numId w:val="7"/>
        </w:numPr>
        <w:spacing w:after="40"/>
      </w:pPr>
      <w:r>
        <w:t>Metodický pokyn Zásady tvorby a používání indikátorů</w:t>
      </w:r>
    </w:p>
    <w:p w14:paraId="30874208" w14:textId="77777777" w:rsidR="00B323B4" w:rsidRDefault="00B323B4" w:rsidP="00B323B4">
      <w:pPr>
        <w:pStyle w:val="Odrky1"/>
        <w:numPr>
          <w:ilvl w:val="1"/>
          <w:numId w:val="7"/>
        </w:numPr>
        <w:spacing w:after="40"/>
      </w:pPr>
      <w:r>
        <w:lastRenderedPageBreak/>
        <w:t>Metodický pokyn pro přípravu řídící dokumentace programů</w:t>
      </w:r>
    </w:p>
    <w:p w14:paraId="4FFD0506" w14:textId="77777777" w:rsidR="00B323B4" w:rsidRDefault="00B323B4" w:rsidP="00B323B4">
      <w:pPr>
        <w:pStyle w:val="Odrky1"/>
        <w:numPr>
          <w:ilvl w:val="1"/>
          <w:numId w:val="7"/>
        </w:numPr>
        <w:spacing w:after="40"/>
      </w:pPr>
      <w:r>
        <w:t>Metodický pokyn pro oblast zadávání zakázek</w:t>
      </w:r>
    </w:p>
    <w:p w14:paraId="38B6906C" w14:textId="77777777" w:rsidR="00B323B4" w:rsidRDefault="00B323B4" w:rsidP="00B323B4">
      <w:pPr>
        <w:pStyle w:val="Odrky1"/>
        <w:numPr>
          <w:ilvl w:val="1"/>
          <w:numId w:val="7"/>
        </w:numPr>
        <w:spacing w:after="40"/>
      </w:pPr>
      <w:r>
        <w:t>Metodický pokyn pro publicitu a komunikaci ESI fondů</w:t>
      </w:r>
    </w:p>
    <w:p w14:paraId="4ECF3F86" w14:textId="77777777" w:rsidR="00B323B4" w:rsidRDefault="00B323B4" w:rsidP="00B323B4">
      <w:pPr>
        <w:pStyle w:val="Odrky1"/>
        <w:numPr>
          <w:ilvl w:val="1"/>
          <w:numId w:val="7"/>
        </w:numPr>
        <w:spacing w:after="40"/>
      </w:pPr>
      <w:r>
        <w:t>Metodický pokyn procesů řízení a monitorování ESI fondů</w:t>
      </w:r>
    </w:p>
    <w:p w14:paraId="7FC4CBAC" w14:textId="77777777" w:rsidR="00B323B4" w:rsidRDefault="00B323B4" w:rsidP="00B323B4">
      <w:pPr>
        <w:pStyle w:val="Odrky1"/>
        <w:numPr>
          <w:ilvl w:val="1"/>
          <w:numId w:val="7"/>
        </w:numPr>
        <w:spacing w:after="40"/>
      </w:pPr>
      <w:r>
        <w:t>Metodický pokyn k rozvoji lidských zdrojů</w:t>
      </w:r>
    </w:p>
    <w:p w14:paraId="3BC67714" w14:textId="77777777" w:rsidR="00B323B4" w:rsidRDefault="00B323B4" w:rsidP="00B323B4">
      <w:pPr>
        <w:pStyle w:val="Odrky1"/>
        <w:numPr>
          <w:ilvl w:val="0"/>
          <w:numId w:val="7"/>
        </w:numPr>
        <w:spacing w:after="40"/>
      </w:pPr>
      <w:r>
        <w:t>Metodické prostředí ŘO OP PIK</w:t>
      </w:r>
    </w:p>
    <w:p w14:paraId="47D2FBD4" w14:textId="77777777" w:rsidR="00B323B4" w:rsidRDefault="00B323B4" w:rsidP="00B323B4">
      <w:pPr>
        <w:pStyle w:val="Odrky1"/>
        <w:numPr>
          <w:ilvl w:val="0"/>
          <w:numId w:val="7"/>
        </w:numPr>
        <w:spacing w:after="40"/>
      </w:pPr>
      <w:r>
        <w:t>Operační manuál OP PIK</w:t>
      </w:r>
    </w:p>
    <w:p w14:paraId="0413CB63" w14:textId="77777777" w:rsidR="00B323B4" w:rsidRDefault="00B323B4" w:rsidP="00B323B4">
      <w:pPr>
        <w:pStyle w:val="Odrky1"/>
        <w:numPr>
          <w:ilvl w:val="0"/>
          <w:numId w:val="7"/>
        </w:numPr>
        <w:spacing w:after="40"/>
      </w:pPr>
      <w:r>
        <w:t xml:space="preserve">Další metodické a podpůrné dokumenty zpracované EK (např. zpráva </w:t>
      </w:r>
      <w:r>
        <w:rPr>
          <w:rFonts w:ascii="Calibri" w:hAnsi="Calibri"/>
          <w:i/>
        </w:rPr>
        <w:t>New assessment of ESIF administrative costs and burden</w:t>
      </w:r>
      <w:r>
        <w:rPr>
          <w:rFonts w:ascii="Calibri" w:hAnsi="Calibri"/>
          <w:iCs/>
        </w:rPr>
        <w:t>)</w:t>
      </w:r>
    </w:p>
    <w:p w14:paraId="066E4081" w14:textId="77777777" w:rsidR="00B323B4" w:rsidRDefault="00B323B4" w:rsidP="00B323B4">
      <w:r>
        <w:rPr>
          <w:u w:val="single"/>
        </w:rPr>
        <w:t xml:space="preserve">Metodologické podklady </w:t>
      </w:r>
      <w:r>
        <w:t>(využito rovněž při zpracování této nabídky):</w:t>
      </w:r>
    </w:p>
    <w:p w14:paraId="4EAD366E" w14:textId="77777777" w:rsidR="00B323B4" w:rsidRDefault="00B323B4" w:rsidP="00B323B4">
      <w:pPr>
        <w:pStyle w:val="Odrky1"/>
        <w:numPr>
          <w:ilvl w:val="0"/>
          <w:numId w:val="7"/>
        </w:numPr>
        <w:spacing w:after="40"/>
      </w:pPr>
      <w:r>
        <w:t>Kokeš, R. – Kváča, V.: Průvodce procesní evaluací</w:t>
      </w:r>
    </w:p>
    <w:p w14:paraId="660E022F" w14:textId="77777777" w:rsidR="00B323B4" w:rsidRDefault="00B323B4" w:rsidP="00B323B4">
      <w:pPr>
        <w:pStyle w:val="Odrky1"/>
        <w:numPr>
          <w:ilvl w:val="0"/>
          <w:numId w:val="7"/>
        </w:numPr>
        <w:spacing w:after="40"/>
      </w:pPr>
      <w:r>
        <w:t xml:space="preserve">Internetové zdroje dostupné na </w:t>
      </w:r>
      <w:r w:rsidRPr="00153FE6">
        <w:t>www.vanguard-method.net</w:t>
      </w:r>
      <w:r>
        <w:t xml:space="preserve"> </w:t>
      </w:r>
    </w:p>
    <w:p w14:paraId="4276B850" w14:textId="77777777" w:rsidR="00B323B4" w:rsidRDefault="00B323B4" w:rsidP="00B323B4">
      <w:pPr>
        <w:pStyle w:val="Odrky1"/>
        <w:numPr>
          <w:ilvl w:val="0"/>
          <w:numId w:val="7"/>
        </w:numPr>
        <w:spacing w:after="40"/>
      </w:pPr>
      <w:r>
        <w:t>Morra-Imas, L., Rist, R. C. (2008): The Road to Results – Designing and Conducting Effective Development Evaluations World Bank</w:t>
      </w:r>
    </w:p>
    <w:p w14:paraId="5F89BCD6" w14:textId="77777777" w:rsidR="00B323B4" w:rsidRDefault="00B323B4" w:rsidP="00B323B4">
      <w:pPr>
        <w:pStyle w:val="Odrky1"/>
        <w:numPr>
          <w:ilvl w:val="0"/>
          <w:numId w:val="7"/>
        </w:numPr>
        <w:spacing w:after="40"/>
      </w:pPr>
      <w:r>
        <w:t>White, H. (2009) Theory Based Impact Evaluation: Principles and Practice. International Initiative for Impact Evaluation (3ie), Working Paper 3</w:t>
      </w:r>
    </w:p>
    <w:p w14:paraId="421E4D89" w14:textId="77777777" w:rsidR="00B323B4" w:rsidRDefault="00B323B4" w:rsidP="00B323B4">
      <w:pPr>
        <w:pStyle w:val="Odrky1"/>
        <w:numPr>
          <w:ilvl w:val="0"/>
          <w:numId w:val="7"/>
        </w:numPr>
        <w:spacing w:after="40"/>
      </w:pPr>
      <w:r>
        <w:t>Chen, H. T. (2015): Practical Program Evaluation Theory-Driven Evaluation and the Integrated Evaluation Perspective, Second Edition, Huey-tsyh Chen, Sage, 2015</w:t>
      </w:r>
    </w:p>
    <w:p w14:paraId="1F915AE9" w14:textId="77777777" w:rsidR="00B323B4" w:rsidRDefault="00B323B4" w:rsidP="00B323B4">
      <w:pPr>
        <w:pStyle w:val="Odrky1"/>
        <w:numPr>
          <w:ilvl w:val="0"/>
          <w:numId w:val="7"/>
        </w:numPr>
        <w:spacing w:after="40"/>
      </w:pPr>
      <w:r>
        <w:t>EVALSED: The resource for the evaluation of Socio-Economic Development, European Commission, September 2013</w:t>
      </w:r>
    </w:p>
    <w:p w14:paraId="265963D4" w14:textId="77777777" w:rsidR="00B323B4" w:rsidRDefault="00B323B4" w:rsidP="00B323B4">
      <w:pPr>
        <w:pStyle w:val="Odrky1"/>
        <w:numPr>
          <w:ilvl w:val="0"/>
          <w:numId w:val="7"/>
        </w:numPr>
        <w:spacing w:after="40"/>
      </w:pPr>
      <w:r>
        <w:t>Shahidur R. Khandker; Handbook on Impact Evaluation – Quantitative Methods and Practices; Světová Banka 2010</w:t>
      </w:r>
    </w:p>
    <w:p w14:paraId="4E5784EC" w14:textId="77777777" w:rsidR="00B323B4" w:rsidRDefault="00B323B4" w:rsidP="00B323B4">
      <w:pPr>
        <w:pStyle w:val="Odrky1"/>
        <w:numPr>
          <w:ilvl w:val="0"/>
          <w:numId w:val="7"/>
        </w:numPr>
        <w:spacing w:after="40"/>
      </w:pPr>
      <w:r>
        <w:t>The Magenta Book, Guidance for Evaluation, HM Treasury, 2011</w:t>
      </w:r>
    </w:p>
    <w:p w14:paraId="0E932176" w14:textId="77777777" w:rsidR="00B323B4" w:rsidRDefault="00B323B4" w:rsidP="00B323B4">
      <w:pPr>
        <w:pStyle w:val="Odrky1"/>
        <w:numPr>
          <w:ilvl w:val="0"/>
          <w:numId w:val="7"/>
        </w:numPr>
        <w:spacing w:after="40"/>
      </w:pPr>
      <w:r>
        <w:t>Česká evaluační společnost: Etický kodex evaluátora a Formální standardy provádění evaluací</w:t>
      </w:r>
    </w:p>
    <w:p w14:paraId="3D776989" w14:textId="77777777" w:rsidR="00B323B4" w:rsidRDefault="00B323B4" w:rsidP="00B323B4">
      <w:pPr>
        <w:pStyle w:val="Odrky1"/>
        <w:numPr>
          <w:ilvl w:val="0"/>
          <w:numId w:val="7"/>
        </w:numPr>
        <w:spacing w:after="40"/>
      </w:pPr>
      <w:r>
        <w:t>Kokeš, R., Kváča V. (2016): Průvodce procesní evaluací: Toyota Production Systém for (Public) Service Organisation</w:t>
      </w:r>
    </w:p>
    <w:p w14:paraId="2918730E" w14:textId="77777777" w:rsidR="00B323B4" w:rsidRDefault="00B323B4" w:rsidP="00B323B4">
      <w:pPr>
        <w:pStyle w:val="Odrky1"/>
        <w:numPr>
          <w:ilvl w:val="0"/>
          <w:numId w:val="7"/>
        </w:numPr>
        <w:spacing w:after="40"/>
      </w:pPr>
      <w:r>
        <w:t>Ministerstvo pro místní rozvoj, Národní orgán pro kooordinaci (2016): Administrativní zátěž a výkonnost procesu hodnocení žádostí o podporu v programových obdobích 2007+ a 2014+</w:t>
      </w:r>
    </w:p>
    <w:p w14:paraId="2A02A219" w14:textId="77777777" w:rsidR="00B323B4" w:rsidRDefault="00B323B4" w:rsidP="00B323B4">
      <w:pPr>
        <w:pStyle w:val="Odrky1"/>
        <w:numPr>
          <w:ilvl w:val="0"/>
          <w:numId w:val="7"/>
        </w:numPr>
        <w:spacing w:after="40"/>
      </w:pPr>
      <w:r>
        <w:t>Hendl, J. (1999). Úvod do kvalitativního výzkumu. Praha: Karolinum.</w:t>
      </w:r>
    </w:p>
    <w:p w14:paraId="421173E5" w14:textId="77777777" w:rsidR="00B323B4" w:rsidRDefault="00B323B4" w:rsidP="00B323B4">
      <w:pPr>
        <w:pStyle w:val="Odrky1"/>
        <w:numPr>
          <w:ilvl w:val="0"/>
          <w:numId w:val="7"/>
        </w:numPr>
        <w:spacing w:after="40"/>
      </w:pPr>
      <w:r>
        <w:t>Surynek, A. (2001). Základy sociologického výzkumu. 1.vyd. Praha: Management Press</w:t>
      </w:r>
    </w:p>
    <w:p w14:paraId="3297F7BA" w14:textId="77777777" w:rsidR="00B323B4" w:rsidRDefault="00B323B4" w:rsidP="00B323B4">
      <w:pPr>
        <w:pStyle w:val="Odrky1"/>
        <w:numPr>
          <w:ilvl w:val="0"/>
          <w:numId w:val="7"/>
        </w:numPr>
        <w:spacing w:after="40"/>
      </w:pPr>
      <w:r>
        <w:t>Reichel, J. (2009): Kapitoly metodologie sociálních výzkumů. Vyd. 1. Praha: Grada Publishing, a. s., 2009</w:t>
      </w:r>
    </w:p>
    <w:p w14:paraId="0B0764C1" w14:textId="77777777" w:rsidR="00B323B4" w:rsidRDefault="00B323B4" w:rsidP="00B323B4">
      <w:pPr>
        <w:pStyle w:val="Odrky1"/>
        <w:numPr>
          <w:ilvl w:val="0"/>
          <w:numId w:val="7"/>
        </w:numPr>
        <w:spacing w:after="40"/>
      </w:pPr>
      <w:r>
        <w:t>Giddens, A. (2013). Sociologie. Praha: Argo.</w:t>
      </w:r>
    </w:p>
    <w:p w14:paraId="35B0ECD9" w14:textId="77777777" w:rsidR="00B323B4" w:rsidRDefault="00B323B4" w:rsidP="00B323B4">
      <w:pPr>
        <w:pStyle w:val="Odrky1"/>
        <w:numPr>
          <w:ilvl w:val="0"/>
          <w:numId w:val="7"/>
        </w:numPr>
        <w:spacing w:after="40"/>
      </w:pPr>
      <w:r>
        <w:t>Jandourek, J. (2003). Úvod do sociologie. Praha: Portál.</w:t>
      </w:r>
    </w:p>
    <w:p w14:paraId="5F7B052A" w14:textId="77777777" w:rsidR="00B323B4" w:rsidRDefault="00B323B4" w:rsidP="00B323B4">
      <w:pPr>
        <w:pStyle w:val="Odrky1"/>
        <w:numPr>
          <w:ilvl w:val="0"/>
          <w:numId w:val="7"/>
        </w:numPr>
        <w:spacing w:after="40"/>
      </w:pPr>
      <w:r>
        <w:t>Dillman, D., Smyth, J., Christian, L. (2014). Internet, Phone, Mail and Mixed-Mode Surveys: The Tailored Design Method, 4th edition. John Wiley: Hoboken, NJ.</w:t>
      </w:r>
    </w:p>
    <w:p w14:paraId="0D820F47" w14:textId="77777777" w:rsidR="00B323B4" w:rsidRDefault="00B323B4" w:rsidP="00B323B4">
      <w:pPr>
        <w:pStyle w:val="Odrky1"/>
        <w:numPr>
          <w:ilvl w:val="0"/>
          <w:numId w:val="7"/>
        </w:numPr>
        <w:spacing w:after="40"/>
      </w:pPr>
      <w:r>
        <w:t>Saris, W. E., Gallhofer, I. N. (2014). Design, evaluation and analysis of questionnaires for survey research. Second Edition. Hoboken, Wiley.</w:t>
      </w:r>
    </w:p>
    <w:p w14:paraId="5190C34D" w14:textId="77777777" w:rsidR="00B323B4" w:rsidRDefault="00B323B4" w:rsidP="00B323B4">
      <w:pPr>
        <w:pStyle w:val="Odrky1"/>
        <w:numPr>
          <w:ilvl w:val="0"/>
          <w:numId w:val="7"/>
        </w:numPr>
        <w:spacing w:after="40"/>
      </w:pPr>
      <w:r>
        <w:t>Berka, P. (2003). Dobývání znalostí z databází. Praha: Academia.</w:t>
      </w:r>
    </w:p>
    <w:p w14:paraId="39A136C4" w14:textId="77777777" w:rsidR="00B323B4" w:rsidRDefault="00B323B4" w:rsidP="00B323B4">
      <w:pPr>
        <w:pStyle w:val="Odrky1"/>
        <w:numPr>
          <w:ilvl w:val="0"/>
          <w:numId w:val="7"/>
        </w:numPr>
        <w:spacing w:after="40"/>
      </w:pPr>
      <w:r>
        <w:lastRenderedPageBreak/>
        <w:t>Witten, I. H.; Frank, E.; Hall, M. A. (2011). Data Mining: Practical Machine Learning Tools and Techniques (3 ed.). Elsevier.</w:t>
      </w:r>
    </w:p>
    <w:p w14:paraId="78BED637" w14:textId="77777777" w:rsidR="00B323B4" w:rsidRDefault="00B323B4" w:rsidP="00B323B4">
      <w:pPr>
        <w:pStyle w:val="Odrky1"/>
        <w:numPr>
          <w:ilvl w:val="0"/>
          <w:numId w:val="7"/>
        </w:numPr>
        <w:spacing w:after="40"/>
      </w:pPr>
      <w:r>
        <w:t>Han, J.; Kamber, M. (2001). Data mining: concepts and techniques. Morgan Kaufmann.</w:t>
      </w:r>
    </w:p>
    <w:p w14:paraId="4C2CF417" w14:textId="77777777" w:rsidR="00B323B4" w:rsidRDefault="00B323B4" w:rsidP="00B323B4">
      <w:pPr>
        <w:pStyle w:val="Odrky1"/>
        <w:numPr>
          <w:ilvl w:val="0"/>
          <w:numId w:val="7"/>
        </w:numPr>
        <w:spacing w:after="40"/>
      </w:pPr>
      <w:r>
        <w:t xml:space="preserve">Fayyad, U.; Piatetsky-Shapiro, G.; Smyth, P. (1996). From Data Mining to Knowledge Discovery in Databases. </w:t>
      </w:r>
    </w:p>
    <w:p w14:paraId="739CF6C9" w14:textId="77777777" w:rsidR="00B323B4" w:rsidRDefault="00B323B4" w:rsidP="00B323B4">
      <w:pPr>
        <w:pStyle w:val="Odrky1"/>
        <w:numPr>
          <w:ilvl w:val="0"/>
          <w:numId w:val="7"/>
        </w:numPr>
        <w:spacing w:after="40"/>
      </w:pPr>
      <w:r>
        <w:t>Kantardzic, M. (2003). Data Mining: Concepts, Models, Methods, and Algorithms. John Wiley &amp; Sons.</w:t>
      </w:r>
    </w:p>
    <w:p w14:paraId="67B47474" w14:textId="77777777" w:rsidR="00B323B4" w:rsidRDefault="00B323B4" w:rsidP="00B323B4">
      <w:pPr>
        <w:pStyle w:val="Odrky1"/>
        <w:numPr>
          <w:ilvl w:val="0"/>
          <w:numId w:val="7"/>
        </w:numPr>
        <w:spacing w:after="40"/>
      </w:pPr>
      <w:r>
        <w:t>Hendl, J (2004). Přehled statistických metod zpracování dat. Analýza a metaanalýza dat. Portál, Praha.</w:t>
      </w:r>
    </w:p>
    <w:p w14:paraId="10E474AA" w14:textId="77777777" w:rsidR="00B323B4" w:rsidRDefault="00B323B4" w:rsidP="00B323B4">
      <w:pPr>
        <w:pStyle w:val="Odrky1"/>
        <w:numPr>
          <w:ilvl w:val="0"/>
          <w:numId w:val="7"/>
        </w:numPr>
        <w:spacing w:after="40"/>
      </w:pPr>
      <w:r>
        <w:t>Pergler, Disman a kol.: Vybrané techniky sociologického výzkumu (Praha, 1969, I. vydání), kapitola Rozhovor</w:t>
      </w:r>
    </w:p>
    <w:p w14:paraId="275C4E2A" w14:textId="77777777" w:rsidR="00B323B4" w:rsidRDefault="00B323B4" w:rsidP="00B323B4">
      <w:pPr>
        <w:pStyle w:val="Odrky1"/>
        <w:numPr>
          <w:ilvl w:val="0"/>
          <w:numId w:val="7"/>
        </w:numPr>
        <w:spacing w:after="40"/>
      </w:pPr>
      <w:r>
        <w:t>Disman, M. (2008). Jak se vyrábí sociologická znalost. Univerzita Karlova v Praze: Karolinum.</w:t>
      </w:r>
    </w:p>
    <w:p w14:paraId="1B2F61C6" w14:textId="77777777" w:rsidR="00B323B4" w:rsidRDefault="00B323B4" w:rsidP="00B323B4">
      <w:pPr>
        <w:pStyle w:val="Odrky1"/>
        <w:numPr>
          <w:ilvl w:val="0"/>
          <w:numId w:val="7"/>
        </w:numPr>
        <w:spacing w:after="40"/>
      </w:pPr>
      <w:r>
        <w:t>HENDL, Jan. Kvalitativní výzkum: základní teorie, metody a aplikace. 2., aktualiz. vyd. Praha: Portál, 2008, 407 s.</w:t>
      </w:r>
    </w:p>
    <w:p w14:paraId="03C6AB78" w14:textId="77777777" w:rsidR="00B323B4" w:rsidRDefault="00B323B4" w:rsidP="00B323B4">
      <w:pPr>
        <w:pStyle w:val="Odrky1"/>
        <w:numPr>
          <w:ilvl w:val="0"/>
          <w:numId w:val="7"/>
        </w:numPr>
        <w:spacing w:after="40"/>
      </w:pPr>
      <w:r>
        <w:t>E.Kaneová: Doing Your Own Research – Interviews (London-New York, Marion Boyars, 1985)</w:t>
      </w:r>
    </w:p>
    <w:p w14:paraId="77ACD975" w14:textId="77777777" w:rsidR="00B323B4" w:rsidRDefault="00B323B4" w:rsidP="00B323B4">
      <w:pPr>
        <w:pStyle w:val="Odrky1"/>
        <w:numPr>
          <w:ilvl w:val="0"/>
          <w:numId w:val="7"/>
        </w:numPr>
        <w:spacing w:after="40"/>
      </w:pPr>
      <w:r>
        <w:t>Ferjenčík, J. (2000). Úvod do metodologie psychologického výzkumu: jak zkoumat lidskou duši. Praha: Portál.</w:t>
      </w:r>
    </w:p>
    <w:p w14:paraId="3D1F468E" w14:textId="77777777" w:rsidR="00B323B4" w:rsidRDefault="00B323B4" w:rsidP="00B323B4">
      <w:pPr>
        <w:pStyle w:val="Odrky1"/>
        <w:numPr>
          <w:ilvl w:val="0"/>
          <w:numId w:val="7"/>
        </w:numPr>
        <w:spacing w:after="40"/>
      </w:pPr>
      <w:r>
        <w:t>Cox, J.: Changing management thinking in sevice organisations (prezentace)</w:t>
      </w:r>
    </w:p>
    <w:p w14:paraId="73E28289" w14:textId="77777777" w:rsidR="00B323B4" w:rsidRDefault="00B323B4" w:rsidP="00B323B4">
      <w:pPr>
        <w:keepNext/>
        <w:rPr>
          <w:u w:val="single"/>
        </w:rPr>
      </w:pPr>
      <w:r>
        <w:rPr>
          <w:u w:val="single"/>
        </w:rPr>
        <w:t>Relevantní podklady k monitorovacím indikátorům</w:t>
      </w:r>
    </w:p>
    <w:p w14:paraId="53B6B083" w14:textId="017A259A" w:rsidR="00B323B4" w:rsidRDefault="00B323B4" w:rsidP="00B323B4">
      <w:pPr>
        <w:pStyle w:val="Odrky1"/>
        <w:keepNext/>
        <w:numPr>
          <w:ilvl w:val="0"/>
          <w:numId w:val="7"/>
        </w:numPr>
        <w:spacing w:after="40"/>
        <w:ind w:left="720" w:hanging="357"/>
      </w:pPr>
      <w:r>
        <w:t>Agregační mapa indikátorů OP PIK/OP</w:t>
      </w:r>
      <w:r w:rsidR="00E52B39">
        <w:t xml:space="preserve"> </w:t>
      </w:r>
      <w:r>
        <w:t>PI</w:t>
      </w:r>
    </w:p>
    <w:p w14:paraId="229E7D6A" w14:textId="77777777" w:rsidR="00B323B4" w:rsidRDefault="00B323B4" w:rsidP="00B323B4">
      <w:pPr>
        <w:pStyle w:val="Odrky1"/>
        <w:numPr>
          <w:ilvl w:val="0"/>
          <w:numId w:val="7"/>
        </w:numPr>
        <w:spacing w:after="40"/>
      </w:pPr>
      <w:r>
        <w:t xml:space="preserve">Národní číselník indikátorů pro programové období 2014–2020, příp. návrhová verze NČI </w:t>
      </w:r>
      <w:r w:rsidR="00487086">
        <w:br/>
      </w:r>
      <w:r>
        <w:t>pro nové programové období</w:t>
      </w:r>
    </w:p>
    <w:p w14:paraId="353E0D98" w14:textId="77777777" w:rsidR="00B323B4" w:rsidRDefault="00B323B4" w:rsidP="00B323B4">
      <w:pPr>
        <w:keepNext/>
        <w:rPr>
          <w:u w:val="single"/>
        </w:rPr>
      </w:pPr>
      <w:r>
        <w:rPr>
          <w:u w:val="single"/>
        </w:rPr>
        <w:t>Strategické a další podklady</w:t>
      </w:r>
    </w:p>
    <w:p w14:paraId="289C6200" w14:textId="77777777" w:rsidR="00B323B4" w:rsidRDefault="00B323B4" w:rsidP="00B323B4">
      <w:pPr>
        <w:pStyle w:val="Odrky1"/>
        <w:numPr>
          <w:ilvl w:val="0"/>
          <w:numId w:val="7"/>
        </w:numPr>
        <w:spacing w:after="40"/>
      </w:pPr>
      <w:r>
        <w:t>Národní program reforem a další dokumenty vztahující se k Evropskému semestru</w:t>
      </w:r>
    </w:p>
    <w:p w14:paraId="1268756A" w14:textId="77777777" w:rsidR="00B323B4" w:rsidRDefault="00B323B4" w:rsidP="00B323B4">
      <w:pPr>
        <w:pStyle w:val="Odrky1"/>
        <w:numPr>
          <w:ilvl w:val="0"/>
          <w:numId w:val="7"/>
        </w:numPr>
        <w:spacing w:after="40"/>
      </w:pPr>
      <w:r>
        <w:t>Výstupy platforem NOK, Národní stále konference a regionálního stálých konferencí a dalších relevantních platforem</w:t>
      </w:r>
    </w:p>
    <w:p w14:paraId="4C6D2E10" w14:textId="77777777" w:rsidR="00CA5159" w:rsidRPr="00CA5159" w:rsidRDefault="00CA5159" w:rsidP="00CA5159">
      <w:pPr>
        <w:rPr>
          <w:lang w:val="fr-FR" w:eastAsia="cs-CZ"/>
        </w:rPr>
      </w:pPr>
    </w:p>
    <w:sectPr w:rsidR="00CA5159" w:rsidRPr="00CA5159" w:rsidSect="00816E20">
      <w:pgSz w:w="11906" w:h="16838"/>
      <w:pgMar w:top="1714"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309C6" w14:textId="77777777" w:rsidR="00C050DB" w:rsidRDefault="00C050DB" w:rsidP="00DC2F29">
      <w:pPr>
        <w:spacing w:after="0" w:line="240" w:lineRule="auto"/>
      </w:pPr>
      <w:r>
        <w:separator/>
      </w:r>
    </w:p>
  </w:endnote>
  <w:endnote w:type="continuationSeparator" w:id="0">
    <w:p w14:paraId="2400CCC9" w14:textId="77777777" w:rsidR="00C050DB" w:rsidRDefault="00C050DB" w:rsidP="00DC2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3557440"/>
      <w:docPartObj>
        <w:docPartGallery w:val="Page Numbers (Bottom of Page)"/>
        <w:docPartUnique/>
      </w:docPartObj>
    </w:sdtPr>
    <w:sdtEndPr/>
    <w:sdtContent>
      <w:p w14:paraId="143621B4" w14:textId="52C59627" w:rsidR="00BF4A54" w:rsidRDefault="00BF4A54">
        <w:pPr>
          <w:pStyle w:val="Zpat"/>
          <w:jc w:val="right"/>
        </w:pPr>
        <w:r>
          <w:fldChar w:fldCharType="begin"/>
        </w:r>
        <w:r>
          <w:instrText>PAGE   \* MERGEFORMAT</w:instrText>
        </w:r>
        <w:r>
          <w:fldChar w:fldCharType="separate"/>
        </w:r>
        <w:r>
          <w:rPr>
            <w:noProof/>
          </w:rPr>
          <w:t>4</w:t>
        </w:r>
        <w:r>
          <w:rPr>
            <w:noProof/>
          </w:rPr>
          <w:fldChar w:fldCharType="end"/>
        </w:r>
      </w:p>
    </w:sdtContent>
  </w:sdt>
  <w:p w14:paraId="7BB7B567" w14:textId="77777777" w:rsidR="00BF4A54" w:rsidRDefault="00BF4A5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9373124"/>
      <w:docPartObj>
        <w:docPartGallery w:val="Page Numbers (Bottom of Page)"/>
        <w:docPartUnique/>
      </w:docPartObj>
    </w:sdtPr>
    <w:sdtEndPr/>
    <w:sdtContent>
      <w:p w14:paraId="587904EC" w14:textId="7013A9EF" w:rsidR="00BF4A54" w:rsidRDefault="00BF4A54" w:rsidP="009074AC">
        <w:pPr>
          <w:pStyle w:val="Zpat"/>
          <w:jc w:val="right"/>
        </w:pPr>
        <w:r>
          <w:fldChar w:fldCharType="begin"/>
        </w:r>
        <w:r>
          <w:instrText>PAGE   \* MERGEFORMAT</w:instrText>
        </w:r>
        <w:r>
          <w:fldChar w:fldCharType="separate"/>
        </w:r>
        <w:r>
          <w:rPr>
            <w:noProof/>
          </w:rPr>
          <w:t>3</w:t>
        </w:r>
        <w:r>
          <w:rPr>
            <w:noProof/>
          </w:rPr>
          <w:fldChar w:fldCharType="end"/>
        </w:r>
      </w:p>
    </w:sdtContent>
  </w:sdt>
  <w:p w14:paraId="35BEA86D" w14:textId="77777777" w:rsidR="00BF4A54" w:rsidRDefault="00BF4A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25509" w14:textId="77777777" w:rsidR="00C050DB" w:rsidRDefault="00C050DB" w:rsidP="00DC2F29">
      <w:pPr>
        <w:spacing w:after="0" w:line="240" w:lineRule="auto"/>
      </w:pPr>
      <w:r>
        <w:separator/>
      </w:r>
    </w:p>
  </w:footnote>
  <w:footnote w:type="continuationSeparator" w:id="0">
    <w:p w14:paraId="5268BEF0" w14:textId="77777777" w:rsidR="00C050DB" w:rsidRDefault="00C050DB" w:rsidP="00DC2F29">
      <w:pPr>
        <w:spacing w:after="0" w:line="240" w:lineRule="auto"/>
      </w:pPr>
      <w:r>
        <w:continuationSeparator/>
      </w:r>
    </w:p>
  </w:footnote>
  <w:footnote w:id="1">
    <w:p w14:paraId="03B07784" w14:textId="77777777" w:rsidR="00BF4A54" w:rsidRDefault="00BF4A54" w:rsidP="000F1C75">
      <w:pPr>
        <w:pStyle w:val="Textpoznpodarou"/>
      </w:pPr>
      <w:r>
        <w:rPr>
          <w:rStyle w:val="Znakapoznpodarou"/>
        </w:rPr>
        <w:footnoteRef/>
      </w:r>
      <w:r>
        <w:t xml:space="preserve"> Zde i níže jsou uvedeny původní rozpočty z projektových žádostí – nejsou zachyceny případné změny projektů.</w:t>
      </w:r>
    </w:p>
  </w:footnote>
  <w:footnote w:id="2">
    <w:p w14:paraId="23E5AFB0" w14:textId="77777777" w:rsidR="00BF4A54" w:rsidRDefault="00BF4A54" w:rsidP="000F1C75">
      <w:pPr>
        <w:pStyle w:val="Textpoznpodarou"/>
      </w:pPr>
      <w:r>
        <w:rPr>
          <w:rStyle w:val="Znakapoznpodarou"/>
        </w:rPr>
        <w:footnoteRef/>
      </w:r>
      <w:r>
        <w:t xml:space="preserve"> Právě odklad ve spuštění marketingové kampaně, daný především obtížným schvalováním tohoto záměru v řídící struktuře OP PIK a obecněji měnícími se prioritami ve vztahu k propagaci programu, je klíčovým důvodem výše popisovaného nepoměru mezi schváleným rozpočtem IP Publicita a jeho skutečným čerpáním v období 2016 – 2018.</w:t>
      </w:r>
    </w:p>
  </w:footnote>
  <w:footnote w:id="3">
    <w:p w14:paraId="3D91B746" w14:textId="77777777" w:rsidR="00BF4A54" w:rsidRDefault="00BF4A54" w:rsidP="000F1C75">
      <w:pPr>
        <w:pStyle w:val="Textpoznpodarou"/>
      </w:pPr>
      <w:r>
        <w:rPr>
          <w:rStyle w:val="Znakapoznpodarou"/>
        </w:rPr>
        <w:footnoteRef/>
      </w:r>
      <w:r>
        <w:t xml:space="preserve"> Maximální možná teoretická výše průměrného ročního čerpání TP v období 2019 – 2021. V případě, že by došlo k plnému vyčerpání rozpočtů IP pro toto období (1,17 mld. Kč), pak by průměrné roční čerpání dosáhlo cca 390 mil. Kč. Pokud by čerpání rozpočtů dosáhlo hodnoty z období 2016 – 2018, tedy cca 73 %, činilo by průměrné roční čerpání cca 285 mil. Kč. Projekce je tedy spíše optimistická.</w:t>
      </w:r>
    </w:p>
  </w:footnote>
  <w:footnote w:id="4">
    <w:p w14:paraId="1A30C515" w14:textId="77777777" w:rsidR="00BF4A54" w:rsidRDefault="00BF4A54" w:rsidP="000F1C75">
      <w:pPr>
        <w:pStyle w:val="Textpoznpodarou"/>
      </w:pPr>
      <w:r>
        <w:rPr>
          <w:rStyle w:val="Znakapoznpodarou"/>
        </w:rPr>
        <w:footnoteRef/>
      </w:r>
      <w:r>
        <w:t xml:space="preserve"> Je ale nutné uvést, že tato analýza se specificky alokaci na PO 5 OP PIK (TP) věnuje spíše okrajově a ve většině případů pouze uvádí jako fakt, že alokace pro tuto PO bude činit cca 3 % a dále tento fakt (na rozdíl od alokací pro jiné PO) neanalyzuje).</w:t>
      </w:r>
    </w:p>
  </w:footnote>
  <w:footnote w:id="5">
    <w:p w14:paraId="5C058980" w14:textId="77777777" w:rsidR="00BF4A54" w:rsidRDefault="00BF4A54" w:rsidP="000F1C75">
      <w:pPr>
        <w:pStyle w:val="Textpoznpodarou"/>
      </w:pPr>
      <w:r>
        <w:rPr>
          <w:rStyle w:val="Znakapoznpodarou"/>
        </w:rPr>
        <w:footnoteRef/>
      </w:r>
      <w:r>
        <w:t xml:space="preserve"> </w:t>
      </w:r>
      <w:r w:rsidRPr="00B4242D">
        <w:t xml:space="preserve">Zde i níže jsou data uvedena až od roku 2016 jednak z důvodu schválení programu v dubnu roku 2015, jednak z důvodu zahájení financování projektů z TP </w:t>
      </w:r>
      <w:r>
        <w:t>OP PIK</w:t>
      </w:r>
      <w:r w:rsidRPr="00B4242D">
        <w:t xml:space="preserve"> až od roku 2016</w:t>
      </w:r>
      <w:r>
        <w:t>.</w:t>
      </w:r>
    </w:p>
  </w:footnote>
  <w:footnote w:id="6">
    <w:p w14:paraId="5B78C94B" w14:textId="77777777" w:rsidR="00BF4A54" w:rsidRDefault="00BF4A54" w:rsidP="000F1C75">
      <w:pPr>
        <w:pStyle w:val="Textpoznpodarou"/>
      </w:pPr>
      <w:r>
        <w:rPr>
          <w:rStyle w:val="Znakapoznpodarou"/>
        </w:rPr>
        <w:footnoteRef/>
      </w:r>
      <w:r>
        <w:t xml:space="preserve"> Výroční zprávy o realizaci programu ani další monitorovací nástroje tyto interní indikátory nekvantifikují, frekvenci kvantifikace nestanovuje ani Agregační mapa programu. Kvantifikace byly zpracovány vlastním dopočtem evaluátora.</w:t>
      </w:r>
    </w:p>
  </w:footnote>
  <w:footnote w:id="7">
    <w:p w14:paraId="43CF1B43" w14:textId="77777777" w:rsidR="00BF4A54" w:rsidRDefault="00BF4A54" w:rsidP="000F1C75">
      <w:pPr>
        <w:pStyle w:val="Textpoznpodarou"/>
      </w:pPr>
      <w:r>
        <w:rPr>
          <w:rStyle w:val="Znakapoznpodarou"/>
        </w:rPr>
        <w:footnoteRef/>
      </w:r>
      <w:r>
        <w:t xml:space="preserve"> Data dle hodnoty indikátoru 82500 k 30. 9. 2019.</w:t>
      </w:r>
    </w:p>
  </w:footnote>
  <w:footnote w:id="8">
    <w:p w14:paraId="7B55AB15" w14:textId="77777777" w:rsidR="00BF4A54" w:rsidRDefault="00BF4A54" w:rsidP="000F1C75">
      <w:pPr>
        <w:pStyle w:val="Textpoznpodarou"/>
      </w:pPr>
      <w:r>
        <w:rPr>
          <w:rStyle w:val="Znakapoznpodarou"/>
        </w:rPr>
        <w:footnoteRef/>
      </w:r>
      <w:r>
        <w:t xml:space="preserve"> Výchozí hodnoty jsou pro všechny indikátory nulové. Cílové hodnoty vycházejí z předložené 7. revize programu.</w:t>
      </w:r>
    </w:p>
  </w:footnote>
  <w:footnote w:id="9">
    <w:p w14:paraId="20914B5A" w14:textId="77777777" w:rsidR="00BF4A54" w:rsidRDefault="00BF4A54" w:rsidP="000F1C75">
      <w:pPr>
        <w:pStyle w:val="Textpoznpodarou"/>
      </w:pPr>
      <w:r>
        <w:rPr>
          <w:rStyle w:val="Znakapoznpodarou"/>
        </w:rPr>
        <w:footnoteRef/>
      </w:r>
      <w:r>
        <w:t xml:space="preserve"> Data k 30. 9. 2019</w:t>
      </w:r>
    </w:p>
  </w:footnote>
  <w:footnote w:id="10">
    <w:p w14:paraId="010485F4" w14:textId="77777777" w:rsidR="00BF4A54" w:rsidRDefault="00BF4A54" w:rsidP="000F1C75">
      <w:pPr>
        <w:pStyle w:val="Textpoznpodarou"/>
      </w:pPr>
      <w:r>
        <w:rPr>
          <w:rStyle w:val="Znakapoznpodarou"/>
        </w:rPr>
        <w:footnoteRef/>
      </w:r>
      <w:r>
        <w:t xml:space="preserve"> Jak již bylo uvedeno výše, pracovníci ŘO uvádějí, že zkušenost z předchozích IP se do zpracování projektů </w:t>
      </w:r>
      <w:r>
        <w:br/>
        <w:t xml:space="preserve">pro období 2019 – 2021 promítla, alokace se ale výrazně nezměnily z důvodu, že klíčové aktivity ve vztahu k publicitě a částečně i externím službám se nepodařilo v předchozí etapě zrealizovat (z důvodu změn v prioritách implementace programu, problémů při realizaci VŘ atd.), nadále se ale realizace plánuje </w:t>
      </w:r>
      <w:r>
        <w:br/>
        <w:t>a připravuje – náklady na tyto aktivity (např. marketingová kampaň nebo právní služby) by se tedy v čerpání IP 2019 – 2021 měly projevit.</w:t>
      </w:r>
    </w:p>
  </w:footnote>
  <w:footnote w:id="11">
    <w:p w14:paraId="25939558" w14:textId="77777777" w:rsidR="00BF4A54" w:rsidRDefault="00BF4A54" w:rsidP="000F1C75">
      <w:pPr>
        <w:pStyle w:val="Textpoznpodarou"/>
      </w:pPr>
      <w:r>
        <w:rPr>
          <w:rStyle w:val="Znakapoznpodarou"/>
        </w:rPr>
        <w:footnoteRef/>
      </w:r>
      <w:r>
        <w:t xml:space="preserve"> Data dle Čtvrtletní zprávy o implementaci ESI fondů v ČR za I. čtvrtletí 2020.</w:t>
      </w:r>
    </w:p>
  </w:footnote>
  <w:footnote w:id="12">
    <w:p w14:paraId="29D5112F" w14:textId="77777777" w:rsidR="00BF4A54" w:rsidRDefault="00BF4A54" w:rsidP="000F1C75">
      <w:pPr>
        <w:pStyle w:val="Textpoznpodarou"/>
      </w:pPr>
      <w:r>
        <w:rPr>
          <w:rStyle w:val="Znakapoznpodarou"/>
        </w:rPr>
        <w:footnoteRef/>
      </w:r>
      <w:r>
        <w:t xml:space="preserve"> S ohledem za zacílení OP TP je uvedena celá alokace programu.</w:t>
      </w:r>
    </w:p>
  </w:footnote>
  <w:footnote w:id="13">
    <w:p w14:paraId="6E011099" w14:textId="77777777" w:rsidR="00BF4A54" w:rsidRDefault="00BF4A54" w:rsidP="000F1C75">
      <w:pPr>
        <w:pStyle w:val="Textpoznpodarou"/>
      </w:pPr>
      <w:r>
        <w:rPr>
          <w:rStyle w:val="Znakapoznpodarou"/>
        </w:rPr>
        <w:footnoteRef/>
      </w:r>
      <w:r>
        <w:t xml:space="preserve"> Kontrolní závěr z kontrolní akce 19/01 Peněžní prostředky vynaložené na technickou pomoc z operačního programu Podnikání a inovace pro konkurenceschopnost, bod 4.26, str. 14</w:t>
      </w:r>
    </w:p>
  </w:footnote>
  <w:footnote w:id="14">
    <w:p w14:paraId="39E6C1F2" w14:textId="77777777" w:rsidR="00BF4A54" w:rsidRDefault="00BF4A54">
      <w:pPr>
        <w:pStyle w:val="Textpoznpodarou"/>
      </w:pPr>
      <w:r>
        <w:rPr>
          <w:rStyle w:val="Znakapoznpodarou"/>
        </w:rPr>
        <w:footnoteRef/>
      </w:r>
      <w:r>
        <w:t xml:space="preserve"> Časofond pracovní doby vychází z celkového počtu pracovních hodin v roce 2019 při pracovní době 8 hodin denně, tj. 2008 hodin/FTE, od něhož je odečten časofondu připadající na čerpání řádné dovolené a nemoc. </w:t>
      </w:r>
      <w:r>
        <w:br/>
        <w:t>Tj. časofond pracovní doby na jednoho zaměstnance je uvažován 1800 hodin za rok 2019.</w:t>
      </w:r>
    </w:p>
  </w:footnote>
  <w:footnote w:id="15">
    <w:p w14:paraId="64AB22A0" w14:textId="392BD426" w:rsidR="00BF4A54" w:rsidRDefault="00BF4A54">
      <w:pPr>
        <w:pStyle w:val="Textpoznpodarou"/>
      </w:pPr>
      <w:r>
        <w:rPr>
          <w:rStyle w:val="Znakapoznpodarou"/>
        </w:rPr>
        <w:footnoteRef/>
      </w:r>
      <w:r>
        <w:t xml:space="preserve"> </w:t>
      </w:r>
      <w:r w:rsidRPr="00EB2283">
        <w:rPr>
          <w:rFonts w:ascii="Calibri" w:eastAsia="Times New Roman" w:hAnsi="Calibri" w:cs="Calibri"/>
          <w:lang w:eastAsia="cs-CZ"/>
        </w:rPr>
        <w:t>Časofond potřebný na administraci IP</w:t>
      </w:r>
      <w:r>
        <w:rPr>
          <w:rFonts w:ascii="Calibri" w:eastAsia="Times New Roman" w:hAnsi="Calibri" w:cs="Calibri"/>
          <w:lang w:eastAsia="cs-CZ"/>
        </w:rPr>
        <w:t xml:space="preserve"> vychází z tab. 20 a 21– celkové časové náročnosti na administraci jednoho IP na ŘO a ZS.</w:t>
      </w:r>
    </w:p>
  </w:footnote>
  <w:footnote w:id="16">
    <w:p w14:paraId="3113FA9E" w14:textId="77777777" w:rsidR="00BF4A54" w:rsidRDefault="00BF4A54" w:rsidP="002958F7">
      <w:pPr>
        <w:pStyle w:val="Textpoznpodarou"/>
      </w:pPr>
      <w:r>
        <w:rPr>
          <w:rStyle w:val="Znakapoznpodarou"/>
        </w:rPr>
        <w:footnoteRef/>
      </w:r>
      <w:r>
        <w:t xml:space="preserve"> VŘ byla zaměřena na výběr dodavatele pro zakázky: </w:t>
      </w:r>
      <w:r w:rsidRPr="00555BF0">
        <w:t xml:space="preserve">Mediální podpora </w:t>
      </w:r>
      <w:r>
        <w:t>úspor energie OP PIK</w:t>
      </w:r>
      <w:r w:rsidRPr="00555BF0">
        <w:t xml:space="preserve"> v tisku </w:t>
      </w:r>
      <w:r>
        <w:br/>
      </w:r>
      <w:r w:rsidRPr="00555BF0">
        <w:t>a na internetu</w:t>
      </w:r>
      <w:r>
        <w:t xml:space="preserve"> (2017), </w:t>
      </w:r>
      <w:r w:rsidRPr="00555BF0">
        <w:t>Výsledková evaluace specifických cílů 2.1 a 2.2 OP PIK</w:t>
      </w:r>
      <w:r>
        <w:t xml:space="preserve"> (2018), </w:t>
      </w:r>
      <w:r w:rsidRPr="00555BF0">
        <w:t>Analýza stavu rozvoje sítí NGA v</w:t>
      </w:r>
      <w:r>
        <w:t> </w:t>
      </w:r>
      <w:r w:rsidRPr="00555BF0">
        <w:t>ČR</w:t>
      </w:r>
      <w:r>
        <w:t xml:space="preserve"> (2019), </w:t>
      </w:r>
      <w:r w:rsidRPr="00555BF0">
        <w:t>Analýza absorpční kapacity 2</w:t>
      </w:r>
      <w:r>
        <w:t>02</w:t>
      </w:r>
      <w:r w:rsidRPr="00555BF0">
        <w:t>1</w:t>
      </w:r>
      <w:r>
        <w:t xml:space="preserve"> </w:t>
      </w:r>
      <w:r w:rsidRPr="004D1450">
        <w:t>–</w:t>
      </w:r>
      <w:r>
        <w:t xml:space="preserve"> 20</w:t>
      </w:r>
      <w:r w:rsidRPr="00555BF0">
        <w:t>27</w:t>
      </w:r>
      <w:r>
        <w:t xml:space="preserve"> (2019) a </w:t>
      </w:r>
      <w:r w:rsidRPr="004D1450">
        <w:t>Posouzení vlivů provádění operačního programu zaměřeného na konkurenceschopnost pro období 2021</w:t>
      </w:r>
      <w:r>
        <w:t xml:space="preserve"> </w:t>
      </w:r>
      <w:r w:rsidRPr="004D1450">
        <w:t>–</w:t>
      </w:r>
      <w:r>
        <w:t xml:space="preserve"> </w:t>
      </w:r>
      <w:r w:rsidRPr="004D1450">
        <w:t>2027 na životní prostředí</w:t>
      </w:r>
      <w:r>
        <w:t xml:space="preserve"> (2019).</w:t>
      </w:r>
    </w:p>
  </w:footnote>
  <w:footnote w:id="17">
    <w:p w14:paraId="66824814" w14:textId="77777777" w:rsidR="00BF4A54" w:rsidRDefault="00BF4A54" w:rsidP="002958F7">
      <w:pPr>
        <w:pStyle w:val="Textpoznpodarou"/>
      </w:pPr>
      <w:r>
        <w:rPr>
          <w:rStyle w:val="Znakapoznpodarou"/>
        </w:rPr>
        <w:footnoteRef/>
      </w:r>
      <w:r>
        <w:t xml:space="preserve"> Pro tento účel byla využita statistika ČSÚ Dočasná pracovní neschopnost pro nemoc a úraz v České republice podle krajů – absolutní údaje, počet případů na 100 pojištěnců za 1. pololetí 2019.</w:t>
      </w:r>
    </w:p>
  </w:footnote>
  <w:footnote w:id="18">
    <w:p w14:paraId="2F140873" w14:textId="77777777" w:rsidR="00BF4A54" w:rsidRDefault="00BF4A54" w:rsidP="002958F7">
      <w:pPr>
        <w:pStyle w:val="Textpoznpodarou"/>
      </w:pPr>
      <w:r>
        <w:rPr>
          <w:rStyle w:val="Znakapoznpodarou"/>
        </w:rPr>
        <w:footnoteRef/>
      </w:r>
      <w:r>
        <w:t xml:space="preserve"> Zahrnuje Sekci konkurenceschopnosti a Sekci rozvoje podnikatelského prostředí, tj. 4 níže uvedené odbory.</w:t>
      </w:r>
    </w:p>
  </w:footnote>
  <w:footnote w:id="19">
    <w:p w14:paraId="2E94EDCF" w14:textId="77777777" w:rsidR="00BF4A54" w:rsidRDefault="00BF4A54" w:rsidP="00A5209F">
      <w:pPr>
        <w:pStyle w:val="Textpoznpodarou"/>
      </w:pPr>
      <w:r>
        <w:rPr>
          <w:rStyle w:val="Znakapoznpodarou"/>
        </w:rPr>
        <w:footnoteRef/>
      </w:r>
      <w:r>
        <w:t xml:space="preserve"> Doplněno na základě informací obdržených z ŘO při připomínkovém řízení k této závěrečné zprávě.</w:t>
      </w:r>
    </w:p>
  </w:footnote>
  <w:footnote w:id="20">
    <w:p w14:paraId="2273E35C" w14:textId="1B212DBF" w:rsidR="00BF4A54" w:rsidRDefault="00BF4A54">
      <w:pPr>
        <w:pStyle w:val="Textpoznpodarou"/>
      </w:pPr>
      <w:r>
        <w:rPr>
          <w:rStyle w:val="Znakapoznpodarou"/>
        </w:rPr>
        <w:footnoteRef/>
      </w:r>
      <w:r>
        <w:t xml:space="preserve"> Byl ovšem zaznamenán i opačný problém – méně oblíbené kurzy jsou často rušeny pro nedostatečný zájem, přestože mohou pojednávat o důležitých aspektech agendy pracovníků ŘO/ZS.</w:t>
      </w:r>
    </w:p>
  </w:footnote>
  <w:footnote w:id="21">
    <w:p w14:paraId="52E60CFF" w14:textId="77777777" w:rsidR="00BF4A54" w:rsidRDefault="00BF4A54" w:rsidP="00CA5159">
      <w:pPr>
        <w:pStyle w:val="Textpoznpodarou"/>
      </w:pPr>
      <w:r>
        <w:rPr>
          <w:rStyle w:val="Znakapoznpodarou"/>
        </w:rPr>
        <w:footnoteRef/>
      </w:r>
      <w:r>
        <w:t xml:space="preserve"> Zpracovatel Komunikačního plánu v tomto smyslu navrhuje, aby žadatelé museli při podávání žádostí povinně vyplňovat „evaluační část“, ve které budou, mimo jiné, dotazováni na to, co žadatele přimělo k rozhodnutí podat žádost v OP PIK.</w:t>
      </w:r>
    </w:p>
  </w:footnote>
  <w:footnote w:id="22">
    <w:p w14:paraId="5E8D84E7" w14:textId="77777777" w:rsidR="00BF4A54" w:rsidRDefault="00BF4A54" w:rsidP="00D33F4E">
      <w:pPr>
        <w:pStyle w:val="Textpoznpodarou"/>
      </w:pPr>
      <w:r>
        <w:rPr>
          <w:rStyle w:val="Znakapoznpodarou"/>
        </w:rPr>
        <w:footnoteRef/>
      </w:r>
      <w:r>
        <w:t xml:space="preserve"> Evaluace publicity byla původně v evaluačním plánu zahrnuta, rozhodnutím MV OP PIK byla v listopadu 2018 z evaluačního plánu vyjmuta.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487CC" w14:textId="77777777" w:rsidR="00BF4A54" w:rsidRDefault="00BF4A54">
    <w:pPr>
      <w:pStyle w:val="Zhlav"/>
    </w:pPr>
    <w:r>
      <w:rPr>
        <w:noProof/>
        <w:lang w:eastAsia="cs-CZ"/>
      </w:rPr>
      <w:drawing>
        <wp:anchor distT="0" distB="0" distL="114300" distR="114300" simplePos="0" relativeHeight="251657216" behindDoc="1" locked="0" layoutInCell="1" allowOverlap="1" wp14:anchorId="1C954508" wp14:editId="25861116">
          <wp:simplePos x="0" y="0"/>
          <wp:positionH relativeFrom="margin">
            <wp:posOffset>-71120</wp:posOffset>
          </wp:positionH>
          <wp:positionV relativeFrom="margin">
            <wp:posOffset>-819785</wp:posOffset>
          </wp:positionV>
          <wp:extent cx="1085850" cy="664210"/>
          <wp:effectExtent l="0" t="0" r="0" b="0"/>
          <wp:wrapSquare wrapText="bothSides"/>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CEArtboard 1.png"/>
                  <pic:cNvPicPr/>
                </pic:nvPicPr>
                <pic:blipFill rotWithShape="1">
                  <a:blip r:embed="rId1">
                    <a:extLst>
                      <a:ext uri="{28A0092B-C50C-407E-A947-70E740481C1C}">
                        <a14:useLocalDpi xmlns:a14="http://schemas.microsoft.com/office/drawing/2010/main" val="0"/>
                      </a:ext>
                    </a:extLst>
                  </a:blip>
                  <a:srcRect l="8235" t="18374" r="54291" b="16481"/>
                  <a:stretch/>
                </pic:blipFill>
                <pic:spPr bwMode="auto">
                  <a:xfrm>
                    <a:off x="0" y="0"/>
                    <a:ext cx="1085850" cy="664210"/>
                  </a:xfrm>
                  <a:prstGeom prst="rect">
                    <a:avLst/>
                  </a:prstGeom>
                  <a:ln>
                    <a:noFill/>
                  </a:ln>
                  <a:extLst>
                    <a:ext uri="{53640926-AAD7-44D8-BBD7-CCE9431645EC}">
                      <a14:shadowObscured xmlns:a14="http://schemas.microsoft.com/office/drawing/2010/main"/>
                    </a:ext>
                  </a:extLst>
                </pic:spPr>
              </pic:pic>
            </a:graphicData>
          </a:graphic>
        </wp:anchor>
      </w:drawing>
    </w:r>
  </w:p>
  <w:p w14:paraId="7E9A638A" w14:textId="67C6EF9C" w:rsidR="00BF4A54" w:rsidRDefault="00BF4A54">
    <w:pPr>
      <w:pStyle w:val="Zhlav"/>
    </w:pPr>
    <w:r>
      <w:rPr>
        <w:noProof/>
        <w:lang w:eastAsia="cs-CZ"/>
      </w:rPr>
      <mc:AlternateContent>
        <mc:Choice Requires="wps">
          <w:drawing>
            <wp:anchor distT="0" distB="0" distL="114300" distR="114300" simplePos="0" relativeHeight="251646976" behindDoc="0" locked="0" layoutInCell="1" allowOverlap="1" wp14:anchorId="234A2FEB" wp14:editId="32D9C77E">
              <wp:simplePos x="0" y="0"/>
              <wp:positionH relativeFrom="margin">
                <wp:posOffset>3064510</wp:posOffset>
              </wp:positionH>
              <wp:positionV relativeFrom="page">
                <wp:posOffset>352425</wp:posOffset>
              </wp:positionV>
              <wp:extent cx="2678430" cy="509905"/>
              <wp:effectExtent l="0" t="0" r="0" b="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8430" cy="509905"/>
                      </a:xfrm>
                      <a:prstGeom prst="rect">
                        <a:avLst/>
                      </a:prstGeom>
                      <a:noFill/>
                      <a:ln>
                        <a:noFill/>
                      </a:ln>
                    </wps:spPr>
                    <wps:txbx>
                      <w:txbxContent>
                        <w:p w14:paraId="3FAE1DBF" w14:textId="77777777" w:rsidR="00BF4A54" w:rsidRDefault="00BF4A54" w:rsidP="00985F3A">
                          <w:pPr>
                            <w:spacing w:after="0"/>
                            <w:ind w:right="68"/>
                            <w:jc w:val="right"/>
                            <w:rPr>
                              <w:color w:val="0D3B5E" w:themeColor="accent1"/>
                              <w:sz w:val="20"/>
                              <w:szCs w:val="48"/>
                              <w:highlight w:val="yellow"/>
                            </w:rPr>
                          </w:pPr>
                        </w:p>
                        <w:p w14:paraId="15B80D3E" w14:textId="7EC780BD" w:rsidR="00BF4A54" w:rsidRDefault="00BF4A54" w:rsidP="00A1543A">
                          <w:pPr>
                            <w:spacing w:after="0"/>
                            <w:ind w:right="68"/>
                            <w:jc w:val="right"/>
                            <w:rPr>
                              <w:color w:val="0D3B5E" w:themeColor="accent1"/>
                              <w:sz w:val="18"/>
                              <w:szCs w:val="18"/>
                            </w:rPr>
                          </w:pPr>
                          <w:r w:rsidRPr="000D48C0">
                            <w:rPr>
                              <w:color w:val="0D3B5E" w:themeColor="accent1"/>
                              <w:sz w:val="18"/>
                              <w:szCs w:val="18"/>
                            </w:rPr>
                            <w:t>Evaluace řízení a administrace technické pomoci OP PIK</w:t>
                          </w:r>
                        </w:p>
                        <w:p w14:paraId="46A2DDF4" w14:textId="3E665204" w:rsidR="006F13AC" w:rsidRPr="000D48C0" w:rsidRDefault="006F13AC" w:rsidP="00A1543A">
                          <w:pPr>
                            <w:spacing w:after="0"/>
                            <w:ind w:right="68"/>
                            <w:jc w:val="right"/>
                            <w:rPr>
                              <w:color w:val="0D3B5E" w:themeColor="accent1"/>
                              <w:sz w:val="18"/>
                              <w:szCs w:val="18"/>
                            </w:rPr>
                          </w:pPr>
                          <w:r>
                            <w:rPr>
                              <w:color w:val="0D3B5E" w:themeColor="accent1"/>
                              <w:sz w:val="18"/>
                              <w:szCs w:val="18"/>
                            </w:rPr>
                            <w:t>Příloha č. 6: Technická příloha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A2FEB" id="_x0000_t202" coordsize="21600,21600" o:spt="202" path="m,l,21600r21600,l21600,xe">
              <v:stroke joinstyle="miter"/>
              <v:path gradientshapeok="t" o:connecttype="rect"/>
            </v:shapetype>
            <v:shape id="Text Box 39" o:spid="_x0000_s1029" type="#_x0000_t202" style="position:absolute;left:0;text-align:left;margin-left:241.3pt;margin-top:27.75pt;width:210.9pt;height:40.1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" filled="f" stroked="f">
              <v:textbox inset="0,0,0,0">
                <w:txbxContent>
                  <w:p w14:paraId="3FAE1DBF" w14:textId="77777777" w:rsidR="00BF4A54" w:rsidRDefault="00BF4A54" w:rsidP="00985F3A">
                    <w:pPr>
                      <w:spacing w:after="0"/>
                      <w:ind w:right="68"/>
                      <w:jc w:val="right"/>
                      <w:rPr>
                        <w:color w:val="0D3B5E" w:themeColor="accent1"/>
                        <w:sz w:val="20"/>
                        <w:szCs w:val="48"/>
                        <w:highlight w:val="yellow"/>
                      </w:rPr>
                    </w:pPr>
                  </w:p>
                  <w:p w14:paraId="15B80D3E" w14:textId="7EC780BD" w:rsidR="00BF4A54" w:rsidRDefault="00BF4A54" w:rsidP="00A1543A">
                    <w:pPr>
                      <w:spacing w:after="0"/>
                      <w:ind w:right="68"/>
                      <w:jc w:val="right"/>
                      <w:rPr>
                        <w:color w:val="0D3B5E" w:themeColor="accent1"/>
                        <w:sz w:val="18"/>
                        <w:szCs w:val="18"/>
                      </w:rPr>
                    </w:pPr>
                    <w:r w:rsidRPr="000D48C0">
                      <w:rPr>
                        <w:color w:val="0D3B5E" w:themeColor="accent1"/>
                        <w:sz w:val="18"/>
                        <w:szCs w:val="18"/>
                      </w:rPr>
                      <w:t>Evaluace řízení a administrace technické pomoci OP PIK</w:t>
                    </w:r>
                  </w:p>
                  <w:p w14:paraId="46A2DDF4" w14:textId="3E665204" w:rsidR="006F13AC" w:rsidRPr="000D48C0" w:rsidRDefault="006F13AC" w:rsidP="00A1543A">
                    <w:pPr>
                      <w:spacing w:after="0"/>
                      <w:ind w:right="68"/>
                      <w:jc w:val="right"/>
                      <w:rPr>
                        <w:color w:val="0D3B5E" w:themeColor="accent1"/>
                        <w:sz w:val="18"/>
                        <w:szCs w:val="18"/>
                      </w:rPr>
                    </w:pPr>
                    <w:r>
                      <w:rPr>
                        <w:color w:val="0D3B5E" w:themeColor="accent1"/>
                        <w:sz w:val="18"/>
                        <w:szCs w:val="18"/>
                      </w:rPr>
                      <w:t>Příloha č. 6: Technická příloha</w:t>
                    </w:r>
                  </w:p>
                </w:txbxContent>
              </v:textbox>
              <w10:wrap anchorx="margin" anchory="page"/>
            </v:shape>
          </w:pict>
        </mc:Fallback>
      </mc:AlternateContent>
    </w:r>
  </w:p>
  <w:p w14:paraId="03E99B73" w14:textId="77777777" w:rsidR="00BF4A54" w:rsidRDefault="00BF4A54" w:rsidP="00985F3A">
    <w:pPr>
      <w:pStyle w:val="Zhlav"/>
      <w:tabs>
        <w:tab w:val="clear" w:pos="4536"/>
        <w:tab w:val="clear" w:pos="9072"/>
        <w:tab w:val="left" w:pos="3795"/>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F8556" w14:textId="77777777" w:rsidR="00BF4A54" w:rsidRDefault="00BF4A54" w:rsidP="009074AC">
    <w:pPr>
      <w:pStyle w:val="Zhlav"/>
    </w:pPr>
    <w:r>
      <w:rPr>
        <w:noProof/>
        <w:lang w:eastAsia="cs-CZ"/>
      </w:rPr>
      <w:drawing>
        <wp:anchor distT="0" distB="0" distL="114300" distR="114300" simplePos="0" relativeHeight="251677696" behindDoc="1" locked="0" layoutInCell="1" allowOverlap="1" wp14:anchorId="701D0350" wp14:editId="24151611">
          <wp:simplePos x="0" y="0"/>
          <wp:positionH relativeFrom="margin">
            <wp:posOffset>-71120</wp:posOffset>
          </wp:positionH>
          <wp:positionV relativeFrom="margin">
            <wp:posOffset>-819785</wp:posOffset>
          </wp:positionV>
          <wp:extent cx="1085850" cy="664210"/>
          <wp:effectExtent l="0" t="0" r="0" b="0"/>
          <wp:wrapSquare wrapText="bothSides"/>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CEArtboard 1.png"/>
                  <pic:cNvPicPr/>
                </pic:nvPicPr>
                <pic:blipFill rotWithShape="1">
                  <a:blip r:embed="rId1">
                    <a:extLst>
                      <a:ext uri="{28A0092B-C50C-407E-A947-70E740481C1C}">
                        <a14:useLocalDpi xmlns:a14="http://schemas.microsoft.com/office/drawing/2010/main" val="0"/>
                      </a:ext>
                    </a:extLst>
                  </a:blip>
                  <a:srcRect l="8235" t="18374" r="54291" b="16481"/>
                  <a:stretch/>
                </pic:blipFill>
                <pic:spPr bwMode="auto">
                  <a:xfrm>
                    <a:off x="0" y="0"/>
                    <a:ext cx="1085850" cy="664210"/>
                  </a:xfrm>
                  <a:prstGeom prst="rect">
                    <a:avLst/>
                  </a:prstGeom>
                  <a:ln>
                    <a:noFill/>
                  </a:ln>
                  <a:extLst>
                    <a:ext uri="{53640926-AAD7-44D8-BBD7-CCE9431645EC}">
                      <a14:shadowObscured xmlns:a14="http://schemas.microsoft.com/office/drawing/2010/main"/>
                    </a:ext>
                  </a:extLst>
                </pic:spPr>
              </pic:pic>
            </a:graphicData>
          </a:graphic>
        </wp:anchor>
      </w:drawing>
    </w:r>
  </w:p>
  <w:p w14:paraId="235B3C2A" w14:textId="46E78F82" w:rsidR="00BF4A54" w:rsidRDefault="00BF4A54" w:rsidP="009074AC">
    <w:pPr>
      <w:pStyle w:val="Zhlav"/>
    </w:pPr>
    <w:r>
      <w:rPr>
        <w:noProof/>
        <w:lang w:eastAsia="cs-CZ"/>
      </w:rPr>
      <mc:AlternateContent>
        <mc:Choice Requires="wps">
          <w:drawing>
            <wp:anchor distT="0" distB="0" distL="114300" distR="114300" simplePos="0" relativeHeight="251667456" behindDoc="0" locked="0" layoutInCell="1" allowOverlap="1" wp14:anchorId="57FC4358" wp14:editId="30A1B69E">
              <wp:simplePos x="0" y="0"/>
              <wp:positionH relativeFrom="margin">
                <wp:posOffset>3064510</wp:posOffset>
              </wp:positionH>
              <wp:positionV relativeFrom="page">
                <wp:posOffset>352425</wp:posOffset>
              </wp:positionV>
              <wp:extent cx="2678430" cy="509905"/>
              <wp:effectExtent l="0" t="0" r="0" b="0"/>
              <wp:wrapNone/>
              <wp:docPr id="1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8430" cy="509905"/>
                      </a:xfrm>
                      <a:prstGeom prst="rect">
                        <a:avLst/>
                      </a:prstGeom>
                      <a:noFill/>
                      <a:ln>
                        <a:noFill/>
                      </a:ln>
                    </wps:spPr>
                    <wps:txbx>
                      <w:txbxContent>
                        <w:p w14:paraId="5AA7EC57" w14:textId="77777777" w:rsidR="00BF4A54" w:rsidRDefault="00BF4A54" w:rsidP="009074AC">
                          <w:pPr>
                            <w:spacing w:after="0"/>
                            <w:ind w:right="68"/>
                            <w:jc w:val="right"/>
                            <w:rPr>
                              <w:color w:val="0D3B5E" w:themeColor="accent1"/>
                              <w:sz w:val="20"/>
                              <w:szCs w:val="48"/>
                              <w:highlight w:val="yell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C4358" id="_x0000_t202" coordsize="21600,21600" o:spt="202" path="m,l,21600r21600,l21600,xe">
              <v:stroke joinstyle="miter"/>
              <v:path gradientshapeok="t" o:connecttype="rect"/>
            </v:shapetype>
            <v:shape id="_x0000_s1030" type="#_x0000_t202" style="position:absolute;left:0;text-align:left;margin-left:241.3pt;margin-top:27.75pt;width:210.9pt;height:40.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" filled="f" stroked="f">
              <v:textbox inset="0,0,0,0">
                <w:txbxContent>
                  <w:p w14:paraId="5AA7EC57" w14:textId="77777777" w:rsidR="00BF4A54" w:rsidRDefault="00BF4A54" w:rsidP="009074AC">
                    <w:pPr>
                      <w:spacing w:after="0"/>
                      <w:ind w:right="68"/>
                      <w:jc w:val="right"/>
                      <w:rPr>
                        <w:color w:val="0D3B5E" w:themeColor="accent1"/>
                        <w:sz w:val="20"/>
                        <w:szCs w:val="48"/>
                        <w:highlight w:val="yellow"/>
                      </w:rPr>
                    </w:pPr>
                  </w:p>
                </w:txbxContent>
              </v:textbox>
              <w10:wrap anchorx="margin" anchory="page"/>
            </v:shape>
          </w:pict>
        </mc:Fallback>
      </mc:AlternateContent>
    </w:r>
  </w:p>
  <w:p w14:paraId="7E1FDDE9" w14:textId="77777777" w:rsidR="00BF4A54" w:rsidRDefault="00BF4A54" w:rsidP="009074AC">
    <w:pPr>
      <w:pStyle w:val="Zhlav"/>
      <w:tabs>
        <w:tab w:val="clear" w:pos="4536"/>
        <w:tab w:val="clear" w:pos="9072"/>
        <w:tab w:val="left" w:pos="3795"/>
      </w:tabs>
      <w:jc w:val="center"/>
    </w:pPr>
  </w:p>
  <w:p w14:paraId="27913EDD" w14:textId="77777777" w:rsidR="00BF4A54" w:rsidRDefault="00BF4A5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16656"/>
    <w:multiLevelType w:val="hybridMultilevel"/>
    <w:tmpl w:val="8C54E3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1D203F"/>
    <w:multiLevelType w:val="hybridMultilevel"/>
    <w:tmpl w:val="364670FC"/>
    <w:lvl w:ilvl="0" w:tplc="FDF0939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A74502"/>
    <w:multiLevelType w:val="hybridMultilevel"/>
    <w:tmpl w:val="0D6652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FB1C82"/>
    <w:multiLevelType w:val="hybridMultilevel"/>
    <w:tmpl w:val="87F8B9CE"/>
    <w:lvl w:ilvl="0" w:tplc="6784CB52">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6D22B71"/>
    <w:multiLevelType w:val="hybridMultilevel"/>
    <w:tmpl w:val="55B0D790"/>
    <w:lvl w:ilvl="0" w:tplc="9416BC60">
      <w:start w:val="1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E25744"/>
    <w:multiLevelType w:val="multilevel"/>
    <w:tmpl w:val="443E4E3E"/>
    <w:lvl w:ilvl="0">
      <w:start w:val="1"/>
      <w:numFmt w:val="decimal"/>
      <w:pStyle w:val="Nadpis1"/>
      <w:lvlText w:val="%1"/>
      <w:lvlJc w:val="left"/>
      <w:pPr>
        <w:ind w:left="432" w:hanging="432"/>
      </w:pPr>
    </w:lvl>
    <w:lvl w:ilvl="1">
      <w:start w:val="1"/>
      <w:numFmt w:val="decimal"/>
      <w:pStyle w:val="Nadpis2"/>
      <w:lvlText w:val="%1.%2"/>
      <w:lvlJc w:val="left"/>
      <w:pPr>
        <w:ind w:left="2419" w:hanging="576"/>
      </w:pPr>
    </w:lvl>
    <w:lvl w:ilvl="2">
      <w:start w:val="1"/>
      <w:numFmt w:val="decimal"/>
      <w:pStyle w:val="Nadpis3"/>
      <w:lvlText w:val="%1.%2.%3"/>
      <w:lvlJc w:val="left"/>
      <w:pPr>
        <w:ind w:left="720" w:hanging="720"/>
      </w:pPr>
      <w:rPr>
        <w:b w:val="0"/>
        <w:bCs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E280982"/>
    <w:multiLevelType w:val="hybridMultilevel"/>
    <w:tmpl w:val="CCA67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695512B"/>
    <w:multiLevelType w:val="hybridMultilevel"/>
    <w:tmpl w:val="3286B9B4"/>
    <w:lvl w:ilvl="0" w:tplc="20C2F3C6">
      <w:start w:val="2"/>
      <w:numFmt w:val="bullet"/>
      <w:lvlText w:val="-"/>
      <w:lvlJc w:val="left"/>
      <w:pPr>
        <w:ind w:left="723" w:hanging="360"/>
      </w:pPr>
      <w:rPr>
        <w:rFonts w:ascii="Calibri" w:eastAsia="Times New Roman" w:hAnsi="Calibri" w:cs="Times New Roman" w:hint="default"/>
        <w:b/>
        <w:i w:val="0"/>
        <w:color w:val="2A91E1" w:themeColor="accent1" w:themeTint="99"/>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2A594B4C"/>
    <w:multiLevelType w:val="hybridMultilevel"/>
    <w:tmpl w:val="17F67FCA"/>
    <w:lvl w:ilvl="0" w:tplc="BE240918">
      <w:start w:val="130"/>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C6B5038"/>
    <w:multiLevelType w:val="multilevel"/>
    <w:tmpl w:val="D55E1FC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312B0B74"/>
    <w:multiLevelType w:val="hybridMultilevel"/>
    <w:tmpl w:val="1C207F06"/>
    <w:lvl w:ilvl="0" w:tplc="356A97E8">
      <w:start w:val="1"/>
      <w:numFmt w:val="bullet"/>
      <w:pStyle w:val="Odrvtab"/>
      <w:lvlText w:val=""/>
      <w:lvlJc w:val="left"/>
      <w:pPr>
        <w:ind w:left="360" w:hanging="360"/>
      </w:pPr>
      <w:rPr>
        <w:rFonts w:ascii="Symbol" w:hAnsi="Symbol" w:hint="default"/>
        <w:color w:val="7F7F7F" w:themeColor="text1" w:themeTint="8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32DB3B43"/>
    <w:multiLevelType w:val="hybridMultilevel"/>
    <w:tmpl w:val="7DA6EDD8"/>
    <w:lvl w:ilvl="0" w:tplc="E6DC0948">
      <w:numFmt w:val="bullet"/>
      <w:lvlText w:val="-"/>
      <w:lvlJc w:val="left"/>
      <w:pPr>
        <w:ind w:left="720" w:hanging="360"/>
      </w:pPr>
      <w:rPr>
        <w:rFonts w:ascii="Calibri" w:eastAsiaTheme="minorHAnsi" w:hAnsi="Calibri" w:cs="Calibri"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7AD2FAC"/>
    <w:multiLevelType w:val="hybridMultilevel"/>
    <w:tmpl w:val="3120F6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3C170391"/>
    <w:multiLevelType w:val="hybridMultilevel"/>
    <w:tmpl w:val="FCE8DE6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40890F8C"/>
    <w:multiLevelType w:val="hybridMultilevel"/>
    <w:tmpl w:val="441689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7CF0EE6"/>
    <w:multiLevelType w:val="hybridMultilevel"/>
    <w:tmpl w:val="9C2A66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4D5D29BD"/>
    <w:multiLevelType w:val="hybridMultilevel"/>
    <w:tmpl w:val="F51A78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0F04E5B"/>
    <w:multiLevelType w:val="hybridMultilevel"/>
    <w:tmpl w:val="7054C7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3B101E6"/>
    <w:multiLevelType w:val="hybridMultilevel"/>
    <w:tmpl w:val="2606F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3B75E4B"/>
    <w:multiLevelType w:val="hybridMultilevel"/>
    <w:tmpl w:val="7174E5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4807E35"/>
    <w:multiLevelType w:val="hybridMultilevel"/>
    <w:tmpl w:val="F1480B1A"/>
    <w:lvl w:ilvl="0" w:tplc="E6DC0948">
      <w:numFmt w:val="bullet"/>
      <w:lvlText w:val="-"/>
      <w:lvlJc w:val="left"/>
      <w:pPr>
        <w:ind w:left="720" w:hanging="360"/>
      </w:pPr>
      <w:rPr>
        <w:rFonts w:ascii="Calibri" w:eastAsiaTheme="minorHAnsi" w:hAnsi="Calibri" w:cs="Calibri"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0543170"/>
    <w:multiLevelType w:val="hybridMultilevel"/>
    <w:tmpl w:val="EC4CD7F4"/>
    <w:lvl w:ilvl="0" w:tplc="78804C1A">
      <w:start w:val="1"/>
      <w:numFmt w:val="bullet"/>
      <w:pStyle w:val="Odrky1"/>
      <w:lvlText w:val=""/>
      <w:lvlJc w:val="left"/>
      <w:pPr>
        <w:ind w:left="723" w:hanging="360"/>
      </w:pPr>
      <w:rPr>
        <w:rFonts w:ascii="Symbol" w:hAnsi="Symbol" w:hint="default"/>
        <w:b/>
        <w:i w:val="0"/>
        <w:color w:val="2A91E1" w:themeColor="accent1" w:themeTint="99"/>
        <w:sz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19F53B8"/>
    <w:multiLevelType w:val="hybridMultilevel"/>
    <w:tmpl w:val="DCEC01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3561B51"/>
    <w:multiLevelType w:val="hybridMultilevel"/>
    <w:tmpl w:val="365E09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65873957"/>
    <w:multiLevelType w:val="hybridMultilevel"/>
    <w:tmpl w:val="15C47C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7851420"/>
    <w:multiLevelType w:val="hybridMultilevel"/>
    <w:tmpl w:val="A7AAC7B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682817D5"/>
    <w:multiLevelType w:val="hybridMultilevel"/>
    <w:tmpl w:val="FFB46B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BF7271F"/>
    <w:multiLevelType w:val="hybridMultilevel"/>
    <w:tmpl w:val="F8B00560"/>
    <w:lvl w:ilvl="0" w:tplc="04050001">
      <w:start w:val="1"/>
      <w:numFmt w:val="bullet"/>
      <w:lvlText w:val=""/>
      <w:lvlJc w:val="left"/>
      <w:pPr>
        <w:ind w:left="374" w:hanging="360"/>
      </w:pPr>
      <w:rPr>
        <w:rFonts w:ascii="Symbol" w:hAnsi="Symbol" w:hint="default"/>
      </w:rPr>
    </w:lvl>
    <w:lvl w:ilvl="1" w:tplc="04050003">
      <w:start w:val="1"/>
      <w:numFmt w:val="bullet"/>
      <w:lvlText w:val="o"/>
      <w:lvlJc w:val="left"/>
      <w:pPr>
        <w:ind w:left="1094" w:hanging="360"/>
      </w:pPr>
      <w:rPr>
        <w:rFonts w:ascii="Courier New" w:hAnsi="Courier New" w:cs="Courier New" w:hint="default"/>
      </w:rPr>
    </w:lvl>
    <w:lvl w:ilvl="2" w:tplc="04050005">
      <w:start w:val="1"/>
      <w:numFmt w:val="bullet"/>
      <w:lvlText w:val=""/>
      <w:lvlJc w:val="left"/>
      <w:pPr>
        <w:ind w:left="1814" w:hanging="360"/>
      </w:pPr>
      <w:rPr>
        <w:rFonts w:ascii="Wingdings" w:hAnsi="Wingdings" w:hint="default"/>
      </w:rPr>
    </w:lvl>
    <w:lvl w:ilvl="3" w:tplc="04050001">
      <w:start w:val="1"/>
      <w:numFmt w:val="bullet"/>
      <w:lvlText w:val=""/>
      <w:lvlJc w:val="left"/>
      <w:pPr>
        <w:ind w:left="2534" w:hanging="360"/>
      </w:pPr>
      <w:rPr>
        <w:rFonts w:ascii="Symbol" w:hAnsi="Symbol" w:hint="default"/>
      </w:rPr>
    </w:lvl>
    <w:lvl w:ilvl="4" w:tplc="04050003">
      <w:start w:val="1"/>
      <w:numFmt w:val="bullet"/>
      <w:lvlText w:val="o"/>
      <w:lvlJc w:val="left"/>
      <w:pPr>
        <w:ind w:left="3254" w:hanging="360"/>
      </w:pPr>
      <w:rPr>
        <w:rFonts w:ascii="Courier New" w:hAnsi="Courier New" w:cs="Courier New" w:hint="default"/>
      </w:rPr>
    </w:lvl>
    <w:lvl w:ilvl="5" w:tplc="04050005">
      <w:start w:val="1"/>
      <w:numFmt w:val="bullet"/>
      <w:lvlText w:val=""/>
      <w:lvlJc w:val="left"/>
      <w:pPr>
        <w:ind w:left="3974" w:hanging="360"/>
      </w:pPr>
      <w:rPr>
        <w:rFonts w:ascii="Wingdings" w:hAnsi="Wingdings" w:hint="default"/>
      </w:rPr>
    </w:lvl>
    <w:lvl w:ilvl="6" w:tplc="04050001">
      <w:start w:val="1"/>
      <w:numFmt w:val="bullet"/>
      <w:lvlText w:val=""/>
      <w:lvlJc w:val="left"/>
      <w:pPr>
        <w:ind w:left="4694" w:hanging="360"/>
      </w:pPr>
      <w:rPr>
        <w:rFonts w:ascii="Symbol" w:hAnsi="Symbol" w:hint="default"/>
      </w:rPr>
    </w:lvl>
    <w:lvl w:ilvl="7" w:tplc="04050003">
      <w:start w:val="1"/>
      <w:numFmt w:val="bullet"/>
      <w:lvlText w:val="o"/>
      <w:lvlJc w:val="left"/>
      <w:pPr>
        <w:ind w:left="5414" w:hanging="360"/>
      </w:pPr>
      <w:rPr>
        <w:rFonts w:ascii="Courier New" w:hAnsi="Courier New" w:cs="Courier New" w:hint="default"/>
      </w:rPr>
    </w:lvl>
    <w:lvl w:ilvl="8" w:tplc="04050005">
      <w:start w:val="1"/>
      <w:numFmt w:val="bullet"/>
      <w:lvlText w:val=""/>
      <w:lvlJc w:val="left"/>
      <w:pPr>
        <w:ind w:left="6134" w:hanging="360"/>
      </w:pPr>
      <w:rPr>
        <w:rFonts w:ascii="Wingdings" w:hAnsi="Wingdings" w:hint="default"/>
      </w:rPr>
    </w:lvl>
  </w:abstractNum>
  <w:abstractNum w:abstractNumId="28" w15:restartNumberingAfterBreak="0">
    <w:nsid w:val="71453B54"/>
    <w:multiLevelType w:val="hybridMultilevel"/>
    <w:tmpl w:val="A4D402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15F0EE2"/>
    <w:multiLevelType w:val="hybridMultilevel"/>
    <w:tmpl w:val="7924FFA4"/>
    <w:lvl w:ilvl="0" w:tplc="E6DC0948">
      <w:numFmt w:val="bullet"/>
      <w:lvlText w:val="-"/>
      <w:lvlJc w:val="left"/>
      <w:pPr>
        <w:ind w:left="720" w:hanging="360"/>
      </w:pPr>
      <w:rPr>
        <w:rFonts w:ascii="Calibri" w:eastAsiaTheme="minorHAnsi" w:hAnsi="Calibri" w:cs="Calibri"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5"/>
  </w:num>
  <w:num w:numId="4">
    <w:abstractNumId w:val="21"/>
  </w:num>
  <w:num w:numId="5">
    <w:abstractNumId w:val="10"/>
  </w:num>
  <w:num w:numId="6">
    <w:abstractNumId w:val="22"/>
  </w:num>
  <w:num w:numId="7">
    <w:abstractNumId w:val="7"/>
  </w:num>
  <w:num w:numId="8">
    <w:abstractNumId w:val="8"/>
  </w:num>
  <w:num w:numId="9">
    <w:abstractNumId w:val="28"/>
  </w:num>
  <w:num w:numId="10">
    <w:abstractNumId w:val="26"/>
  </w:num>
  <w:num w:numId="11">
    <w:abstractNumId w:val="6"/>
  </w:num>
  <w:num w:numId="12">
    <w:abstractNumId w:val="24"/>
  </w:num>
  <w:num w:numId="13">
    <w:abstractNumId w:val="1"/>
  </w:num>
  <w:num w:numId="14">
    <w:abstractNumId w:val="29"/>
  </w:num>
  <w:num w:numId="15">
    <w:abstractNumId w:val="12"/>
  </w:num>
  <w:num w:numId="16">
    <w:abstractNumId w:val="12"/>
  </w:num>
  <w:num w:numId="17">
    <w:abstractNumId w:val="2"/>
  </w:num>
  <w:num w:numId="18">
    <w:abstractNumId w:val="17"/>
  </w:num>
  <w:num w:numId="19">
    <w:abstractNumId w:val="18"/>
  </w:num>
  <w:num w:numId="20">
    <w:abstractNumId w:val="0"/>
  </w:num>
  <w:num w:numId="21">
    <w:abstractNumId w:val="2"/>
  </w:num>
  <w:num w:numId="22">
    <w:abstractNumId w:val="13"/>
  </w:num>
  <w:num w:numId="23">
    <w:abstractNumId w:val="25"/>
  </w:num>
  <w:num w:numId="24">
    <w:abstractNumId w:val="15"/>
  </w:num>
  <w:num w:numId="25">
    <w:abstractNumId w:val="2"/>
  </w:num>
  <w:num w:numId="26">
    <w:abstractNumId w:val="23"/>
  </w:num>
  <w:num w:numId="27">
    <w:abstractNumId w:val="27"/>
  </w:num>
  <w:num w:numId="28">
    <w:abstractNumId w:val="16"/>
  </w:num>
  <w:num w:numId="29">
    <w:abstractNumId w:val="14"/>
  </w:num>
  <w:num w:numId="30">
    <w:abstractNumId w:val="3"/>
  </w:num>
  <w:num w:numId="31">
    <w:abstractNumId w:val="3"/>
  </w:num>
  <w:num w:numId="32">
    <w:abstractNumId w:val="11"/>
  </w:num>
  <w:num w:numId="33">
    <w:abstractNumId w:val="20"/>
  </w:num>
  <w:num w:numId="34">
    <w:abstractNumId w:val="4"/>
  </w:num>
  <w:num w:numId="35">
    <w:abstractNumId w:val="19"/>
  </w:num>
  <w:num w:numId="36">
    <w:abstractNumId w:val="3"/>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23"/>
  </w:num>
  <w:num w:numId="47">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F29"/>
    <w:rsid w:val="000038EA"/>
    <w:rsid w:val="000043C3"/>
    <w:rsid w:val="00005BF5"/>
    <w:rsid w:val="000113B5"/>
    <w:rsid w:val="00012D0B"/>
    <w:rsid w:val="00013C18"/>
    <w:rsid w:val="0001427A"/>
    <w:rsid w:val="00024BB8"/>
    <w:rsid w:val="0002532C"/>
    <w:rsid w:val="0003178D"/>
    <w:rsid w:val="0003418A"/>
    <w:rsid w:val="000463A4"/>
    <w:rsid w:val="00051642"/>
    <w:rsid w:val="00055FBB"/>
    <w:rsid w:val="00060AF4"/>
    <w:rsid w:val="00063A2E"/>
    <w:rsid w:val="00063FB2"/>
    <w:rsid w:val="00077FE5"/>
    <w:rsid w:val="0008105F"/>
    <w:rsid w:val="00085A1D"/>
    <w:rsid w:val="000868FC"/>
    <w:rsid w:val="00092E0C"/>
    <w:rsid w:val="000A4E9C"/>
    <w:rsid w:val="000A7579"/>
    <w:rsid w:val="000B0DD7"/>
    <w:rsid w:val="000B12FC"/>
    <w:rsid w:val="000B2A8E"/>
    <w:rsid w:val="000B6B15"/>
    <w:rsid w:val="000B759E"/>
    <w:rsid w:val="000C2CA4"/>
    <w:rsid w:val="000C594D"/>
    <w:rsid w:val="000D0427"/>
    <w:rsid w:val="000D48C0"/>
    <w:rsid w:val="000E45AF"/>
    <w:rsid w:val="000E547C"/>
    <w:rsid w:val="000F1C75"/>
    <w:rsid w:val="000F3037"/>
    <w:rsid w:val="000F370F"/>
    <w:rsid w:val="000F61B5"/>
    <w:rsid w:val="000F7B91"/>
    <w:rsid w:val="001056BE"/>
    <w:rsid w:val="00111509"/>
    <w:rsid w:val="00111A49"/>
    <w:rsid w:val="001145CF"/>
    <w:rsid w:val="00122B39"/>
    <w:rsid w:val="00124414"/>
    <w:rsid w:val="00126297"/>
    <w:rsid w:val="0012794A"/>
    <w:rsid w:val="0013068F"/>
    <w:rsid w:val="00131A25"/>
    <w:rsid w:val="0013230A"/>
    <w:rsid w:val="0013237A"/>
    <w:rsid w:val="00134880"/>
    <w:rsid w:val="0013533B"/>
    <w:rsid w:val="00136972"/>
    <w:rsid w:val="00140DC1"/>
    <w:rsid w:val="00142CD6"/>
    <w:rsid w:val="00144C10"/>
    <w:rsid w:val="0014560B"/>
    <w:rsid w:val="001458D3"/>
    <w:rsid w:val="001530AC"/>
    <w:rsid w:val="00154F3C"/>
    <w:rsid w:val="0015510B"/>
    <w:rsid w:val="00160666"/>
    <w:rsid w:val="001707B8"/>
    <w:rsid w:val="00171884"/>
    <w:rsid w:val="0018047C"/>
    <w:rsid w:val="001822EF"/>
    <w:rsid w:val="00184ADD"/>
    <w:rsid w:val="00186844"/>
    <w:rsid w:val="00187275"/>
    <w:rsid w:val="0018774E"/>
    <w:rsid w:val="00194DE8"/>
    <w:rsid w:val="00196814"/>
    <w:rsid w:val="00197958"/>
    <w:rsid w:val="001A23A4"/>
    <w:rsid w:val="001A5E01"/>
    <w:rsid w:val="001B044B"/>
    <w:rsid w:val="001B5108"/>
    <w:rsid w:val="001B51C6"/>
    <w:rsid w:val="001C00D6"/>
    <w:rsid w:val="001C0B06"/>
    <w:rsid w:val="001C1B8A"/>
    <w:rsid w:val="001C2369"/>
    <w:rsid w:val="001C7E13"/>
    <w:rsid w:val="001D10AB"/>
    <w:rsid w:val="001E314F"/>
    <w:rsid w:val="001E58D1"/>
    <w:rsid w:val="001F58D3"/>
    <w:rsid w:val="001F6A1F"/>
    <w:rsid w:val="001F7A24"/>
    <w:rsid w:val="00204FC4"/>
    <w:rsid w:val="00205D74"/>
    <w:rsid w:val="00220156"/>
    <w:rsid w:val="0022184C"/>
    <w:rsid w:val="00231DDD"/>
    <w:rsid w:val="0023324F"/>
    <w:rsid w:val="00233F0D"/>
    <w:rsid w:val="00236BA3"/>
    <w:rsid w:val="00237189"/>
    <w:rsid w:val="00243679"/>
    <w:rsid w:val="00244D06"/>
    <w:rsid w:val="002516DF"/>
    <w:rsid w:val="00251D28"/>
    <w:rsid w:val="00253B5E"/>
    <w:rsid w:val="00253DA3"/>
    <w:rsid w:val="00257092"/>
    <w:rsid w:val="00261F22"/>
    <w:rsid w:val="00266773"/>
    <w:rsid w:val="0026721F"/>
    <w:rsid w:val="00270436"/>
    <w:rsid w:val="00273AF9"/>
    <w:rsid w:val="00274174"/>
    <w:rsid w:val="0027497B"/>
    <w:rsid w:val="00274F44"/>
    <w:rsid w:val="002760BB"/>
    <w:rsid w:val="002761F1"/>
    <w:rsid w:val="00281D61"/>
    <w:rsid w:val="00282708"/>
    <w:rsid w:val="00291C46"/>
    <w:rsid w:val="002958F7"/>
    <w:rsid w:val="002A60B3"/>
    <w:rsid w:val="002B1A0F"/>
    <w:rsid w:val="002B357D"/>
    <w:rsid w:val="002B3C90"/>
    <w:rsid w:val="002C492D"/>
    <w:rsid w:val="002C614C"/>
    <w:rsid w:val="002C7B77"/>
    <w:rsid w:val="002E03AF"/>
    <w:rsid w:val="002E082C"/>
    <w:rsid w:val="002E49E8"/>
    <w:rsid w:val="002E4D91"/>
    <w:rsid w:val="002F1D75"/>
    <w:rsid w:val="002F26E3"/>
    <w:rsid w:val="002F40D5"/>
    <w:rsid w:val="003005BC"/>
    <w:rsid w:val="00301E94"/>
    <w:rsid w:val="00305CC7"/>
    <w:rsid w:val="00311E21"/>
    <w:rsid w:val="00314657"/>
    <w:rsid w:val="00316696"/>
    <w:rsid w:val="00324735"/>
    <w:rsid w:val="00333BA9"/>
    <w:rsid w:val="003353EB"/>
    <w:rsid w:val="00335AAE"/>
    <w:rsid w:val="0035419D"/>
    <w:rsid w:val="00360278"/>
    <w:rsid w:val="0036447D"/>
    <w:rsid w:val="00375887"/>
    <w:rsid w:val="00377198"/>
    <w:rsid w:val="003831AB"/>
    <w:rsid w:val="00392E43"/>
    <w:rsid w:val="003A263F"/>
    <w:rsid w:val="003A349D"/>
    <w:rsid w:val="003A3D63"/>
    <w:rsid w:val="003A474D"/>
    <w:rsid w:val="003C41FA"/>
    <w:rsid w:val="003C6159"/>
    <w:rsid w:val="003D01DB"/>
    <w:rsid w:val="003D6476"/>
    <w:rsid w:val="003E194B"/>
    <w:rsid w:val="003E4179"/>
    <w:rsid w:val="003E6581"/>
    <w:rsid w:val="003E71AD"/>
    <w:rsid w:val="003F318A"/>
    <w:rsid w:val="003F35F7"/>
    <w:rsid w:val="003F7496"/>
    <w:rsid w:val="0040067C"/>
    <w:rsid w:val="00401996"/>
    <w:rsid w:val="00402B96"/>
    <w:rsid w:val="00410F84"/>
    <w:rsid w:val="004154B2"/>
    <w:rsid w:val="0041676B"/>
    <w:rsid w:val="00421B5C"/>
    <w:rsid w:val="00421BDF"/>
    <w:rsid w:val="004254A6"/>
    <w:rsid w:val="00425B0B"/>
    <w:rsid w:val="00433CE7"/>
    <w:rsid w:val="004373AC"/>
    <w:rsid w:val="0043763B"/>
    <w:rsid w:val="00437F79"/>
    <w:rsid w:val="00441ABB"/>
    <w:rsid w:val="004451DB"/>
    <w:rsid w:val="004464EE"/>
    <w:rsid w:val="00447B02"/>
    <w:rsid w:val="00452B2F"/>
    <w:rsid w:val="004561DD"/>
    <w:rsid w:val="004613AF"/>
    <w:rsid w:val="00466F46"/>
    <w:rsid w:val="004709E7"/>
    <w:rsid w:val="00470F05"/>
    <w:rsid w:val="00472024"/>
    <w:rsid w:val="00472801"/>
    <w:rsid w:val="00473EBE"/>
    <w:rsid w:val="004761FE"/>
    <w:rsid w:val="004766F2"/>
    <w:rsid w:val="004804D1"/>
    <w:rsid w:val="00484022"/>
    <w:rsid w:val="0048529F"/>
    <w:rsid w:val="00486EE9"/>
    <w:rsid w:val="00487086"/>
    <w:rsid w:val="004877B5"/>
    <w:rsid w:val="00491E79"/>
    <w:rsid w:val="004938A0"/>
    <w:rsid w:val="0049437E"/>
    <w:rsid w:val="004974F2"/>
    <w:rsid w:val="00497FCA"/>
    <w:rsid w:val="004A07E6"/>
    <w:rsid w:val="004A2ABD"/>
    <w:rsid w:val="004A321F"/>
    <w:rsid w:val="004A5255"/>
    <w:rsid w:val="004A67E2"/>
    <w:rsid w:val="004B2041"/>
    <w:rsid w:val="004B46D0"/>
    <w:rsid w:val="004B66E7"/>
    <w:rsid w:val="004C1213"/>
    <w:rsid w:val="004C2396"/>
    <w:rsid w:val="004C401A"/>
    <w:rsid w:val="004DC390"/>
    <w:rsid w:val="004E211D"/>
    <w:rsid w:val="004E3DAF"/>
    <w:rsid w:val="004F626A"/>
    <w:rsid w:val="004F6F7E"/>
    <w:rsid w:val="00501948"/>
    <w:rsid w:val="005035F8"/>
    <w:rsid w:val="0050390E"/>
    <w:rsid w:val="00504177"/>
    <w:rsid w:val="00507C75"/>
    <w:rsid w:val="005136BC"/>
    <w:rsid w:val="00514787"/>
    <w:rsid w:val="005156C2"/>
    <w:rsid w:val="005161BF"/>
    <w:rsid w:val="00523260"/>
    <w:rsid w:val="00524BC4"/>
    <w:rsid w:val="005319E5"/>
    <w:rsid w:val="0053594D"/>
    <w:rsid w:val="00536990"/>
    <w:rsid w:val="00536C35"/>
    <w:rsid w:val="0054088A"/>
    <w:rsid w:val="00541B50"/>
    <w:rsid w:val="00542EDD"/>
    <w:rsid w:val="0054400B"/>
    <w:rsid w:val="00550154"/>
    <w:rsid w:val="00557913"/>
    <w:rsid w:val="00564037"/>
    <w:rsid w:val="00566D1A"/>
    <w:rsid w:val="00571607"/>
    <w:rsid w:val="005724FB"/>
    <w:rsid w:val="005733EE"/>
    <w:rsid w:val="005763B9"/>
    <w:rsid w:val="00577191"/>
    <w:rsid w:val="005819DA"/>
    <w:rsid w:val="00585D76"/>
    <w:rsid w:val="0059654D"/>
    <w:rsid w:val="005A1B58"/>
    <w:rsid w:val="005A24F9"/>
    <w:rsid w:val="005A2EEC"/>
    <w:rsid w:val="005B1454"/>
    <w:rsid w:val="005C0216"/>
    <w:rsid w:val="005C0C39"/>
    <w:rsid w:val="005C425E"/>
    <w:rsid w:val="005C578E"/>
    <w:rsid w:val="005D0E6C"/>
    <w:rsid w:val="005D1691"/>
    <w:rsid w:val="005D5274"/>
    <w:rsid w:val="005D5304"/>
    <w:rsid w:val="005D75C8"/>
    <w:rsid w:val="005E31AB"/>
    <w:rsid w:val="005E75EC"/>
    <w:rsid w:val="005F5B71"/>
    <w:rsid w:val="005F762C"/>
    <w:rsid w:val="0060328A"/>
    <w:rsid w:val="00606C9E"/>
    <w:rsid w:val="00607531"/>
    <w:rsid w:val="006146E0"/>
    <w:rsid w:val="00620537"/>
    <w:rsid w:val="0062423F"/>
    <w:rsid w:val="0063166B"/>
    <w:rsid w:val="0064031A"/>
    <w:rsid w:val="006426CF"/>
    <w:rsid w:val="0064330A"/>
    <w:rsid w:val="00657CC0"/>
    <w:rsid w:val="00661490"/>
    <w:rsid w:val="0066362A"/>
    <w:rsid w:val="006643C2"/>
    <w:rsid w:val="00666B28"/>
    <w:rsid w:val="006723AC"/>
    <w:rsid w:val="006733B1"/>
    <w:rsid w:val="00677876"/>
    <w:rsid w:val="00687CC7"/>
    <w:rsid w:val="006915EE"/>
    <w:rsid w:val="0069539F"/>
    <w:rsid w:val="006A0837"/>
    <w:rsid w:val="006A2D95"/>
    <w:rsid w:val="006A31B4"/>
    <w:rsid w:val="006B2FF9"/>
    <w:rsid w:val="006B3133"/>
    <w:rsid w:val="006B5762"/>
    <w:rsid w:val="006B6FF2"/>
    <w:rsid w:val="006C0068"/>
    <w:rsid w:val="006C7A69"/>
    <w:rsid w:val="006D16C8"/>
    <w:rsid w:val="006D4B88"/>
    <w:rsid w:val="006D68B3"/>
    <w:rsid w:val="006D6B73"/>
    <w:rsid w:val="006E4E1C"/>
    <w:rsid w:val="006E52B9"/>
    <w:rsid w:val="006E7CE3"/>
    <w:rsid w:val="006F02FD"/>
    <w:rsid w:val="006F03BF"/>
    <w:rsid w:val="006F13AC"/>
    <w:rsid w:val="006F1F4B"/>
    <w:rsid w:val="006F5A57"/>
    <w:rsid w:val="006F5EFC"/>
    <w:rsid w:val="0070086D"/>
    <w:rsid w:val="00706FB4"/>
    <w:rsid w:val="00710D6E"/>
    <w:rsid w:val="00711207"/>
    <w:rsid w:val="007146E1"/>
    <w:rsid w:val="007157E6"/>
    <w:rsid w:val="00724A9A"/>
    <w:rsid w:val="00726B40"/>
    <w:rsid w:val="00731CB8"/>
    <w:rsid w:val="00767556"/>
    <w:rsid w:val="00773922"/>
    <w:rsid w:val="0079109A"/>
    <w:rsid w:val="00794600"/>
    <w:rsid w:val="0079623E"/>
    <w:rsid w:val="007A0124"/>
    <w:rsid w:val="007A1E65"/>
    <w:rsid w:val="007B7EE6"/>
    <w:rsid w:val="007C0700"/>
    <w:rsid w:val="007C1F61"/>
    <w:rsid w:val="007C20D6"/>
    <w:rsid w:val="007C2F16"/>
    <w:rsid w:val="007E4BE4"/>
    <w:rsid w:val="007F16CA"/>
    <w:rsid w:val="007F32D0"/>
    <w:rsid w:val="007F3CF5"/>
    <w:rsid w:val="007F560A"/>
    <w:rsid w:val="007F6375"/>
    <w:rsid w:val="0080324F"/>
    <w:rsid w:val="0080514A"/>
    <w:rsid w:val="0081259D"/>
    <w:rsid w:val="008138B8"/>
    <w:rsid w:val="00816E20"/>
    <w:rsid w:val="0082658A"/>
    <w:rsid w:val="00827522"/>
    <w:rsid w:val="008304D2"/>
    <w:rsid w:val="00831C9A"/>
    <w:rsid w:val="0083559D"/>
    <w:rsid w:val="0084087C"/>
    <w:rsid w:val="008409D2"/>
    <w:rsid w:val="00843FAF"/>
    <w:rsid w:val="00845D4D"/>
    <w:rsid w:val="008467CB"/>
    <w:rsid w:val="00850295"/>
    <w:rsid w:val="008516CD"/>
    <w:rsid w:val="00853258"/>
    <w:rsid w:val="00854F80"/>
    <w:rsid w:val="00855C6F"/>
    <w:rsid w:val="00864018"/>
    <w:rsid w:val="008640F0"/>
    <w:rsid w:val="0087252E"/>
    <w:rsid w:val="00876C21"/>
    <w:rsid w:val="00883B39"/>
    <w:rsid w:val="00886E32"/>
    <w:rsid w:val="00887D3D"/>
    <w:rsid w:val="0089023B"/>
    <w:rsid w:val="00894567"/>
    <w:rsid w:val="008A09C3"/>
    <w:rsid w:val="008A3BE1"/>
    <w:rsid w:val="008A4C39"/>
    <w:rsid w:val="008A547A"/>
    <w:rsid w:val="008C1458"/>
    <w:rsid w:val="008C664C"/>
    <w:rsid w:val="008D40DA"/>
    <w:rsid w:val="008D4368"/>
    <w:rsid w:val="008D7212"/>
    <w:rsid w:val="008E0F1B"/>
    <w:rsid w:val="008E244E"/>
    <w:rsid w:val="008E4AD6"/>
    <w:rsid w:val="008F1725"/>
    <w:rsid w:val="008F5195"/>
    <w:rsid w:val="00903918"/>
    <w:rsid w:val="009074AC"/>
    <w:rsid w:val="00907D2A"/>
    <w:rsid w:val="009107E5"/>
    <w:rsid w:val="00911358"/>
    <w:rsid w:val="009127FA"/>
    <w:rsid w:val="00913AC0"/>
    <w:rsid w:val="00916911"/>
    <w:rsid w:val="00924835"/>
    <w:rsid w:val="009258AC"/>
    <w:rsid w:val="00927DC4"/>
    <w:rsid w:val="00937ED5"/>
    <w:rsid w:val="009421E4"/>
    <w:rsid w:val="009478AF"/>
    <w:rsid w:val="009506F6"/>
    <w:rsid w:val="00950A87"/>
    <w:rsid w:val="009515CE"/>
    <w:rsid w:val="009542C4"/>
    <w:rsid w:val="00956821"/>
    <w:rsid w:val="0096344C"/>
    <w:rsid w:val="009712D0"/>
    <w:rsid w:val="00971CB0"/>
    <w:rsid w:val="00975BC5"/>
    <w:rsid w:val="0097790C"/>
    <w:rsid w:val="00982D15"/>
    <w:rsid w:val="009833D1"/>
    <w:rsid w:val="00985C2E"/>
    <w:rsid w:val="00985F3A"/>
    <w:rsid w:val="0099017B"/>
    <w:rsid w:val="00996229"/>
    <w:rsid w:val="00997C94"/>
    <w:rsid w:val="009A7FB6"/>
    <w:rsid w:val="009B07E5"/>
    <w:rsid w:val="009B16D9"/>
    <w:rsid w:val="009B6E13"/>
    <w:rsid w:val="009C5ACA"/>
    <w:rsid w:val="009D0A51"/>
    <w:rsid w:val="009F14ED"/>
    <w:rsid w:val="009F45C3"/>
    <w:rsid w:val="009F6B78"/>
    <w:rsid w:val="00A0077E"/>
    <w:rsid w:val="00A0189A"/>
    <w:rsid w:val="00A03255"/>
    <w:rsid w:val="00A037EA"/>
    <w:rsid w:val="00A03B80"/>
    <w:rsid w:val="00A0632A"/>
    <w:rsid w:val="00A07DC7"/>
    <w:rsid w:val="00A10A20"/>
    <w:rsid w:val="00A1229D"/>
    <w:rsid w:val="00A1543A"/>
    <w:rsid w:val="00A168AB"/>
    <w:rsid w:val="00A16A79"/>
    <w:rsid w:val="00A17EBE"/>
    <w:rsid w:val="00A27F62"/>
    <w:rsid w:val="00A32A44"/>
    <w:rsid w:val="00A3577B"/>
    <w:rsid w:val="00A37D7B"/>
    <w:rsid w:val="00A41B0F"/>
    <w:rsid w:val="00A42B77"/>
    <w:rsid w:val="00A4502C"/>
    <w:rsid w:val="00A45418"/>
    <w:rsid w:val="00A5209F"/>
    <w:rsid w:val="00A53472"/>
    <w:rsid w:val="00A64121"/>
    <w:rsid w:val="00A64649"/>
    <w:rsid w:val="00A647A1"/>
    <w:rsid w:val="00A72F4C"/>
    <w:rsid w:val="00A77B0D"/>
    <w:rsid w:val="00A82193"/>
    <w:rsid w:val="00A83301"/>
    <w:rsid w:val="00A86949"/>
    <w:rsid w:val="00A876ED"/>
    <w:rsid w:val="00A92DEF"/>
    <w:rsid w:val="00A930BD"/>
    <w:rsid w:val="00AA5B52"/>
    <w:rsid w:val="00AB41E8"/>
    <w:rsid w:val="00AB4AD6"/>
    <w:rsid w:val="00AB5A9E"/>
    <w:rsid w:val="00AB7EBC"/>
    <w:rsid w:val="00AC1912"/>
    <w:rsid w:val="00AC4587"/>
    <w:rsid w:val="00AC4F2E"/>
    <w:rsid w:val="00AC6A90"/>
    <w:rsid w:val="00AC6DE1"/>
    <w:rsid w:val="00AE0031"/>
    <w:rsid w:val="00AE173D"/>
    <w:rsid w:val="00AE26E9"/>
    <w:rsid w:val="00AE2D49"/>
    <w:rsid w:val="00AF4E5E"/>
    <w:rsid w:val="00AF6D99"/>
    <w:rsid w:val="00B008AA"/>
    <w:rsid w:val="00B0451A"/>
    <w:rsid w:val="00B04869"/>
    <w:rsid w:val="00B04C38"/>
    <w:rsid w:val="00B1697C"/>
    <w:rsid w:val="00B22998"/>
    <w:rsid w:val="00B27579"/>
    <w:rsid w:val="00B30A36"/>
    <w:rsid w:val="00B31377"/>
    <w:rsid w:val="00B323B4"/>
    <w:rsid w:val="00B331AC"/>
    <w:rsid w:val="00B35AC1"/>
    <w:rsid w:val="00B35DC2"/>
    <w:rsid w:val="00B4242D"/>
    <w:rsid w:val="00B51812"/>
    <w:rsid w:val="00B54085"/>
    <w:rsid w:val="00B55757"/>
    <w:rsid w:val="00B65A97"/>
    <w:rsid w:val="00B670A6"/>
    <w:rsid w:val="00B752F8"/>
    <w:rsid w:val="00B75780"/>
    <w:rsid w:val="00B76034"/>
    <w:rsid w:val="00B82568"/>
    <w:rsid w:val="00B84340"/>
    <w:rsid w:val="00B91C16"/>
    <w:rsid w:val="00B93556"/>
    <w:rsid w:val="00B974B8"/>
    <w:rsid w:val="00BA086A"/>
    <w:rsid w:val="00BA1285"/>
    <w:rsid w:val="00BA7326"/>
    <w:rsid w:val="00BB0CC9"/>
    <w:rsid w:val="00BB1A1B"/>
    <w:rsid w:val="00BC093C"/>
    <w:rsid w:val="00BC0A38"/>
    <w:rsid w:val="00BC0E49"/>
    <w:rsid w:val="00BC5B49"/>
    <w:rsid w:val="00BC6CE2"/>
    <w:rsid w:val="00BD0E83"/>
    <w:rsid w:val="00BD194A"/>
    <w:rsid w:val="00BD2A93"/>
    <w:rsid w:val="00BD7892"/>
    <w:rsid w:val="00BE098F"/>
    <w:rsid w:val="00BE7F91"/>
    <w:rsid w:val="00BF2641"/>
    <w:rsid w:val="00BF4A54"/>
    <w:rsid w:val="00BF5778"/>
    <w:rsid w:val="00C002DE"/>
    <w:rsid w:val="00C050DB"/>
    <w:rsid w:val="00C06E14"/>
    <w:rsid w:val="00C0769A"/>
    <w:rsid w:val="00C12FD5"/>
    <w:rsid w:val="00C1602D"/>
    <w:rsid w:val="00C173BC"/>
    <w:rsid w:val="00C21475"/>
    <w:rsid w:val="00C2426B"/>
    <w:rsid w:val="00C36B43"/>
    <w:rsid w:val="00C42223"/>
    <w:rsid w:val="00C50DF2"/>
    <w:rsid w:val="00C51325"/>
    <w:rsid w:val="00C56881"/>
    <w:rsid w:val="00C63DB4"/>
    <w:rsid w:val="00C656B3"/>
    <w:rsid w:val="00C664FA"/>
    <w:rsid w:val="00C703D1"/>
    <w:rsid w:val="00C714FD"/>
    <w:rsid w:val="00C726E6"/>
    <w:rsid w:val="00C80FD4"/>
    <w:rsid w:val="00C83EB8"/>
    <w:rsid w:val="00C925E2"/>
    <w:rsid w:val="00CA4FE0"/>
    <w:rsid w:val="00CA5159"/>
    <w:rsid w:val="00CB6630"/>
    <w:rsid w:val="00CC54D7"/>
    <w:rsid w:val="00CD01CE"/>
    <w:rsid w:val="00CD3A0D"/>
    <w:rsid w:val="00CE0664"/>
    <w:rsid w:val="00CE18D9"/>
    <w:rsid w:val="00CE6DA3"/>
    <w:rsid w:val="00CF1AD3"/>
    <w:rsid w:val="00CF2670"/>
    <w:rsid w:val="00CF309A"/>
    <w:rsid w:val="00D0030C"/>
    <w:rsid w:val="00D02B47"/>
    <w:rsid w:val="00D04EE9"/>
    <w:rsid w:val="00D05486"/>
    <w:rsid w:val="00D11EEC"/>
    <w:rsid w:val="00D12CA8"/>
    <w:rsid w:val="00D14B40"/>
    <w:rsid w:val="00D16FDD"/>
    <w:rsid w:val="00D1796E"/>
    <w:rsid w:val="00D23976"/>
    <w:rsid w:val="00D23BBF"/>
    <w:rsid w:val="00D26F7E"/>
    <w:rsid w:val="00D2737B"/>
    <w:rsid w:val="00D2788F"/>
    <w:rsid w:val="00D304AF"/>
    <w:rsid w:val="00D30BC4"/>
    <w:rsid w:val="00D30DEE"/>
    <w:rsid w:val="00D32D46"/>
    <w:rsid w:val="00D334F1"/>
    <w:rsid w:val="00D3356D"/>
    <w:rsid w:val="00D33B65"/>
    <w:rsid w:val="00D33F4E"/>
    <w:rsid w:val="00D36948"/>
    <w:rsid w:val="00D42C94"/>
    <w:rsid w:val="00D46301"/>
    <w:rsid w:val="00D51429"/>
    <w:rsid w:val="00D55413"/>
    <w:rsid w:val="00D604B7"/>
    <w:rsid w:val="00D64C1C"/>
    <w:rsid w:val="00D67A77"/>
    <w:rsid w:val="00D70649"/>
    <w:rsid w:val="00D7101E"/>
    <w:rsid w:val="00D73EDD"/>
    <w:rsid w:val="00D76724"/>
    <w:rsid w:val="00D77F43"/>
    <w:rsid w:val="00D86454"/>
    <w:rsid w:val="00D871BC"/>
    <w:rsid w:val="00D91F94"/>
    <w:rsid w:val="00D9254B"/>
    <w:rsid w:val="00D97508"/>
    <w:rsid w:val="00DA11F7"/>
    <w:rsid w:val="00DB040B"/>
    <w:rsid w:val="00DB2A00"/>
    <w:rsid w:val="00DC0B23"/>
    <w:rsid w:val="00DC2F29"/>
    <w:rsid w:val="00DC465E"/>
    <w:rsid w:val="00DC64A7"/>
    <w:rsid w:val="00DC65C0"/>
    <w:rsid w:val="00DC7AA9"/>
    <w:rsid w:val="00DD26B6"/>
    <w:rsid w:val="00DD776A"/>
    <w:rsid w:val="00DE01AF"/>
    <w:rsid w:val="00DE02A0"/>
    <w:rsid w:val="00DE48FF"/>
    <w:rsid w:val="00DE585B"/>
    <w:rsid w:val="00DF6F0F"/>
    <w:rsid w:val="00DF7CB2"/>
    <w:rsid w:val="00E01D6A"/>
    <w:rsid w:val="00E04EC4"/>
    <w:rsid w:val="00E14C0F"/>
    <w:rsid w:val="00E16483"/>
    <w:rsid w:val="00E16FCA"/>
    <w:rsid w:val="00E254AF"/>
    <w:rsid w:val="00E26DEC"/>
    <w:rsid w:val="00E31FBD"/>
    <w:rsid w:val="00E361B3"/>
    <w:rsid w:val="00E42EF8"/>
    <w:rsid w:val="00E44C39"/>
    <w:rsid w:val="00E45FE8"/>
    <w:rsid w:val="00E52B39"/>
    <w:rsid w:val="00E559E5"/>
    <w:rsid w:val="00E57E38"/>
    <w:rsid w:val="00E679E4"/>
    <w:rsid w:val="00E712C4"/>
    <w:rsid w:val="00E7142C"/>
    <w:rsid w:val="00E72EFB"/>
    <w:rsid w:val="00E7783A"/>
    <w:rsid w:val="00E9029B"/>
    <w:rsid w:val="00E905C3"/>
    <w:rsid w:val="00E93FC4"/>
    <w:rsid w:val="00E96F15"/>
    <w:rsid w:val="00E96F43"/>
    <w:rsid w:val="00EA2F82"/>
    <w:rsid w:val="00EA5102"/>
    <w:rsid w:val="00EA6A25"/>
    <w:rsid w:val="00EA7DB1"/>
    <w:rsid w:val="00EB2283"/>
    <w:rsid w:val="00EB2A05"/>
    <w:rsid w:val="00EB5883"/>
    <w:rsid w:val="00EB5DF0"/>
    <w:rsid w:val="00EC48AE"/>
    <w:rsid w:val="00EC5808"/>
    <w:rsid w:val="00EC6942"/>
    <w:rsid w:val="00ED2E08"/>
    <w:rsid w:val="00ED33A7"/>
    <w:rsid w:val="00ED6B81"/>
    <w:rsid w:val="00EE0D8B"/>
    <w:rsid w:val="00EE2A24"/>
    <w:rsid w:val="00EE32EF"/>
    <w:rsid w:val="00EE4201"/>
    <w:rsid w:val="00EE52C0"/>
    <w:rsid w:val="00EF4004"/>
    <w:rsid w:val="00EF6D1E"/>
    <w:rsid w:val="00EF7C3B"/>
    <w:rsid w:val="00F01E78"/>
    <w:rsid w:val="00F0359D"/>
    <w:rsid w:val="00F061AC"/>
    <w:rsid w:val="00F07E6A"/>
    <w:rsid w:val="00F128D6"/>
    <w:rsid w:val="00F157B5"/>
    <w:rsid w:val="00F20A0B"/>
    <w:rsid w:val="00F24755"/>
    <w:rsid w:val="00F2518B"/>
    <w:rsid w:val="00F26DF3"/>
    <w:rsid w:val="00F27501"/>
    <w:rsid w:val="00F2770B"/>
    <w:rsid w:val="00F30379"/>
    <w:rsid w:val="00F32B27"/>
    <w:rsid w:val="00F43AF7"/>
    <w:rsid w:val="00F45A3E"/>
    <w:rsid w:val="00F47C0C"/>
    <w:rsid w:val="00F51F33"/>
    <w:rsid w:val="00F52D2F"/>
    <w:rsid w:val="00F61A9B"/>
    <w:rsid w:val="00F679F1"/>
    <w:rsid w:val="00F71136"/>
    <w:rsid w:val="00F73F8F"/>
    <w:rsid w:val="00F77754"/>
    <w:rsid w:val="00F81ED0"/>
    <w:rsid w:val="00F84977"/>
    <w:rsid w:val="00F8733A"/>
    <w:rsid w:val="00F924E5"/>
    <w:rsid w:val="00F93774"/>
    <w:rsid w:val="00F943BA"/>
    <w:rsid w:val="00FA170D"/>
    <w:rsid w:val="00FA54E9"/>
    <w:rsid w:val="00FA7157"/>
    <w:rsid w:val="00FA79F1"/>
    <w:rsid w:val="00FB577C"/>
    <w:rsid w:val="00FB6F19"/>
    <w:rsid w:val="00FC51B7"/>
    <w:rsid w:val="00FC7524"/>
    <w:rsid w:val="00FD00B6"/>
    <w:rsid w:val="00FD26E1"/>
    <w:rsid w:val="00FD584B"/>
    <w:rsid w:val="00FD72CA"/>
    <w:rsid w:val="00FD7F25"/>
    <w:rsid w:val="00FE00DB"/>
    <w:rsid w:val="00FE0AB6"/>
    <w:rsid w:val="00FF2F85"/>
    <w:rsid w:val="00FF393E"/>
    <w:rsid w:val="00FF5D96"/>
    <w:rsid w:val="0455D79E"/>
    <w:rsid w:val="057D2AF1"/>
    <w:rsid w:val="07DE3306"/>
    <w:rsid w:val="101D8805"/>
    <w:rsid w:val="13854782"/>
    <w:rsid w:val="165CA51C"/>
    <w:rsid w:val="1884F7B4"/>
    <w:rsid w:val="1AA88917"/>
    <w:rsid w:val="26B8283D"/>
    <w:rsid w:val="2954FEEB"/>
    <w:rsid w:val="2A7464FC"/>
    <w:rsid w:val="2B94334B"/>
    <w:rsid w:val="2EDDADCF"/>
    <w:rsid w:val="31F5443D"/>
    <w:rsid w:val="320CB6EE"/>
    <w:rsid w:val="32C23EE7"/>
    <w:rsid w:val="35C715F5"/>
    <w:rsid w:val="37224823"/>
    <w:rsid w:val="396E3D33"/>
    <w:rsid w:val="3C585E44"/>
    <w:rsid w:val="3DAA674C"/>
    <w:rsid w:val="3E30BE61"/>
    <w:rsid w:val="3FD444FE"/>
    <w:rsid w:val="44B04730"/>
    <w:rsid w:val="456B3465"/>
    <w:rsid w:val="465728EF"/>
    <w:rsid w:val="4677D3D5"/>
    <w:rsid w:val="4844B693"/>
    <w:rsid w:val="4B8429DB"/>
    <w:rsid w:val="53498C29"/>
    <w:rsid w:val="563E135A"/>
    <w:rsid w:val="5C34F6E5"/>
    <w:rsid w:val="5DB26376"/>
    <w:rsid w:val="5F3BA018"/>
    <w:rsid w:val="5FEAC16F"/>
    <w:rsid w:val="6B340F97"/>
    <w:rsid w:val="7216E884"/>
    <w:rsid w:val="72892DCF"/>
    <w:rsid w:val="72BFDFCB"/>
    <w:rsid w:val="758030A4"/>
    <w:rsid w:val="7837719B"/>
    <w:rsid w:val="786CB94E"/>
    <w:rsid w:val="7A863742"/>
    <w:rsid w:val="7C0978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996C1"/>
  <w15:docId w15:val="{B7099A99-80F8-4AE1-8BBA-1E787783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D16C8"/>
    <w:pPr>
      <w:spacing w:after="120"/>
      <w:jc w:val="both"/>
    </w:pPr>
  </w:style>
  <w:style w:type="paragraph" w:styleId="Nadpis1">
    <w:name w:val="heading 1"/>
    <w:basedOn w:val="Normln"/>
    <w:next w:val="Normln"/>
    <w:link w:val="Nadpis1Char"/>
    <w:uiPriority w:val="9"/>
    <w:qFormat/>
    <w:rsid w:val="00B91C16"/>
    <w:pPr>
      <w:keepNext/>
      <w:keepLines/>
      <w:pageBreakBefore/>
      <w:numPr>
        <w:numId w:val="3"/>
      </w:numPr>
      <w:spacing w:before="360" w:after="240"/>
      <w:ind w:left="431" w:hanging="431"/>
      <w:outlineLvl w:val="0"/>
    </w:pPr>
    <w:rPr>
      <w:rFonts w:eastAsia="Times New Roman" w:cs="Times New Roman"/>
      <w:b/>
      <w:bCs/>
      <w:color w:val="0D3B5E" w:themeColor="accent1"/>
      <w:kern w:val="32"/>
      <w:sz w:val="44"/>
      <w:szCs w:val="52"/>
      <w:lang w:eastAsia="cs-CZ"/>
    </w:rPr>
  </w:style>
  <w:style w:type="paragraph" w:styleId="Nadpis2">
    <w:name w:val="heading 2"/>
    <w:basedOn w:val="Normln"/>
    <w:next w:val="Normln"/>
    <w:link w:val="Nadpis2Char"/>
    <w:uiPriority w:val="9"/>
    <w:unhideWhenUsed/>
    <w:qFormat/>
    <w:rsid w:val="00536990"/>
    <w:pPr>
      <w:keepNext/>
      <w:keepLines/>
      <w:numPr>
        <w:ilvl w:val="1"/>
        <w:numId w:val="3"/>
      </w:numPr>
      <w:spacing w:before="360" w:after="240"/>
      <w:outlineLvl w:val="1"/>
    </w:pPr>
    <w:rPr>
      <w:rFonts w:eastAsiaTheme="majorEastAsia" w:cstheme="minorHAnsi"/>
      <w:b/>
      <w:bCs/>
      <w:color w:val="0D3B5E"/>
      <w:sz w:val="36"/>
      <w:szCs w:val="26"/>
      <w:lang w:eastAsia="cs-CZ"/>
    </w:rPr>
  </w:style>
  <w:style w:type="paragraph" w:styleId="Nadpis3">
    <w:name w:val="heading 3"/>
    <w:basedOn w:val="Normln"/>
    <w:next w:val="Normln"/>
    <w:link w:val="Nadpis3Char"/>
    <w:uiPriority w:val="9"/>
    <w:unhideWhenUsed/>
    <w:qFormat/>
    <w:rsid w:val="00243679"/>
    <w:pPr>
      <w:keepNext/>
      <w:keepLines/>
      <w:numPr>
        <w:ilvl w:val="2"/>
        <w:numId w:val="3"/>
      </w:numPr>
      <w:spacing w:before="240" w:after="200"/>
      <w:ind w:left="993" w:hanging="993"/>
      <w:outlineLvl w:val="2"/>
    </w:pPr>
    <w:rPr>
      <w:rFonts w:eastAsia="Calibri" w:cstheme="minorHAnsi"/>
      <w:color w:val="71B6EB" w:themeColor="accent1" w:themeTint="66"/>
      <w:sz w:val="32"/>
    </w:rPr>
  </w:style>
  <w:style w:type="paragraph" w:styleId="Nadpis4">
    <w:name w:val="heading 4"/>
    <w:aliases w:val="Podnadpis M"/>
    <w:basedOn w:val="Normln"/>
    <w:next w:val="Normln"/>
    <w:link w:val="Nadpis4Char"/>
    <w:uiPriority w:val="9"/>
    <w:unhideWhenUsed/>
    <w:qFormat/>
    <w:rsid w:val="00220156"/>
    <w:pPr>
      <w:keepNext/>
      <w:keepLines/>
      <w:outlineLvl w:val="3"/>
    </w:pPr>
    <w:rPr>
      <w:rFonts w:eastAsiaTheme="majorEastAsia" w:cstheme="majorBidi"/>
      <w:b/>
      <w:bCs/>
      <w:iCs/>
      <w:color w:val="71B6EB" w:themeColor="accent1" w:themeTint="66"/>
      <w:sz w:val="24"/>
    </w:rPr>
  </w:style>
  <w:style w:type="paragraph" w:styleId="Nadpis5">
    <w:name w:val="heading 5"/>
    <w:aliases w:val="Zdroj"/>
    <w:basedOn w:val="Normln"/>
    <w:next w:val="Normln"/>
    <w:link w:val="Nadpis5Char"/>
    <w:uiPriority w:val="9"/>
    <w:unhideWhenUsed/>
    <w:qFormat/>
    <w:rsid w:val="00220156"/>
    <w:pPr>
      <w:outlineLvl w:val="4"/>
    </w:pPr>
    <w:rPr>
      <w:i/>
      <w:sz w:val="20"/>
      <w:szCs w:val="20"/>
    </w:rPr>
  </w:style>
  <w:style w:type="paragraph" w:styleId="Nadpis6">
    <w:name w:val="heading 6"/>
    <w:aliases w:val="Podnadpis Č"/>
    <w:basedOn w:val="Podnadpis2"/>
    <w:next w:val="Normln"/>
    <w:link w:val="Nadpis6Char"/>
    <w:uiPriority w:val="9"/>
    <w:unhideWhenUsed/>
    <w:qFormat/>
    <w:rsid w:val="008640F0"/>
    <w:pPr>
      <w:outlineLvl w:val="5"/>
    </w:pPr>
  </w:style>
  <w:style w:type="paragraph" w:styleId="Nadpis7">
    <w:name w:val="heading 7"/>
    <w:aliases w:val="Nadpis 4 čísl."/>
    <w:basedOn w:val="Nadpis4slovan"/>
    <w:next w:val="Normln"/>
    <w:link w:val="Nadpis7Char"/>
    <w:uiPriority w:val="9"/>
    <w:unhideWhenUsed/>
    <w:qFormat/>
    <w:rsid w:val="00C83EB8"/>
    <w:pPr>
      <w:outlineLvl w:val="6"/>
    </w:pPr>
  </w:style>
  <w:style w:type="paragraph" w:styleId="Nadpis8">
    <w:name w:val="heading 8"/>
    <w:basedOn w:val="Normln"/>
    <w:next w:val="Normln"/>
    <w:link w:val="Nadpis8Char"/>
    <w:uiPriority w:val="9"/>
    <w:semiHidden/>
    <w:unhideWhenUsed/>
    <w:rsid w:val="00AB7EBC"/>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AB7EB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91C16"/>
    <w:rPr>
      <w:rFonts w:eastAsia="Times New Roman" w:cs="Times New Roman"/>
      <w:b/>
      <w:bCs/>
      <w:color w:val="0D3B5E" w:themeColor="accent1"/>
      <w:kern w:val="32"/>
      <w:sz w:val="44"/>
      <w:szCs w:val="52"/>
      <w:lang w:eastAsia="cs-CZ"/>
    </w:rPr>
  </w:style>
  <w:style w:type="character" w:customStyle="1" w:styleId="Nadpis2Char">
    <w:name w:val="Nadpis 2 Char"/>
    <w:basedOn w:val="Standardnpsmoodstavce"/>
    <w:link w:val="Nadpis2"/>
    <w:uiPriority w:val="9"/>
    <w:rsid w:val="00536990"/>
    <w:rPr>
      <w:rFonts w:eastAsiaTheme="majorEastAsia" w:cstheme="minorHAnsi"/>
      <w:b/>
      <w:bCs/>
      <w:color w:val="0D3B5E"/>
      <w:sz w:val="36"/>
      <w:szCs w:val="26"/>
      <w:lang w:eastAsia="cs-CZ"/>
    </w:rPr>
  </w:style>
  <w:style w:type="character" w:customStyle="1" w:styleId="Nadpis3Char">
    <w:name w:val="Nadpis 3 Char"/>
    <w:basedOn w:val="Standardnpsmoodstavce"/>
    <w:link w:val="Nadpis3"/>
    <w:uiPriority w:val="9"/>
    <w:rsid w:val="00243679"/>
    <w:rPr>
      <w:rFonts w:eastAsia="Calibri" w:cstheme="minorHAnsi"/>
      <w:color w:val="71B6EB" w:themeColor="accent1" w:themeTint="66"/>
      <w:sz w:val="32"/>
    </w:rPr>
  </w:style>
  <w:style w:type="character" w:customStyle="1" w:styleId="Nadpis4Char">
    <w:name w:val="Nadpis 4 Char"/>
    <w:aliases w:val="Podnadpis M Char"/>
    <w:basedOn w:val="Standardnpsmoodstavce"/>
    <w:link w:val="Nadpis4"/>
    <w:uiPriority w:val="9"/>
    <w:rsid w:val="00220156"/>
    <w:rPr>
      <w:rFonts w:eastAsiaTheme="majorEastAsia" w:cstheme="majorBidi"/>
      <w:b/>
      <w:bCs/>
      <w:iCs/>
      <w:color w:val="71B6EB" w:themeColor="accent1" w:themeTint="66"/>
      <w:sz w:val="24"/>
    </w:rPr>
  </w:style>
  <w:style w:type="character" w:customStyle="1" w:styleId="Nadpis5Char">
    <w:name w:val="Nadpis 5 Char"/>
    <w:aliases w:val="Zdroj Char"/>
    <w:basedOn w:val="Standardnpsmoodstavce"/>
    <w:link w:val="Nadpis5"/>
    <w:uiPriority w:val="9"/>
    <w:rsid w:val="00220156"/>
    <w:rPr>
      <w:i/>
      <w:sz w:val="20"/>
      <w:szCs w:val="20"/>
    </w:rPr>
  </w:style>
  <w:style w:type="paragraph" w:customStyle="1" w:styleId="Podnadpis2">
    <w:name w:val="Podnadpis 2"/>
    <w:basedOn w:val="Normln"/>
    <w:link w:val="Podnadpis2Char"/>
    <w:rsid w:val="00220156"/>
    <w:pPr>
      <w:keepNext/>
    </w:pPr>
    <w:rPr>
      <w:rFonts w:ascii="Calibri" w:eastAsia="Times New Roman" w:hAnsi="Calibri" w:cs="Times New Roman"/>
      <w:b/>
      <w:color w:val="EF4350"/>
      <w:sz w:val="24"/>
      <w:szCs w:val="20"/>
      <w:lang w:eastAsia="cs-CZ"/>
    </w:rPr>
  </w:style>
  <w:style w:type="character" w:customStyle="1" w:styleId="Podnadpis2Char">
    <w:name w:val="Podnadpis 2 Char"/>
    <w:basedOn w:val="Standardnpsmoodstavce"/>
    <w:link w:val="Podnadpis2"/>
    <w:rsid w:val="00220156"/>
    <w:rPr>
      <w:rFonts w:ascii="Calibri" w:eastAsia="Times New Roman" w:hAnsi="Calibri" w:cs="Times New Roman"/>
      <w:b/>
      <w:color w:val="EF4350"/>
      <w:sz w:val="24"/>
      <w:szCs w:val="20"/>
      <w:lang w:eastAsia="cs-CZ"/>
    </w:rPr>
  </w:style>
  <w:style w:type="character" w:customStyle="1" w:styleId="Nadpis6Char">
    <w:name w:val="Nadpis 6 Char"/>
    <w:aliases w:val="Podnadpis Č Char"/>
    <w:basedOn w:val="Standardnpsmoodstavce"/>
    <w:link w:val="Nadpis6"/>
    <w:uiPriority w:val="9"/>
    <w:rsid w:val="008640F0"/>
    <w:rPr>
      <w:rFonts w:ascii="Calibri" w:eastAsia="Times New Roman" w:hAnsi="Calibri" w:cs="Times New Roman"/>
      <w:b/>
      <w:color w:val="EF4350"/>
      <w:sz w:val="24"/>
      <w:szCs w:val="20"/>
      <w:lang w:eastAsia="cs-CZ"/>
    </w:rPr>
  </w:style>
  <w:style w:type="paragraph" w:customStyle="1" w:styleId="Nadpis4slovan">
    <w:name w:val="Nadpis 4 číslovaný"/>
    <w:basedOn w:val="Nadpis4"/>
    <w:link w:val="Nadpis4slovanChar"/>
    <w:rsid w:val="00C83EB8"/>
    <w:pPr>
      <w:spacing w:before="240"/>
      <w:ind w:left="862" w:hanging="295"/>
    </w:pPr>
  </w:style>
  <w:style w:type="character" w:customStyle="1" w:styleId="Nadpis4slovanChar">
    <w:name w:val="Nadpis 4 číslovaný Char"/>
    <w:basedOn w:val="Nadpis4Char"/>
    <w:link w:val="Nadpis4slovan"/>
    <w:rsid w:val="00C83EB8"/>
    <w:rPr>
      <w:rFonts w:eastAsiaTheme="majorEastAsia" w:cstheme="majorBidi"/>
      <w:b/>
      <w:bCs/>
      <w:iCs/>
      <w:color w:val="71B6EB" w:themeColor="accent1" w:themeTint="66"/>
      <w:sz w:val="24"/>
    </w:rPr>
  </w:style>
  <w:style w:type="character" w:customStyle="1" w:styleId="Nadpis7Char">
    <w:name w:val="Nadpis 7 Char"/>
    <w:aliases w:val="Nadpis 4 čísl. Char"/>
    <w:basedOn w:val="Standardnpsmoodstavce"/>
    <w:link w:val="Nadpis7"/>
    <w:uiPriority w:val="9"/>
    <w:rsid w:val="00C83EB8"/>
    <w:rPr>
      <w:rFonts w:eastAsiaTheme="majorEastAsia" w:cstheme="majorBidi"/>
      <w:b/>
      <w:bCs/>
      <w:iCs/>
      <w:color w:val="71B6EB" w:themeColor="accent1" w:themeTint="66"/>
      <w:sz w:val="24"/>
    </w:rPr>
  </w:style>
  <w:style w:type="character" w:customStyle="1" w:styleId="Nadpis8Char">
    <w:name w:val="Nadpis 8 Char"/>
    <w:basedOn w:val="Standardnpsmoodstavce"/>
    <w:link w:val="Nadpis8"/>
    <w:uiPriority w:val="9"/>
    <w:semiHidden/>
    <w:rsid w:val="00AB7EB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AB7EBC"/>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link w:val="TitulekChar"/>
    <w:uiPriority w:val="35"/>
    <w:unhideWhenUsed/>
    <w:qFormat/>
    <w:rsid w:val="00220156"/>
    <w:pPr>
      <w:keepNext/>
      <w:spacing w:before="240" w:after="60" w:line="240" w:lineRule="auto"/>
    </w:pPr>
    <w:rPr>
      <w:b/>
      <w:bCs/>
      <w:sz w:val="20"/>
      <w:szCs w:val="18"/>
    </w:rPr>
  </w:style>
  <w:style w:type="character" w:customStyle="1" w:styleId="TitulekChar">
    <w:name w:val="Titulek Char"/>
    <w:link w:val="Titulek"/>
    <w:uiPriority w:val="99"/>
    <w:locked/>
    <w:rsid w:val="00220156"/>
    <w:rPr>
      <w:b/>
      <w:bCs/>
      <w:sz w:val="20"/>
      <w:szCs w:val="18"/>
    </w:rPr>
  </w:style>
  <w:style w:type="paragraph" w:styleId="Nzev">
    <w:name w:val="Title"/>
    <w:basedOn w:val="Normln"/>
    <w:next w:val="Normln"/>
    <w:link w:val="NzevChar"/>
    <w:uiPriority w:val="10"/>
    <w:qFormat/>
    <w:rsid w:val="00985F3A"/>
    <w:pPr>
      <w:spacing w:after="240"/>
    </w:pPr>
    <w:rPr>
      <w:rFonts w:eastAsia="Times New Roman" w:cstheme="minorHAnsi"/>
      <w:b/>
      <w:noProof/>
      <w:color w:val="0F243E" w:themeColor="text2" w:themeShade="80"/>
      <w:sz w:val="52"/>
      <w:szCs w:val="48"/>
      <w:lang w:eastAsia="cs-CZ"/>
    </w:rPr>
  </w:style>
  <w:style w:type="character" w:customStyle="1" w:styleId="NzevChar">
    <w:name w:val="Název Char"/>
    <w:basedOn w:val="Standardnpsmoodstavce"/>
    <w:link w:val="Nzev"/>
    <w:uiPriority w:val="10"/>
    <w:rsid w:val="00985F3A"/>
    <w:rPr>
      <w:rFonts w:eastAsia="Times New Roman" w:cstheme="minorHAnsi"/>
      <w:b/>
      <w:noProof/>
      <w:color w:val="0F243E" w:themeColor="text2" w:themeShade="80"/>
      <w:sz w:val="52"/>
      <w:szCs w:val="48"/>
      <w:lang w:eastAsia="cs-CZ"/>
    </w:rPr>
  </w:style>
  <w:style w:type="paragraph" w:styleId="Podnadpis">
    <w:name w:val="Subtitle"/>
    <w:basedOn w:val="Normln"/>
    <w:next w:val="Normln"/>
    <w:link w:val="PodnadpisChar"/>
    <w:uiPriority w:val="11"/>
    <w:qFormat/>
    <w:rsid w:val="00985F3A"/>
    <w:pPr>
      <w:numPr>
        <w:ilvl w:val="1"/>
      </w:numPr>
      <w:spacing w:before="120"/>
    </w:pPr>
    <w:rPr>
      <w:rFonts w:eastAsiaTheme="majorEastAsia" w:cstheme="minorHAnsi"/>
      <w:b/>
      <w:iCs/>
      <w:caps/>
      <w:color w:val="EF4350" w:themeColor="accent2"/>
      <w:spacing w:val="15"/>
      <w:sz w:val="32"/>
      <w:szCs w:val="24"/>
    </w:rPr>
  </w:style>
  <w:style w:type="character" w:customStyle="1" w:styleId="PodnadpisChar">
    <w:name w:val="Podnadpis Char"/>
    <w:basedOn w:val="Standardnpsmoodstavce"/>
    <w:link w:val="Podnadpis"/>
    <w:uiPriority w:val="11"/>
    <w:rsid w:val="00985F3A"/>
    <w:rPr>
      <w:rFonts w:eastAsiaTheme="majorEastAsia" w:cstheme="minorHAnsi"/>
      <w:b/>
      <w:iCs/>
      <w:caps/>
      <w:color w:val="EF4350" w:themeColor="accent2"/>
      <w:spacing w:val="15"/>
      <w:sz w:val="32"/>
      <w:szCs w:val="24"/>
    </w:rPr>
  </w:style>
  <w:style w:type="paragraph" w:styleId="Odstavecseseznamem">
    <w:name w:val="List Paragraph"/>
    <w:aliases w:val="Odstavec cíl se seznamem,Nad,Odstavec se seznamem1,Odstavec_muj,_Odstavec se seznamem,A-Odrážky1,Odstavec_muj1,Odstavec_muj2,Odstavec_muj3,Nad1,List Paragraph1,Odstavec_muj4,Nad2,List Paragraph2,Odstavec_muj5,Odstavec_muj6"/>
    <w:basedOn w:val="Normln"/>
    <w:link w:val="OdstavecseseznamemChar"/>
    <w:uiPriority w:val="34"/>
    <w:qFormat/>
    <w:rsid w:val="00AB7EBC"/>
    <w:pPr>
      <w:ind w:left="720"/>
      <w:contextualSpacing/>
    </w:pPr>
  </w:style>
  <w:style w:type="character" w:customStyle="1" w:styleId="OdstavecseseznamemChar">
    <w:name w:val="Odstavec se seznamem Char"/>
    <w:aliases w:val="Odstavec cíl se seznamem Char,Nad Char,Odstavec se seznamem1 Char,Odstavec_muj Char,_Odstavec se seznamem Char,A-Odrážky1 Char,Odstavec_muj1 Char,Odstavec_muj2 Char,Odstavec_muj3 Char,Nad1 Char,List Paragraph1 Char,Nad2 Char"/>
    <w:link w:val="Odstavecseseznamem"/>
    <w:uiPriority w:val="34"/>
    <w:locked/>
    <w:rsid w:val="00AB7EBC"/>
  </w:style>
  <w:style w:type="paragraph" w:styleId="Nadpisobsahu">
    <w:name w:val="TOC Heading"/>
    <w:basedOn w:val="Nadpis1"/>
    <w:next w:val="Normln"/>
    <w:uiPriority w:val="39"/>
    <w:unhideWhenUsed/>
    <w:qFormat/>
    <w:rsid w:val="00AB7EBC"/>
    <w:pPr>
      <w:numPr>
        <w:numId w:val="0"/>
      </w:numPr>
      <w:spacing w:before="480" w:after="0"/>
      <w:outlineLvl w:val="9"/>
    </w:pPr>
    <w:rPr>
      <w:rFonts w:asciiTheme="majorHAnsi" w:eastAsiaTheme="majorEastAsia" w:hAnsiTheme="majorHAnsi" w:cstheme="majorBidi"/>
      <w:color w:val="092B46" w:themeColor="accent1" w:themeShade="BF"/>
      <w:kern w:val="0"/>
      <w:sz w:val="28"/>
      <w:szCs w:val="28"/>
    </w:rPr>
  </w:style>
  <w:style w:type="table" w:styleId="Svtlseznamzvraznn1">
    <w:name w:val="Light List Accent 1"/>
    <w:aliases w:val="Světlý seznam – zvýraznění 1 upr"/>
    <w:basedOn w:val="Normlntabulka"/>
    <w:uiPriority w:val="61"/>
    <w:rsid w:val="00D30DEE"/>
    <w:pPr>
      <w:spacing w:after="0" w:line="240" w:lineRule="auto"/>
    </w:pPr>
    <w:rPr>
      <w:sz w:val="20"/>
    </w:rPr>
    <w:tblPr>
      <w:tblStyleRowBandSize w:val="1"/>
      <w:tblStyleColBandSize w:val="1"/>
      <w:tblBorders>
        <w:top w:val="single" w:sz="4" w:space="0" w:color="0D3B5E" w:themeColor="accent1"/>
        <w:left w:val="single" w:sz="4" w:space="0" w:color="0D3B5E" w:themeColor="accent1"/>
        <w:bottom w:val="single" w:sz="4" w:space="0" w:color="0D3B5E" w:themeColor="accent1"/>
        <w:right w:val="single" w:sz="4" w:space="0" w:color="0D3B5E" w:themeColor="accent1"/>
      </w:tblBorders>
    </w:tblPr>
    <w:tblStylePr w:type="firstRow">
      <w:pPr>
        <w:spacing w:before="0" w:after="0" w:line="240" w:lineRule="auto"/>
      </w:pPr>
      <w:rPr>
        <w:b/>
        <w:bCs/>
        <w:color w:val="FFFFFF" w:themeColor="background1"/>
      </w:rPr>
      <w:tblPr/>
      <w:tcPr>
        <w:shd w:val="clear" w:color="auto" w:fill="0D3B5E" w:themeFill="accent1"/>
      </w:tcPr>
    </w:tblStylePr>
    <w:tblStylePr w:type="lastRow">
      <w:pPr>
        <w:spacing w:before="0" w:after="0" w:line="240" w:lineRule="auto"/>
      </w:pPr>
      <w:rPr>
        <w:b/>
        <w:bCs/>
      </w:rPr>
      <w:tblPr/>
      <w:tcPr>
        <w:tcBorders>
          <w:top w:val="double" w:sz="6" w:space="0" w:color="0D3B5E" w:themeColor="accent1"/>
          <w:left w:val="single" w:sz="8" w:space="0" w:color="0D3B5E" w:themeColor="accent1"/>
          <w:bottom w:val="single" w:sz="8" w:space="0" w:color="0D3B5E" w:themeColor="accent1"/>
          <w:right w:val="single" w:sz="8" w:space="0" w:color="0D3B5E" w:themeColor="accent1"/>
        </w:tcBorders>
      </w:tcPr>
    </w:tblStylePr>
    <w:tblStylePr w:type="firstCol">
      <w:rPr>
        <w:b/>
        <w:bCs/>
      </w:rPr>
    </w:tblStylePr>
    <w:tblStylePr w:type="lastCol">
      <w:rPr>
        <w:b/>
        <w:bCs/>
      </w:rPr>
    </w:tblStylePr>
    <w:tblStylePr w:type="band1Vert">
      <w:tblPr/>
      <w:tcPr>
        <w:tcBorders>
          <w:top w:val="single" w:sz="8" w:space="0" w:color="0D3B5E" w:themeColor="accent1"/>
          <w:left w:val="single" w:sz="8" w:space="0" w:color="0D3B5E" w:themeColor="accent1"/>
          <w:bottom w:val="single" w:sz="8" w:space="0" w:color="0D3B5E" w:themeColor="accent1"/>
          <w:right w:val="single" w:sz="8" w:space="0" w:color="0D3B5E" w:themeColor="accent1"/>
        </w:tcBorders>
      </w:tcPr>
    </w:tblStylePr>
    <w:tblStylePr w:type="band1Horz">
      <w:tblPr/>
      <w:tcPr>
        <w:tcBorders>
          <w:top w:val="single" w:sz="8" w:space="0" w:color="0D3B5E" w:themeColor="accent1"/>
          <w:left w:val="single" w:sz="8" w:space="0" w:color="0D3B5E" w:themeColor="accent1"/>
          <w:bottom w:val="single" w:sz="8" w:space="0" w:color="0D3B5E" w:themeColor="accent1"/>
          <w:right w:val="single" w:sz="8" w:space="0" w:color="0D3B5E" w:themeColor="accent1"/>
        </w:tcBorders>
      </w:tcPr>
    </w:tblStylePr>
  </w:style>
  <w:style w:type="paragraph" w:customStyle="1" w:styleId="podnadpis0">
    <w:name w:val="podnadpis"/>
    <w:basedOn w:val="Normln"/>
    <w:next w:val="Normln"/>
    <w:rsid w:val="00DC2F29"/>
    <w:pPr>
      <w:spacing w:before="60" w:after="60" w:line="264" w:lineRule="auto"/>
      <w:jc w:val="center"/>
    </w:pPr>
    <w:rPr>
      <w:rFonts w:ascii="Calibri" w:eastAsia="Times New Roman" w:hAnsi="Calibri" w:cs="Times New Roman"/>
      <w:color w:val="005289"/>
      <w:sz w:val="36"/>
      <w:szCs w:val="36"/>
      <w:lang w:eastAsia="cs-CZ"/>
    </w:rPr>
  </w:style>
  <w:style w:type="paragraph" w:styleId="Zhlav">
    <w:name w:val="header"/>
    <w:basedOn w:val="Normln"/>
    <w:link w:val="ZhlavChar"/>
    <w:uiPriority w:val="99"/>
    <w:unhideWhenUsed/>
    <w:rsid w:val="00DC2F2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C2F29"/>
  </w:style>
  <w:style w:type="paragraph" w:styleId="Zpat">
    <w:name w:val="footer"/>
    <w:basedOn w:val="Normln"/>
    <w:link w:val="ZpatChar"/>
    <w:uiPriority w:val="99"/>
    <w:unhideWhenUsed/>
    <w:rsid w:val="00DC2F29"/>
    <w:pPr>
      <w:tabs>
        <w:tab w:val="center" w:pos="4536"/>
        <w:tab w:val="right" w:pos="9072"/>
      </w:tabs>
      <w:spacing w:after="0" w:line="240" w:lineRule="auto"/>
    </w:pPr>
  </w:style>
  <w:style w:type="character" w:customStyle="1" w:styleId="ZpatChar">
    <w:name w:val="Zápatí Char"/>
    <w:basedOn w:val="Standardnpsmoodstavce"/>
    <w:link w:val="Zpat"/>
    <w:uiPriority w:val="99"/>
    <w:rsid w:val="00DC2F29"/>
  </w:style>
  <w:style w:type="paragraph" w:styleId="Textpoznpodarou">
    <w:name w:val="footnote text"/>
    <w:aliases w:val="Fußnotentextf,Geneva 9,Font: Geneva 9,Boston 10,f,Schriftart: 9 pt,Schriftart: 10 pt,Schriftart: 8 pt,pozn. pod čarou,Text poznámky pod čiarou 007,Podrozdział,Footnote,Podrozdzia3,Text pozn. pod čarou Char2,Footnote text,o,Char1"/>
    <w:basedOn w:val="Normln"/>
    <w:link w:val="TextpoznpodarouChar"/>
    <w:unhideWhenUsed/>
    <w:qFormat/>
    <w:rsid w:val="00DC2F29"/>
    <w:pPr>
      <w:spacing w:after="0" w:line="240" w:lineRule="auto"/>
    </w:pPr>
    <w:rPr>
      <w:sz w:val="20"/>
      <w:szCs w:val="20"/>
    </w:rPr>
  </w:style>
  <w:style w:type="character" w:customStyle="1" w:styleId="TextpoznpodarouChar">
    <w:name w:val="Text pozn. pod čarou Char"/>
    <w:aliases w:val="Fußnotentextf Char,Geneva 9 Char,Font: Geneva 9 Char,Boston 10 Char,f Char,Schriftart: 9 pt Char,Schriftart: 10 pt Char,Schriftart: 8 pt Char,pozn. pod čarou Char,Text poznámky pod čiarou 007 Char,Podrozdział Char,Footnote Char"/>
    <w:basedOn w:val="Standardnpsmoodstavce"/>
    <w:link w:val="Textpoznpodarou"/>
    <w:rsid w:val="00DC2F29"/>
    <w:rPr>
      <w:sz w:val="20"/>
      <w:szCs w:val="20"/>
    </w:rPr>
  </w:style>
  <w:style w:type="character" w:styleId="Znakapoznpodarou">
    <w:name w:val="footnote reference"/>
    <w:aliases w:val="Footnote symbol,PGI Fußnote Ziffer,BVI fnr,Footnote Reference Superscript,Appel note de bas de p,Appel note de bas de page,Légende,Char Car Car Car Car,Voetnootverwijzing,ftref,Footnotes refss,Légende;Char Car Car Car Car"/>
    <w:basedOn w:val="Standardnpsmoodstavce"/>
    <w:unhideWhenUsed/>
    <w:qFormat/>
    <w:rsid w:val="00DC2F29"/>
    <w:rPr>
      <w:vertAlign w:val="superscript"/>
    </w:rPr>
  </w:style>
  <w:style w:type="paragraph" w:styleId="Textbubliny">
    <w:name w:val="Balloon Text"/>
    <w:basedOn w:val="Normln"/>
    <w:link w:val="TextbublinyChar"/>
    <w:uiPriority w:val="99"/>
    <w:semiHidden/>
    <w:unhideWhenUsed/>
    <w:rsid w:val="00DC2F2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C2F29"/>
    <w:rPr>
      <w:rFonts w:ascii="Tahoma" w:hAnsi="Tahoma" w:cs="Tahoma"/>
      <w:sz w:val="16"/>
      <w:szCs w:val="16"/>
    </w:rPr>
  </w:style>
  <w:style w:type="table" w:styleId="Stednstnovn1zvraznn1">
    <w:name w:val="Medium Shading 1 Accent 1"/>
    <w:aliases w:val="Střední stínování 1 – zvýraznění 1 upr"/>
    <w:basedOn w:val="Normlntabulka"/>
    <w:uiPriority w:val="63"/>
    <w:rsid w:val="006D16C8"/>
    <w:pPr>
      <w:spacing w:after="0" w:line="240" w:lineRule="auto"/>
    </w:pPr>
    <w:rPr>
      <w:sz w:val="20"/>
    </w:rPr>
    <w:tblPr>
      <w:tblStyleRowBandSize w:val="1"/>
      <w:tblStyleColBandSize w:val="1"/>
      <w:tblBorders>
        <w:top w:val="single" w:sz="4" w:space="0" w:color="0D3B5E" w:themeColor="accent1"/>
        <w:left w:val="single" w:sz="4" w:space="0" w:color="0D3B5E" w:themeColor="accent1"/>
        <w:bottom w:val="single" w:sz="4" w:space="0" w:color="0D3B5E" w:themeColor="accent1"/>
        <w:right w:val="single" w:sz="4" w:space="0" w:color="0D3B5E" w:themeColor="accent1"/>
        <w:insideH w:val="single" w:sz="4" w:space="0" w:color="0D3B5E" w:themeColor="accent1"/>
        <w:insideV w:val="single" w:sz="4" w:space="0" w:color="0D3B5E" w:themeColor="accent1"/>
      </w:tblBorders>
    </w:tblPr>
    <w:tcPr>
      <w:shd w:val="clear" w:color="auto" w:fill="auto"/>
    </w:tcPr>
    <w:tblStylePr w:type="firstRow">
      <w:pPr>
        <w:spacing w:before="0" w:after="0" w:line="240" w:lineRule="auto"/>
      </w:pPr>
      <w:rPr>
        <w:b/>
        <w:bCs/>
        <w:color w:val="FFFFFF" w:themeColor="background1"/>
      </w:rPr>
      <w:tblPr/>
      <w:tcPr>
        <w:tcBorders>
          <w:top w:val="single" w:sz="8" w:space="0" w:color="0D3B5E" w:themeColor="accent1"/>
          <w:left w:val="single" w:sz="8" w:space="0" w:color="0D3B5E" w:themeColor="accent1"/>
          <w:bottom w:val="single" w:sz="8" w:space="0" w:color="0D3B5E" w:themeColor="accent1"/>
          <w:right w:val="single" w:sz="8" w:space="0" w:color="0D3B5E" w:themeColor="accent1"/>
          <w:insideH w:val="single" w:sz="8" w:space="0" w:color="0D3B5E" w:themeColor="accent1"/>
          <w:insideV w:val="single" w:sz="8" w:space="0" w:color="0D3B5E" w:themeColor="accent1"/>
        </w:tcBorders>
        <w:shd w:val="clear" w:color="auto" w:fill="0D3B5E" w:themeFill="accent1"/>
      </w:tcPr>
    </w:tblStylePr>
    <w:tblStylePr w:type="lastRow">
      <w:pPr>
        <w:spacing w:before="0" w:after="0" w:line="240" w:lineRule="auto"/>
      </w:pPr>
      <w:rPr>
        <w:b/>
        <w:bCs/>
      </w:rPr>
      <w:tblPr/>
      <w:tcPr>
        <w:tcBorders>
          <w:top w:val="double" w:sz="6" w:space="0" w:color="1972B6" w:themeColor="accent1" w:themeTint="BF"/>
          <w:left w:val="single" w:sz="8" w:space="0" w:color="1972B6" w:themeColor="accent1" w:themeTint="BF"/>
          <w:bottom w:val="single" w:sz="8" w:space="0" w:color="1972B6" w:themeColor="accent1" w:themeTint="BF"/>
          <w:right w:val="single" w:sz="8" w:space="0" w:color="1972B6" w:themeColor="accent1" w:themeTint="BF"/>
          <w:insideH w:val="nil"/>
          <w:insideV w:val="nil"/>
        </w:tcBorders>
      </w:tcPr>
    </w:tblStylePr>
    <w:tblStylePr w:type="firstCol">
      <w:rPr>
        <w:b/>
        <w:bCs/>
      </w:rPr>
    </w:tblStylePr>
    <w:tblStylePr w:type="lastCol">
      <w:rPr>
        <w:b/>
        <w:bCs/>
      </w:rPr>
    </w:tblStylePr>
    <w:tblStylePr w:type="band1Horz">
      <w:tblPr/>
      <w:tcPr>
        <w:shd w:val="clear" w:color="auto" w:fill="B5DAF5" w:themeFill="accent3"/>
      </w:tcPr>
    </w:tblStylePr>
  </w:style>
  <w:style w:type="table" w:styleId="Mkatabulky">
    <w:name w:val="Table Grid"/>
    <w:aliases w:val="Deloitte table 3,CV table"/>
    <w:basedOn w:val="Normlntabulka"/>
    <w:uiPriority w:val="59"/>
    <w:rsid w:val="006B2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lavnnadpis">
    <w:name w:val="Hlavní nadpis"/>
    <w:basedOn w:val="Normln"/>
    <w:next w:val="podnadpis0"/>
    <w:uiPriority w:val="99"/>
    <w:rsid w:val="00985F3A"/>
    <w:pPr>
      <w:spacing w:before="2600" w:after="100"/>
      <w:jc w:val="center"/>
    </w:pPr>
    <w:rPr>
      <w:rFonts w:ascii="Calibri" w:eastAsia="Times New Roman" w:hAnsi="Calibri" w:cs="Times New Roman"/>
      <w:b/>
      <w:color w:val="015289"/>
      <w:sz w:val="72"/>
      <w:szCs w:val="72"/>
      <w:lang w:eastAsia="cs-CZ"/>
    </w:rPr>
  </w:style>
  <w:style w:type="table" w:styleId="Svtlseznam">
    <w:name w:val="Light List"/>
    <w:basedOn w:val="Normlntabulka"/>
    <w:uiPriority w:val="61"/>
    <w:rsid w:val="00D2737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tednmka3zvraznn1">
    <w:name w:val="Medium Grid 3 Accent 1"/>
    <w:aliases w:val="Střední mřížka 3 – zvýraznění 1 upr"/>
    <w:basedOn w:val="Normlntabulka"/>
    <w:uiPriority w:val="69"/>
    <w:rsid w:val="00D30DEE"/>
    <w:pPr>
      <w:spacing w:after="0" w:line="240" w:lineRule="auto"/>
    </w:pPr>
    <w:rPr>
      <w:sz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AF5" w:themeFill="accent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D3B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D3B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3B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3B5E" w:themeFill="accent1"/>
      </w:tcPr>
    </w:tblStylePr>
    <w:tblStylePr w:type="band1Vert">
      <w:tblPr/>
      <w:tcPr>
        <w:shd w:val="clear" w:color="auto" w:fill="B5DAF5" w:themeFill="accent3"/>
      </w:tcPr>
    </w:tblStylePr>
    <w:tblStylePr w:type="band1Horz">
      <w:tblPr/>
      <w:tcPr>
        <w:shd w:val="clear" w:color="auto" w:fill="B5DAF5" w:themeFill="accent3"/>
      </w:tcPr>
    </w:tblStylePr>
    <w:tblStylePr w:type="band2Horz">
      <w:tblPr/>
      <w:tcPr>
        <w:shd w:val="clear" w:color="auto" w:fill="B5DAF5" w:themeFill="accent3"/>
      </w:tcPr>
    </w:tblStylePr>
  </w:style>
  <w:style w:type="table" w:styleId="Stednstnovn2zvraznn1">
    <w:name w:val="Medium Shading 2 Accent 1"/>
    <w:basedOn w:val="Normlntabulka"/>
    <w:uiPriority w:val="64"/>
    <w:rsid w:val="009D0A5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D3B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D3B5E" w:themeFill="accent1"/>
      </w:tcPr>
    </w:tblStylePr>
    <w:tblStylePr w:type="lastCol">
      <w:rPr>
        <w:b/>
        <w:bCs/>
        <w:color w:val="FFFFFF" w:themeColor="background1"/>
      </w:rPr>
      <w:tblPr/>
      <w:tcPr>
        <w:tcBorders>
          <w:left w:val="nil"/>
          <w:right w:val="nil"/>
          <w:insideH w:val="nil"/>
          <w:insideV w:val="nil"/>
        </w:tcBorders>
        <w:shd w:val="clear" w:color="auto" w:fill="0D3B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mka3zvraznn3">
    <w:name w:val="Medium Grid 3 Accent 3"/>
    <w:basedOn w:val="Normlntabulka"/>
    <w:uiPriority w:val="69"/>
    <w:rsid w:val="009D0A5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F5F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5DAF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5DAF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5DAF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5DAF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ECF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ECFA" w:themeFill="accent3" w:themeFillTint="7F"/>
      </w:tcPr>
    </w:tblStylePr>
  </w:style>
  <w:style w:type="table" w:styleId="Stednmka3zvraznn2">
    <w:name w:val="Medium Grid 3 Accent 2"/>
    <w:basedOn w:val="Normlntabulka"/>
    <w:uiPriority w:val="69"/>
    <w:rsid w:val="009D0A5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0D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435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435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435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435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1A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1A7" w:themeFill="accent2" w:themeFillTint="7F"/>
      </w:tcPr>
    </w:tblStylePr>
  </w:style>
  <w:style w:type="paragraph" w:styleId="Obsah1">
    <w:name w:val="toc 1"/>
    <w:basedOn w:val="Normln"/>
    <w:next w:val="Normln"/>
    <w:autoRedefine/>
    <w:uiPriority w:val="39"/>
    <w:unhideWhenUsed/>
    <w:rsid w:val="00853258"/>
    <w:pPr>
      <w:spacing w:after="100"/>
    </w:pPr>
  </w:style>
  <w:style w:type="paragraph" w:styleId="Obsah2">
    <w:name w:val="toc 2"/>
    <w:basedOn w:val="Normln"/>
    <w:next w:val="Normln"/>
    <w:autoRedefine/>
    <w:uiPriority w:val="39"/>
    <w:unhideWhenUsed/>
    <w:rsid w:val="00853258"/>
    <w:pPr>
      <w:spacing w:after="100"/>
      <w:ind w:left="220"/>
    </w:pPr>
  </w:style>
  <w:style w:type="paragraph" w:styleId="Obsah3">
    <w:name w:val="toc 3"/>
    <w:basedOn w:val="Normln"/>
    <w:next w:val="Normln"/>
    <w:autoRedefine/>
    <w:uiPriority w:val="39"/>
    <w:unhideWhenUsed/>
    <w:rsid w:val="00853258"/>
    <w:pPr>
      <w:spacing w:after="100"/>
      <w:ind w:left="440"/>
    </w:pPr>
  </w:style>
  <w:style w:type="character" w:styleId="Hypertextovodkaz">
    <w:name w:val="Hyperlink"/>
    <w:basedOn w:val="Standardnpsmoodstavce"/>
    <w:uiPriority w:val="99"/>
    <w:unhideWhenUsed/>
    <w:rsid w:val="00853258"/>
    <w:rPr>
      <w:color w:val="0070C0" w:themeColor="hyperlink"/>
      <w:u w:val="single"/>
    </w:rPr>
  </w:style>
  <w:style w:type="character" w:styleId="Odkaznakoment">
    <w:name w:val="annotation reference"/>
    <w:basedOn w:val="Standardnpsmoodstavce"/>
    <w:uiPriority w:val="99"/>
    <w:semiHidden/>
    <w:unhideWhenUsed/>
    <w:rsid w:val="00144C10"/>
    <w:rPr>
      <w:sz w:val="16"/>
      <w:szCs w:val="16"/>
    </w:rPr>
  </w:style>
  <w:style w:type="paragraph" w:styleId="Textkomente">
    <w:name w:val="annotation text"/>
    <w:basedOn w:val="Normln"/>
    <w:link w:val="TextkomenteChar"/>
    <w:uiPriority w:val="99"/>
    <w:unhideWhenUsed/>
    <w:rsid w:val="00144C10"/>
    <w:pPr>
      <w:spacing w:line="240" w:lineRule="auto"/>
    </w:pPr>
    <w:rPr>
      <w:sz w:val="20"/>
      <w:szCs w:val="20"/>
    </w:rPr>
  </w:style>
  <w:style w:type="character" w:customStyle="1" w:styleId="TextkomenteChar">
    <w:name w:val="Text komentáře Char"/>
    <w:basedOn w:val="Standardnpsmoodstavce"/>
    <w:link w:val="Textkomente"/>
    <w:uiPriority w:val="99"/>
    <w:rsid w:val="00144C10"/>
    <w:rPr>
      <w:sz w:val="20"/>
      <w:szCs w:val="20"/>
    </w:rPr>
  </w:style>
  <w:style w:type="paragraph" w:styleId="Pedmtkomente">
    <w:name w:val="annotation subject"/>
    <w:basedOn w:val="Textkomente"/>
    <w:next w:val="Textkomente"/>
    <w:link w:val="PedmtkomenteChar"/>
    <w:uiPriority w:val="99"/>
    <w:semiHidden/>
    <w:unhideWhenUsed/>
    <w:rsid w:val="00144C10"/>
    <w:rPr>
      <w:b/>
      <w:bCs/>
    </w:rPr>
  </w:style>
  <w:style w:type="character" w:customStyle="1" w:styleId="PedmtkomenteChar">
    <w:name w:val="Předmět komentáře Char"/>
    <w:basedOn w:val="TextkomenteChar"/>
    <w:link w:val="Pedmtkomente"/>
    <w:uiPriority w:val="99"/>
    <w:semiHidden/>
    <w:rsid w:val="00144C10"/>
    <w:rPr>
      <w:b/>
      <w:bCs/>
      <w:sz w:val="20"/>
      <w:szCs w:val="20"/>
    </w:rPr>
  </w:style>
  <w:style w:type="paragraph" w:customStyle="1" w:styleId="Odrky1">
    <w:name w:val="Odrážky 1"/>
    <w:basedOn w:val="Normln"/>
    <w:qFormat/>
    <w:rsid w:val="00A3577B"/>
    <w:pPr>
      <w:numPr>
        <w:numId w:val="4"/>
      </w:numPr>
    </w:pPr>
  </w:style>
  <w:style w:type="character" w:customStyle="1" w:styleId="BezmezerChar">
    <w:name w:val="Bez mezer Char"/>
    <w:link w:val="Bezmezer"/>
    <w:uiPriority w:val="1"/>
    <w:locked/>
    <w:rsid w:val="005F762C"/>
    <w:rPr>
      <w:rFonts w:ascii="Calibri" w:eastAsia="Calibri" w:hAnsi="Calibri" w:cs="Times New Roman"/>
    </w:rPr>
  </w:style>
  <w:style w:type="paragraph" w:styleId="Bezmezer">
    <w:name w:val="No Spacing"/>
    <w:link w:val="BezmezerChar"/>
    <w:uiPriority w:val="1"/>
    <w:qFormat/>
    <w:rsid w:val="005F762C"/>
    <w:pPr>
      <w:spacing w:after="0" w:line="240" w:lineRule="auto"/>
    </w:pPr>
    <w:rPr>
      <w:rFonts w:ascii="Calibri" w:eastAsia="Calibri" w:hAnsi="Calibri" w:cs="Times New Roman"/>
    </w:rPr>
  </w:style>
  <w:style w:type="table" w:customStyle="1" w:styleId="Svtlseznamzvraznn13">
    <w:name w:val="Světlý seznam – zvýraznění 13"/>
    <w:basedOn w:val="Normlntabulka"/>
    <w:uiPriority w:val="61"/>
    <w:rsid w:val="005F762C"/>
    <w:pPr>
      <w:spacing w:after="0" w:line="240" w:lineRule="auto"/>
    </w:pPr>
    <w:rPr>
      <w:rFonts w:eastAsia="Calibri"/>
    </w:rPr>
    <w:tblPr>
      <w:tblStyleRowBandSize w:val="1"/>
      <w:tblStyleColBandSize w:val="1"/>
      <w:tblBorders>
        <w:top w:val="single" w:sz="4" w:space="0" w:color="005288"/>
        <w:left w:val="single" w:sz="4" w:space="0" w:color="005288"/>
        <w:bottom w:val="single" w:sz="4" w:space="0" w:color="005288"/>
        <w:right w:val="single" w:sz="4" w:space="0" w:color="005288"/>
      </w:tblBorders>
    </w:tblPr>
    <w:tblStylePr w:type="firstRow">
      <w:pPr>
        <w:spacing w:beforeLines="0" w:beforeAutospacing="0" w:afterLines="0" w:afterAutospacing="0" w:line="240" w:lineRule="auto"/>
      </w:pPr>
      <w:rPr>
        <w:b/>
        <w:bCs/>
        <w:color w:val="FFFFFF"/>
      </w:rPr>
      <w:tblPr/>
      <w:tcPr>
        <w:shd w:val="clear" w:color="auto" w:fill="005288"/>
      </w:tcPr>
    </w:tblStylePr>
    <w:tblStylePr w:type="lastRow">
      <w:pPr>
        <w:spacing w:beforeLines="0" w:beforeAutospacing="0" w:afterLines="0" w:afterAutospacing="0" w:line="240" w:lineRule="auto"/>
      </w:pPr>
      <w:rPr>
        <w:b/>
        <w:bCs/>
      </w:rPr>
      <w:tblPr/>
      <w:tcPr>
        <w:tcBorders>
          <w:top w:val="double" w:sz="6" w:space="0" w:color="005288"/>
          <w:left w:val="single" w:sz="8" w:space="0" w:color="005288"/>
          <w:bottom w:val="single" w:sz="8" w:space="0" w:color="005288"/>
          <w:right w:val="single" w:sz="8" w:space="0" w:color="005288"/>
        </w:tcBorders>
      </w:tcPr>
    </w:tblStylePr>
    <w:tblStylePr w:type="firstCol">
      <w:rPr>
        <w:b/>
        <w:bCs/>
      </w:rPr>
    </w:tblStylePr>
    <w:tblStylePr w:type="lastCol">
      <w:rPr>
        <w:b/>
        <w:bCs/>
      </w:rPr>
    </w:tblStylePr>
    <w:tblStylePr w:type="band1Vert">
      <w:tblPr/>
      <w:tcPr>
        <w:tcBorders>
          <w:top w:val="single" w:sz="8" w:space="0" w:color="005288"/>
          <w:left w:val="single" w:sz="8" w:space="0" w:color="005288"/>
          <w:bottom w:val="single" w:sz="8" w:space="0" w:color="005288"/>
          <w:right w:val="single" w:sz="8" w:space="0" w:color="005288"/>
        </w:tcBorders>
      </w:tcPr>
    </w:tblStylePr>
    <w:tblStylePr w:type="band1Horz">
      <w:tblPr/>
      <w:tcPr>
        <w:tcBorders>
          <w:top w:val="single" w:sz="8" w:space="0" w:color="005288"/>
          <w:left w:val="single" w:sz="8" w:space="0" w:color="005288"/>
          <w:bottom w:val="single" w:sz="8" w:space="0" w:color="005288"/>
          <w:right w:val="single" w:sz="8" w:space="0" w:color="005288"/>
        </w:tcBorders>
      </w:tcPr>
    </w:tblStylePr>
  </w:style>
  <w:style w:type="paragraph" w:customStyle="1" w:styleId="Shrnut1">
    <w:name w:val="Shrnutí 1"/>
    <w:basedOn w:val="Normln"/>
    <w:qFormat/>
    <w:rsid w:val="00C36B43"/>
    <w:pPr>
      <w:pBdr>
        <w:top w:val="single" w:sz="18" w:space="1" w:color="0D3B5E" w:themeColor="accent1"/>
        <w:left w:val="single" w:sz="18" w:space="4" w:color="0D3B5E" w:themeColor="accent1"/>
        <w:bottom w:val="single" w:sz="18" w:space="1" w:color="0D3B5E" w:themeColor="accent1"/>
        <w:right w:val="single" w:sz="18" w:space="4" w:color="0D3B5E" w:themeColor="accent1"/>
      </w:pBdr>
      <w:shd w:val="clear" w:color="auto" w:fill="0D3B5E" w:themeFill="accent1"/>
      <w:spacing w:before="80" w:after="20" w:line="360" w:lineRule="auto"/>
      <w:ind w:left="142" w:right="142"/>
    </w:pPr>
    <w:rPr>
      <w:b/>
      <w:sz w:val="18"/>
    </w:rPr>
  </w:style>
  <w:style w:type="paragraph" w:customStyle="1" w:styleId="Shrnut2">
    <w:name w:val="Shrnutí 2"/>
    <w:basedOn w:val="Normln"/>
    <w:next w:val="Normln"/>
    <w:qFormat/>
    <w:rsid w:val="00C36B43"/>
    <w:pPr>
      <w:pBdr>
        <w:top w:val="single" w:sz="18" w:space="1" w:color="0D3B5E" w:themeColor="accent1"/>
        <w:left w:val="single" w:sz="18" w:space="4" w:color="0D3B5E" w:themeColor="accent1"/>
        <w:bottom w:val="single" w:sz="18" w:space="1" w:color="0D3B5E" w:themeColor="accent1"/>
        <w:right w:val="single" w:sz="18" w:space="4" w:color="0D3B5E" w:themeColor="accent1"/>
      </w:pBdr>
      <w:shd w:val="clear" w:color="auto" w:fill="0D3B5E" w:themeFill="accent1"/>
      <w:spacing w:before="80" w:after="200" w:line="360" w:lineRule="auto"/>
      <w:ind w:left="142" w:right="142"/>
    </w:pPr>
    <w:rPr>
      <w:sz w:val="18"/>
    </w:rPr>
  </w:style>
  <w:style w:type="paragraph" w:customStyle="1" w:styleId="Odrvtab">
    <w:name w:val="Odr.v tab."/>
    <w:basedOn w:val="Odstavecseseznamem"/>
    <w:qFormat/>
    <w:rsid w:val="00C36B43"/>
    <w:pPr>
      <w:numPr>
        <w:numId w:val="5"/>
      </w:numPr>
      <w:tabs>
        <w:tab w:val="num" w:pos="360"/>
      </w:tabs>
      <w:spacing w:after="0" w:line="240" w:lineRule="auto"/>
      <w:ind w:left="720"/>
    </w:pPr>
    <w:rPr>
      <w:sz w:val="18"/>
    </w:rPr>
  </w:style>
  <w:style w:type="table" w:customStyle="1" w:styleId="Tmavtabulkasmkou5zvraznn11">
    <w:name w:val="Tmavá tabulka s mřížkou 5 – zvýraznění 11"/>
    <w:basedOn w:val="Normlntabulka"/>
    <w:uiPriority w:val="50"/>
    <w:rsid w:val="00C36B4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DA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D3B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D3B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D3B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D3B5E" w:themeFill="accent1"/>
      </w:tcPr>
    </w:tblStylePr>
    <w:tblStylePr w:type="band1Vert">
      <w:tblPr/>
      <w:tcPr>
        <w:shd w:val="clear" w:color="auto" w:fill="71B6EB" w:themeFill="accent1" w:themeFillTint="66"/>
      </w:tcPr>
    </w:tblStylePr>
    <w:tblStylePr w:type="band1Horz">
      <w:tblPr/>
      <w:tcPr>
        <w:shd w:val="clear" w:color="auto" w:fill="71B6EB" w:themeFill="accent1" w:themeFillTint="66"/>
      </w:tcPr>
    </w:tblStylePr>
  </w:style>
  <w:style w:type="table" w:customStyle="1" w:styleId="Tabulkasmkou4zvraznn11">
    <w:name w:val="Tabulka s mřížkou 4 – zvýraznění 11"/>
    <w:basedOn w:val="Normlntabulka"/>
    <w:uiPriority w:val="49"/>
    <w:rsid w:val="0069539F"/>
    <w:pPr>
      <w:spacing w:after="0" w:line="240" w:lineRule="auto"/>
    </w:pPr>
    <w:tblPr>
      <w:tblStyleRowBandSize w:val="1"/>
      <w:tblStyleColBandSize w:val="1"/>
      <w:tblBorders>
        <w:top w:val="single" w:sz="4" w:space="0" w:color="2A91E1" w:themeColor="accent1" w:themeTint="99"/>
        <w:left w:val="single" w:sz="4" w:space="0" w:color="2A91E1" w:themeColor="accent1" w:themeTint="99"/>
        <w:bottom w:val="single" w:sz="4" w:space="0" w:color="2A91E1" w:themeColor="accent1" w:themeTint="99"/>
        <w:right w:val="single" w:sz="4" w:space="0" w:color="2A91E1" w:themeColor="accent1" w:themeTint="99"/>
        <w:insideH w:val="single" w:sz="4" w:space="0" w:color="2A91E1" w:themeColor="accent1" w:themeTint="99"/>
        <w:insideV w:val="single" w:sz="4" w:space="0" w:color="2A91E1" w:themeColor="accent1" w:themeTint="99"/>
      </w:tblBorders>
    </w:tblPr>
    <w:tblStylePr w:type="firstRow">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cBorders>
        <w:shd w:val="clear" w:color="auto" w:fill="0D3B5E" w:themeFill="accent1"/>
      </w:tcPr>
    </w:tblStylePr>
    <w:tblStylePr w:type="lastRow">
      <w:rPr>
        <w:b/>
        <w:bCs/>
      </w:rPr>
      <w:tblPr/>
      <w:tcPr>
        <w:tcBorders>
          <w:top w:val="double" w:sz="4" w:space="0" w:color="0D3B5E" w:themeColor="accent1"/>
        </w:tcBorders>
      </w:tcPr>
    </w:tblStylePr>
    <w:tblStylePr w:type="firstCol">
      <w:rPr>
        <w:b/>
        <w:bCs/>
      </w:rPr>
    </w:tblStylePr>
    <w:tblStylePr w:type="lastCol">
      <w:rPr>
        <w:b/>
        <w:bCs/>
      </w:rPr>
    </w:tblStylePr>
    <w:tblStylePr w:type="band1Vert">
      <w:tblPr/>
      <w:tcPr>
        <w:shd w:val="clear" w:color="auto" w:fill="B8DAF5" w:themeFill="accent1" w:themeFillTint="33"/>
      </w:tcPr>
    </w:tblStylePr>
    <w:tblStylePr w:type="band1Horz">
      <w:tblPr/>
      <w:tcPr>
        <w:shd w:val="clear" w:color="auto" w:fill="B8DAF5" w:themeFill="accent1" w:themeFillTint="33"/>
      </w:tcPr>
    </w:tblStylePr>
  </w:style>
  <w:style w:type="character" w:styleId="Siln">
    <w:name w:val="Strong"/>
    <w:basedOn w:val="Standardnpsmoodstavce"/>
    <w:uiPriority w:val="22"/>
    <w:qFormat/>
    <w:rsid w:val="00C36B43"/>
    <w:rPr>
      <w:b/>
      <w:bCs/>
    </w:rPr>
  </w:style>
  <w:style w:type="character" w:customStyle="1" w:styleId="CnormlnChar">
    <w:name w:val="Cnormální Char"/>
    <w:link w:val="Cnormln"/>
    <w:locked/>
    <w:rsid w:val="008F1725"/>
    <w:rPr>
      <w:rFonts w:ascii="Arial" w:hAnsi="Arial" w:cs="Arial"/>
    </w:rPr>
  </w:style>
  <w:style w:type="paragraph" w:customStyle="1" w:styleId="Cnormln">
    <w:name w:val="Cnormální"/>
    <w:basedOn w:val="Normln"/>
    <w:link w:val="CnormlnChar"/>
    <w:qFormat/>
    <w:rsid w:val="008F1725"/>
    <w:pPr>
      <w:jc w:val="left"/>
    </w:pPr>
    <w:rPr>
      <w:rFonts w:ascii="Arial" w:hAnsi="Arial" w:cs="Arial"/>
    </w:rPr>
  </w:style>
  <w:style w:type="table" w:customStyle="1" w:styleId="Tabulkaseznamu3zvraznn12">
    <w:name w:val="Tabulka seznamu 3 – zvýraznění 12"/>
    <w:basedOn w:val="Normlntabulka"/>
    <w:uiPriority w:val="48"/>
    <w:rsid w:val="00335AAE"/>
    <w:pPr>
      <w:spacing w:after="0" w:line="240" w:lineRule="auto"/>
    </w:pPr>
    <w:tblPr>
      <w:tblStyleRowBandSize w:val="1"/>
      <w:tblStyleColBandSize w:val="1"/>
      <w:tblBorders>
        <w:top w:val="single" w:sz="4" w:space="0" w:color="0D3B5E" w:themeColor="accent1"/>
        <w:left w:val="single" w:sz="4" w:space="0" w:color="0D3B5E" w:themeColor="accent1"/>
        <w:bottom w:val="single" w:sz="4" w:space="0" w:color="0D3B5E" w:themeColor="accent1"/>
        <w:right w:val="single" w:sz="4" w:space="0" w:color="0D3B5E" w:themeColor="accent1"/>
      </w:tblBorders>
    </w:tblPr>
    <w:tblStylePr w:type="firstRow">
      <w:rPr>
        <w:b/>
        <w:bCs/>
        <w:color w:val="FFFFFF" w:themeColor="background1"/>
      </w:rPr>
      <w:tblPr/>
      <w:tcPr>
        <w:tcBorders>
          <w:insideV w:val="nil"/>
        </w:tcBorders>
        <w:shd w:val="clear" w:color="auto" w:fill="0D3B5E" w:themeFill="accent1"/>
      </w:tcPr>
    </w:tblStylePr>
    <w:tblStylePr w:type="lastRow">
      <w:rPr>
        <w:b/>
        <w:bCs/>
      </w:rPr>
      <w:tblPr/>
      <w:tcPr>
        <w:tcBorders>
          <w:top w:val="double" w:sz="4" w:space="0" w:color="0D3B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3B5E" w:themeColor="accent1"/>
          <w:right w:val="single" w:sz="4" w:space="0" w:color="0D3B5E" w:themeColor="accent1"/>
        </w:tcBorders>
      </w:tcPr>
    </w:tblStylePr>
    <w:tblStylePr w:type="band1Horz">
      <w:tblPr/>
      <w:tcPr>
        <w:tcBorders>
          <w:top w:val="single" w:sz="4" w:space="0" w:color="0D3B5E" w:themeColor="accent1"/>
          <w:bottom w:val="single" w:sz="4" w:space="0" w:color="0D3B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3B5E" w:themeColor="accent1"/>
          <w:left w:val="nil"/>
        </w:tcBorders>
      </w:tcPr>
    </w:tblStylePr>
    <w:tblStylePr w:type="swCell">
      <w:tblPr/>
      <w:tcPr>
        <w:tcBorders>
          <w:top w:val="double" w:sz="4" w:space="0" w:color="0D3B5E" w:themeColor="accent1"/>
          <w:right w:val="nil"/>
        </w:tcBorders>
      </w:tcPr>
    </w:tblStylePr>
  </w:style>
  <w:style w:type="character" w:customStyle="1" w:styleId="Bodytext">
    <w:name w:val="Body text_"/>
    <w:link w:val="BodyText1"/>
    <w:locked/>
    <w:rsid w:val="0096344C"/>
    <w:rPr>
      <w:rFonts w:ascii="Calibri" w:eastAsia="Calibri" w:hAnsi="Calibri" w:cs="Calibri"/>
      <w:sz w:val="21"/>
      <w:szCs w:val="21"/>
      <w:shd w:val="clear" w:color="auto" w:fill="FFFFFF"/>
    </w:rPr>
  </w:style>
  <w:style w:type="paragraph" w:customStyle="1" w:styleId="BodyText1">
    <w:name w:val="Body Text1"/>
    <w:basedOn w:val="Normln"/>
    <w:link w:val="Bodytext"/>
    <w:rsid w:val="0096344C"/>
    <w:pPr>
      <w:shd w:val="clear" w:color="auto" w:fill="FFFFFF"/>
      <w:spacing w:before="540" w:after="60" w:line="0" w:lineRule="atLeast"/>
      <w:ind w:hanging="400"/>
      <w:jc w:val="left"/>
    </w:pPr>
    <w:rPr>
      <w:rFonts w:ascii="Calibri" w:eastAsia="Calibri" w:hAnsi="Calibri" w:cs="Calibri"/>
      <w:sz w:val="21"/>
      <w:szCs w:val="21"/>
    </w:rPr>
  </w:style>
  <w:style w:type="character" w:customStyle="1" w:styleId="StandardntextChar">
    <w:name w:val="Standardní text Char"/>
    <w:link w:val="Standardntext"/>
    <w:locked/>
    <w:rsid w:val="00523260"/>
    <w:rPr>
      <w:sz w:val="24"/>
      <w:szCs w:val="24"/>
    </w:rPr>
  </w:style>
  <w:style w:type="paragraph" w:customStyle="1" w:styleId="Standardntext">
    <w:name w:val="Standardní text"/>
    <w:basedOn w:val="Normln"/>
    <w:link w:val="StandardntextChar"/>
    <w:qFormat/>
    <w:rsid w:val="00523260"/>
    <w:pPr>
      <w:overflowPunct w:val="0"/>
      <w:autoSpaceDE w:val="0"/>
      <w:autoSpaceDN w:val="0"/>
      <w:adjustRightInd w:val="0"/>
      <w:spacing w:line="240" w:lineRule="auto"/>
    </w:pPr>
    <w:rPr>
      <w:sz w:val="24"/>
      <w:szCs w:val="24"/>
    </w:rPr>
  </w:style>
  <w:style w:type="paragraph" w:styleId="Revize">
    <w:name w:val="Revision"/>
    <w:hidden/>
    <w:uiPriority w:val="99"/>
    <w:semiHidden/>
    <w:rsid w:val="009107E5"/>
    <w:pPr>
      <w:spacing w:after="0" w:line="240" w:lineRule="auto"/>
    </w:pPr>
  </w:style>
  <w:style w:type="table" w:customStyle="1" w:styleId="Svtlmkatabulky1">
    <w:name w:val="Světlá mřížka tabulky1"/>
    <w:basedOn w:val="Normlntabulka"/>
    <w:uiPriority w:val="40"/>
    <w:rsid w:val="00A03B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1">
    <w:name w:val="Styl1"/>
    <w:basedOn w:val="Tabulkaseznamu3zvraznn12"/>
    <w:uiPriority w:val="99"/>
    <w:rsid w:val="0069539F"/>
    <w:tblPr>
      <w:tblBorders>
        <w:top w:val="none" w:sz="0" w:space="0" w:color="auto"/>
        <w:left w:val="none" w:sz="0" w:space="0" w:color="auto"/>
        <w:bottom w:val="none" w:sz="0" w:space="0" w:color="auto"/>
        <w:right w:val="none" w:sz="0" w:space="0" w:color="auto"/>
        <w:insideH w:val="single" w:sz="4" w:space="0" w:color="0D3B5E" w:themeColor="accent1"/>
        <w:insideV w:val="single" w:sz="4" w:space="0" w:color="0D3B5E" w:themeColor="accent1"/>
      </w:tblBorders>
    </w:tblPr>
    <w:tblStylePr w:type="firstRow">
      <w:rPr>
        <w:b/>
        <w:bCs/>
        <w:color w:val="FFFFFF" w:themeColor="background1"/>
      </w:rPr>
      <w:tblPr/>
      <w:tcPr>
        <w:tcBorders>
          <w:insideV w:val="single" w:sz="4" w:space="0" w:color="FFFFFF" w:themeColor="background1"/>
        </w:tcBorders>
        <w:shd w:val="clear" w:color="auto" w:fill="0D3B5E" w:themeFill="accent1"/>
      </w:tcPr>
    </w:tblStylePr>
    <w:tblStylePr w:type="lastRow">
      <w:rPr>
        <w:b/>
        <w:bCs/>
      </w:rPr>
      <w:tblPr/>
      <w:tcPr>
        <w:tcBorders>
          <w:top w:val="double" w:sz="4" w:space="0" w:color="0D3B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3B5E" w:themeColor="accent1"/>
          <w:right w:val="single" w:sz="4" w:space="0" w:color="0D3B5E" w:themeColor="accent1"/>
        </w:tcBorders>
      </w:tcPr>
    </w:tblStylePr>
    <w:tblStylePr w:type="band1Horz">
      <w:tblPr/>
      <w:tcPr>
        <w:tcBorders>
          <w:top w:val="single" w:sz="4" w:space="0" w:color="0D3B5E" w:themeColor="accent1"/>
          <w:bottom w:val="single" w:sz="4" w:space="0" w:color="0D3B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3B5E" w:themeColor="accent1"/>
          <w:left w:val="nil"/>
        </w:tcBorders>
      </w:tcPr>
    </w:tblStylePr>
    <w:tblStylePr w:type="swCell">
      <w:tblPr/>
      <w:tcPr>
        <w:tcBorders>
          <w:top w:val="double" w:sz="4" w:space="0" w:color="0D3B5E" w:themeColor="accent1"/>
          <w:right w:val="nil"/>
        </w:tcBorders>
      </w:tcPr>
    </w:tblStylePr>
  </w:style>
  <w:style w:type="table" w:customStyle="1" w:styleId="Prosttabulka11">
    <w:name w:val="Prostá tabulka 11"/>
    <w:basedOn w:val="Normlntabulka"/>
    <w:uiPriority w:val="41"/>
    <w:rsid w:val="004766F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style>
  <w:style w:type="table" w:customStyle="1" w:styleId="Prosttabulka111">
    <w:name w:val="Prostá tabulka 111"/>
    <w:basedOn w:val="Normlntabulka"/>
    <w:next w:val="Normlntabulka"/>
    <w:uiPriority w:val="41"/>
    <w:rsid w:val="00B31377"/>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Obsah4">
    <w:name w:val="toc 4"/>
    <w:basedOn w:val="Normln"/>
    <w:next w:val="Normln"/>
    <w:autoRedefine/>
    <w:uiPriority w:val="39"/>
    <w:unhideWhenUsed/>
    <w:rsid w:val="000463A4"/>
    <w:pPr>
      <w:spacing w:after="100" w:line="259" w:lineRule="auto"/>
      <w:ind w:left="660"/>
      <w:jc w:val="left"/>
    </w:pPr>
    <w:rPr>
      <w:rFonts w:eastAsiaTheme="minorEastAsia"/>
      <w:lang w:eastAsia="cs-CZ"/>
    </w:rPr>
  </w:style>
  <w:style w:type="paragraph" w:styleId="Obsah5">
    <w:name w:val="toc 5"/>
    <w:basedOn w:val="Normln"/>
    <w:next w:val="Normln"/>
    <w:autoRedefine/>
    <w:uiPriority w:val="39"/>
    <w:unhideWhenUsed/>
    <w:rsid w:val="000463A4"/>
    <w:pPr>
      <w:spacing w:after="100" w:line="259" w:lineRule="auto"/>
      <w:ind w:left="880"/>
      <w:jc w:val="left"/>
    </w:pPr>
    <w:rPr>
      <w:rFonts w:eastAsiaTheme="minorEastAsia"/>
      <w:lang w:eastAsia="cs-CZ"/>
    </w:rPr>
  </w:style>
  <w:style w:type="paragraph" w:styleId="Obsah6">
    <w:name w:val="toc 6"/>
    <w:basedOn w:val="Normln"/>
    <w:next w:val="Normln"/>
    <w:autoRedefine/>
    <w:uiPriority w:val="39"/>
    <w:unhideWhenUsed/>
    <w:rsid w:val="000463A4"/>
    <w:pPr>
      <w:spacing w:after="100" w:line="259" w:lineRule="auto"/>
      <w:ind w:left="1100"/>
      <w:jc w:val="left"/>
    </w:pPr>
    <w:rPr>
      <w:rFonts w:eastAsiaTheme="minorEastAsia"/>
      <w:lang w:eastAsia="cs-CZ"/>
    </w:rPr>
  </w:style>
  <w:style w:type="paragraph" w:styleId="Obsah7">
    <w:name w:val="toc 7"/>
    <w:basedOn w:val="Normln"/>
    <w:next w:val="Normln"/>
    <w:autoRedefine/>
    <w:uiPriority w:val="39"/>
    <w:unhideWhenUsed/>
    <w:rsid w:val="000463A4"/>
    <w:pPr>
      <w:spacing w:after="100" w:line="259" w:lineRule="auto"/>
      <w:ind w:left="1320"/>
      <w:jc w:val="left"/>
    </w:pPr>
    <w:rPr>
      <w:rFonts w:eastAsiaTheme="minorEastAsia"/>
      <w:lang w:eastAsia="cs-CZ"/>
    </w:rPr>
  </w:style>
  <w:style w:type="paragraph" w:styleId="Obsah8">
    <w:name w:val="toc 8"/>
    <w:basedOn w:val="Normln"/>
    <w:next w:val="Normln"/>
    <w:autoRedefine/>
    <w:uiPriority w:val="39"/>
    <w:unhideWhenUsed/>
    <w:rsid w:val="000463A4"/>
    <w:pPr>
      <w:spacing w:after="100" w:line="259" w:lineRule="auto"/>
      <w:ind w:left="1540"/>
      <w:jc w:val="left"/>
    </w:pPr>
    <w:rPr>
      <w:rFonts w:eastAsiaTheme="minorEastAsia"/>
      <w:lang w:eastAsia="cs-CZ"/>
    </w:rPr>
  </w:style>
  <w:style w:type="paragraph" w:styleId="Obsah9">
    <w:name w:val="toc 9"/>
    <w:basedOn w:val="Normln"/>
    <w:next w:val="Normln"/>
    <w:autoRedefine/>
    <w:uiPriority w:val="39"/>
    <w:unhideWhenUsed/>
    <w:rsid w:val="000463A4"/>
    <w:pPr>
      <w:spacing w:after="100" w:line="259" w:lineRule="auto"/>
      <w:ind w:left="1760"/>
      <w:jc w:val="left"/>
    </w:pPr>
    <w:rPr>
      <w:rFonts w:eastAsiaTheme="minorEastAsia"/>
      <w:lang w:eastAsia="cs-CZ"/>
    </w:rPr>
  </w:style>
  <w:style w:type="character" w:customStyle="1" w:styleId="Nevyeenzmnka1">
    <w:name w:val="Nevyřešená zmínka1"/>
    <w:basedOn w:val="Standardnpsmoodstavce"/>
    <w:uiPriority w:val="99"/>
    <w:semiHidden/>
    <w:unhideWhenUsed/>
    <w:rsid w:val="000463A4"/>
    <w:rPr>
      <w:color w:val="605E5C"/>
      <w:shd w:val="clear" w:color="auto" w:fill="E1DFDD"/>
    </w:rPr>
  </w:style>
  <w:style w:type="paragraph" w:styleId="Seznamobrzk">
    <w:name w:val="table of figures"/>
    <w:basedOn w:val="Normln"/>
    <w:next w:val="Normln"/>
    <w:uiPriority w:val="99"/>
    <w:unhideWhenUsed/>
    <w:rsid w:val="00E45FE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43578">
      <w:bodyDiv w:val="1"/>
      <w:marLeft w:val="0"/>
      <w:marRight w:val="0"/>
      <w:marTop w:val="0"/>
      <w:marBottom w:val="0"/>
      <w:divBdr>
        <w:top w:val="none" w:sz="0" w:space="0" w:color="auto"/>
        <w:left w:val="none" w:sz="0" w:space="0" w:color="auto"/>
        <w:bottom w:val="none" w:sz="0" w:space="0" w:color="auto"/>
        <w:right w:val="none" w:sz="0" w:space="0" w:color="auto"/>
      </w:divBdr>
    </w:div>
    <w:div w:id="85735060">
      <w:bodyDiv w:val="1"/>
      <w:marLeft w:val="0"/>
      <w:marRight w:val="0"/>
      <w:marTop w:val="0"/>
      <w:marBottom w:val="0"/>
      <w:divBdr>
        <w:top w:val="none" w:sz="0" w:space="0" w:color="auto"/>
        <w:left w:val="none" w:sz="0" w:space="0" w:color="auto"/>
        <w:bottom w:val="none" w:sz="0" w:space="0" w:color="auto"/>
        <w:right w:val="none" w:sz="0" w:space="0" w:color="auto"/>
      </w:divBdr>
    </w:div>
    <w:div w:id="192690376">
      <w:bodyDiv w:val="1"/>
      <w:marLeft w:val="0"/>
      <w:marRight w:val="0"/>
      <w:marTop w:val="0"/>
      <w:marBottom w:val="0"/>
      <w:divBdr>
        <w:top w:val="none" w:sz="0" w:space="0" w:color="auto"/>
        <w:left w:val="none" w:sz="0" w:space="0" w:color="auto"/>
        <w:bottom w:val="none" w:sz="0" w:space="0" w:color="auto"/>
        <w:right w:val="none" w:sz="0" w:space="0" w:color="auto"/>
      </w:divBdr>
    </w:div>
    <w:div w:id="322467136">
      <w:bodyDiv w:val="1"/>
      <w:marLeft w:val="0"/>
      <w:marRight w:val="0"/>
      <w:marTop w:val="0"/>
      <w:marBottom w:val="0"/>
      <w:divBdr>
        <w:top w:val="none" w:sz="0" w:space="0" w:color="auto"/>
        <w:left w:val="none" w:sz="0" w:space="0" w:color="auto"/>
        <w:bottom w:val="none" w:sz="0" w:space="0" w:color="auto"/>
        <w:right w:val="none" w:sz="0" w:space="0" w:color="auto"/>
      </w:divBdr>
    </w:div>
    <w:div w:id="333263335">
      <w:bodyDiv w:val="1"/>
      <w:marLeft w:val="0"/>
      <w:marRight w:val="0"/>
      <w:marTop w:val="0"/>
      <w:marBottom w:val="0"/>
      <w:divBdr>
        <w:top w:val="none" w:sz="0" w:space="0" w:color="auto"/>
        <w:left w:val="none" w:sz="0" w:space="0" w:color="auto"/>
        <w:bottom w:val="none" w:sz="0" w:space="0" w:color="auto"/>
        <w:right w:val="none" w:sz="0" w:space="0" w:color="auto"/>
      </w:divBdr>
    </w:div>
    <w:div w:id="363796321">
      <w:bodyDiv w:val="1"/>
      <w:marLeft w:val="0"/>
      <w:marRight w:val="0"/>
      <w:marTop w:val="0"/>
      <w:marBottom w:val="0"/>
      <w:divBdr>
        <w:top w:val="none" w:sz="0" w:space="0" w:color="auto"/>
        <w:left w:val="none" w:sz="0" w:space="0" w:color="auto"/>
        <w:bottom w:val="none" w:sz="0" w:space="0" w:color="auto"/>
        <w:right w:val="none" w:sz="0" w:space="0" w:color="auto"/>
      </w:divBdr>
    </w:div>
    <w:div w:id="370812546">
      <w:bodyDiv w:val="1"/>
      <w:marLeft w:val="0"/>
      <w:marRight w:val="0"/>
      <w:marTop w:val="0"/>
      <w:marBottom w:val="0"/>
      <w:divBdr>
        <w:top w:val="none" w:sz="0" w:space="0" w:color="auto"/>
        <w:left w:val="none" w:sz="0" w:space="0" w:color="auto"/>
        <w:bottom w:val="none" w:sz="0" w:space="0" w:color="auto"/>
        <w:right w:val="none" w:sz="0" w:space="0" w:color="auto"/>
      </w:divBdr>
    </w:div>
    <w:div w:id="373235053">
      <w:bodyDiv w:val="1"/>
      <w:marLeft w:val="0"/>
      <w:marRight w:val="0"/>
      <w:marTop w:val="0"/>
      <w:marBottom w:val="0"/>
      <w:divBdr>
        <w:top w:val="none" w:sz="0" w:space="0" w:color="auto"/>
        <w:left w:val="none" w:sz="0" w:space="0" w:color="auto"/>
        <w:bottom w:val="none" w:sz="0" w:space="0" w:color="auto"/>
        <w:right w:val="none" w:sz="0" w:space="0" w:color="auto"/>
      </w:divBdr>
    </w:div>
    <w:div w:id="413937863">
      <w:bodyDiv w:val="1"/>
      <w:marLeft w:val="0"/>
      <w:marRight w:val="0"/>
      <w:marTop w:val="0"/>
      <w:marBottom w:val="0"/>
      <w:divBdr>
        <w:top w:val="none" w:sz="0" w:space="0" w:color="auto"/>
        <w:left w:val="none" w:sz="0" w:space="0" w:color="auto"/>
        <w:bottom w:val="none" w:sz="0" w:space="0" w:color="auto"/>
        <w:right w:val="none" w:sz="0" w:space="0" w:color="auto"/>
      </w:divBdr>
    </w:div>
    <w:div w:id="419908817">
      <w:bodyDiv w:val="1"/>
      <w:marLeft w:val="0"/>
      <w:marRight w:val="0"/>
      <w:marTop w:val="0"/>
      <w:marBottom w:val="0"/>
      <w:divBdr>
        <w:top w:val="none" w:sz="0" w:space="0" w:color="auto"/>
        <w:left w:val="none" w:sz="0" w:space="0" w:color="auto"/>
        <w:bottom w:val="none" w:sz="0" w:space="0" w:color="auto"/>
        <w:right w:val="none" w:sz="0" w:space="0" w:color="auto"/>
      </w:divBdr>
    </w:div>
    <w:div w:id="487668316">
      <w:bodyDiv w:val="1"/>
      <w:marLeft w:val="0"/>
      <w:marRight w:val="0"/>
      <w:marTop w:val="0"/>
      <w:marBottom w:val="0"/>
      <w:divBdr>
        <w:top w:val="none" w:sz="0" w:space="0" w:color="auto"/>
        <w:left w:val="none" w:sz="0" w:space="0" w:color="auto"/>
        <w:bottom w:val="none" w:sz="0" w:space="0" w:color="auto"/>
        <w:right w:val="none" w:sz="0" w:space="0" w:color="auto"/>
      </w:divBdr>
    </w:div>
    <w:div w:id="516040941">
      <w:bodyDiv w:val="1"/>
      <w:marLeft w:val="0"/>
      <w:marRight w:val="0"/>
      <w:marTop w:val="0"/>
      <w:marBottom w:val="0"/>
      <w:divBdr>
        <w:top w:val="none" w:sz="0" w:space="0" w:color="auto"/>
        <w:left w:val="none" w:sz="0" w:space="0" w:color="auto"/>
        <w:bottom w:val="none" w:sz="0" w:space="0" w:color="auto"/>
        <w:right w:val="none" w:sz="0" w:space="0" w:color="auto"/>
      </w:divBdr>
    </w:div>
    <w:div w:id="521012052">
      <w:bodyDiv w:val="1"/>
      <w:marLeft w:val="0"/>
      <w:marRight w:val="0"/>
      <w:marTop w:val="0"/>
      <w:marBottom w:val="0"/>
      <w:divBdr>
        <w:top w:val="none" w:sz="0" w:space="0" w:color="auto"/>
        <w:left w:val="none" w:sz="0" w:space="0" w:color="auto"/>
        <w:bottom w:val="none" w:sz="0" w:space="0" w:color="auto"/>
        <w:right w:val="none" w:sz="0" w:space="0" w:color="auto"/>
      </w:divBdr>
    </w:div>
    <w:div w:id="552693326">
      <w:bodyDiv w:val="1"/>
      <w:marLeft w:val="0"/>
      <w:marRight w:val="0"/>
      <w:marTop w:val="0"/>
      <w:marBottom w:val="0"/>
      <w:divBdr>
        <w:top w:val="none" w:sz="0" w:space="0" w:color="auto"/>
        <w:left w:val="none" w:sz="0" w:space="0" w:color="auto"/>
        <w:bottom w:val="none" w:sz="0" w:space="0" w:color="auto"/>
        <w:right w:val="none" w:sz="0" w:space="0" w:color="auto"/>
      </w:divBdr>
    </w:div>
    <w:div w:id="606547516">
      <w:bodyDiv w:val="1"/>
      <w:marLeft w:val="0"/>
      <w:marRight w:val="0"/>
      <w:marTop w:val="0"/>
      <w:marBottom w:val="0"/>
      <w:divBdr>
        <w:top w:val="none" w:sz="0" w:space="0" w:color="auto"/>
        <w:left w:val="none" w:sz="0" w:space="0" w:color="auto"/>
        <w:bottom w:val="none" w:sz="0" w:space="0" w:color="auto"/>
        <w:right w:val="none" w:sz="0" w:space="0" w:color="auto"/>
      </w:divBdr>
    </w:div>
    <w:div w:id="610432315">
      <w:bodyDiv w:val="1"/>
      <w:marLeft w:val="0"/>
      <w:marRight w:val="0"/>
      <w:marTop w:val="0"/>
      <w:marBottom w:val="0"/>
      <w:divBdr>
        <w:top w:val="none" w:sz="0" w:space="0" w:color="auto"/>
        <w:left w:val="none" w:sz="0" w:space="0" w:color="auto"/>
        <w:bottom w:val="none" w:sz="0" w:space="0" w:color="auto"/>
        <w:right w:val="none" w:sz="0" w:space="0" w:color="auto"/>
      </w:divBdr>
    </w:div>
    <w:div w:id="619454149">
      <w:bodyDiv w:val="1"/>
      <w:marLeft w:val="0"/>
      <w:marRight w:val="0"/>
      <w:marTop w:val="0"/>
      <w:marBottom w:val="0"/>
      <w:divBdr>
        <w:top w:val="none" w:sz="0" w:space="0" w:color="auto"/>
        <w:left w:val="none" w:sz="0" w:space="0" w:color="auto"/>
        <w:bottom w:val="none" w:sz="0" w:space="0" w:color="auto"/>
        <w:right w:val="none" w:sz="0" w:space="0" w:color="auto"/>
      </w:divBdr>
    </w:div>
    <w:div w:id="623270105">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94891443">
      <w:bodyDiv w:val="1"/>
      <w:marLeft w:val="0"/>
      <w:marRight w:val="0"/>
      <w:marTop w:val="0"/>
      <w:marBottom w:val="0"/>
      <w:divBdr>
        <w:top w:val="none" w:sz="0" w:space="0" w:color="auto"/>
        <w:left w:val="none" w:sz="0" w:space="0" w:color="auto"/>
        <w:bottom w:val="none" w:sz="0" w:space="0" w:color="auto"/>
        <w:right w:val="none" w:sz="0" w:space="0" w:color="auto"/>
      </w:divBdr>
    </w:div>
    <w:div w:id="737827303">
      <w:bodyDiv w:val="1"/>
      <w:marLeft w:val="0"/>
      <w:marRight w:val="0"/>
      <w:marTop w:val="0"/>
      <w:marBottom w:val="0"/>
      <w:divBdr>
        <w:top w:val="none" w:sz="0" w:space="0" w:color="auto"/>
        <w:left w:val="none" w:sz="0" w:space="0" w:color="auto"/>
        <w:bottom w:val="none" w:sz="0" w:space="0" w:color="auto"/>
        <w:right w:val="none" w:sz="0" w:space="0" w:color="auto"/>
      </w:divBdr>
    </w:div>
    <w:div w:id="751514069">
      <w:bodyDiv w:val="1"/>
      <w:marLeft w:val="0"/>
      <w:marRight w:val="0"/>
      <w:marTop w:val="0"/>
      <w:marBottom w:val="0"/>
      <w:divBdr>
        <w:top w:val="none" w:sz="0" w:space="0" w:color="auto"/>
        <w:left w:val="none" w:sz="0" w:space="0" w:color="auto"/>
        <w:bottom w:val="none" w:sz="0" w:space="0" w:color="auto"/>
        <w:right w:val="none" w:sz="0" w:space="0" w:color="auto"/>
      </w:divBdr>
    </w:div>
    <w:div w:id="754517653">
      <w:bodyDiv w:val="1"/>
      <w:marLeft w:val="0"/>
      <w:marRight w:val="0"/>
      <w:marTop w:val="0"/>
      <w:marBottom w:val="0"/>
      <w:divBdr>
        <w:top w:val="none" w:sz="0" w:space="0" w:color="auto"/>
        <w:left w:val="none" w:sz="0" w:space="0" w:color="auto"/>
        <w:bottom w:val="none" w:sz="0" w:space="0" w:color="auto"/>
        <w:right w:val="none" w:sz="0" w:space="0" w:color="auto"/>
      </w:divBdr>
    </w:div>
    <w:div w:id="768357731">
      <w:bodyDiv w:val="1"/>
      <w:marLeft w:val="0"/>
      <w:marRight w:val="0"/>
      <w:marTop w:val="0"/>
      <w:marBottom w:val="0"/>
      <w:divBdr>
        <w:top w:val="none" w:sz="0" w:space="0" w:color="auto"/>
        <w:left w:val="none" w:sz="0" w:space="0" w:color="auto"/>
        <w:bottom w:val="none" w:sz="0" w:space="0" w:color="auto"/>
        <w:right w:val="none" w:sz="0" w:space="0" w:color="auto"/>
      </w:divBdr>
    </w:div>
    <w:div w:id="775445061">
      <w:bodyDiv w:val="1"/>
      <w:marLeft w:val="0"/>
      <w:marRight w:val="0"/>
      <w:marTop w:val="0"/>
      <w:marBottom w:val="0"/>
      <w:divBdr>
        <w:top w:val="none" w:sz="0" w:space="0" w:color="auto"/>
        <w:left w:val="none" w:sz="0" w:space="0" w:color="auto"/>
        <w:bottom w:val="none" w:sz="0" w:space="0" w:color="auto"/>
        <w:right w:val="none" w:sz="0" w:space="0" w:color="auto"/>
      </w:divBdr>
    </w:div>
    <w:div w:id="852719419">
      <w:bodyDiv w:val="1"/>
      <w:marLeft w:val="0"/>
      <w:marRight w:val="0"/>
      <w:marTop w:val="0"/>
      <w:marBottom w:val="0"/>
      <w:divBdr>
        <w:top w:val="none" w:sz="0" w:space="0" w:color="auto"/>
        <w:left w:val="none" w:sz="0" w:space="0" w:color="auto"/>
        <w:bottom w:val="none" w:sz="0" w:space="0" w:color="auto"/>
        <w:right w:val="none" w:sz="0" w:space="0" w:color="auto"/>
      </w:divBdr>
    </w:div>
    <w:div w:id="880437161">
      <w:bodyDiv w:val="1"/>
      <w:marLeft w:val="0"/>
      <w:marRight w:val="0"/>
      <w:marTop w:val="0"/>
      <w:marBottom w:val="0"/>
      <w:divBdr>
        <w:top w:val="none" w:sz="0" w:space="0" w:color="auto"/>
        <w:left w:val="none" w:sz="0" w:space="0" w:color="auto"/>
        <w:bottom w:val="none" w:sz="0" w:space="0" w:color="auto"/>
        <w:right w:val="none" w:sz="0" w:space="0" w:color="auto"/>
      </w:divBdr>
    </w:div>
    <w:div w:id="880479355">
      <w:bodyDiv w:val="1"/>
      <w:marLeft w:val="0"/>
      <w:marRight w:val="0"/>
      <w:marTop w:val="0"/>
      <w:marBottom w:val="0"/>
      <w:divBdr>
        <w:top w:val="none" w:sz="0" w:space="0" w:color="auto"/>
        <w:left w:val="none" w:sz="0" w:space="0" w:color="auto"/>
        <w:bottom w:val="none" w:sz="0" w:space="0" w:color="auto"/>
        <w:right w:val="none" w:sz="0" w:space="0" w:color="auto"/>
      </w:divBdr>
    </w:div>
    <w:div w:id="1025405937">
      <w:bodyDiv w:val="1"/>
      <w:marLeft w:val="0"/>
      <w:marRight w:val="0"/>
      <w:marTop w:val="0"/>
      <w:marBottom w:val="0"/>
      <w:divBdr>
        <w:top w:val="none" w:sz="0" w:space="0" w:color="auto"/>
        <w:left w:val="none" w:sz="0" w:space="0" w:color="auto"/>
        <w:bottom w:val="none" w:sz="0" w:space="0" w:color="auto"/>
        <w:right w:val="none" w:sz="0" w:space="0" w:color="auto"/>
      </w:divBdr>
    </w:div>
    <w:div w:id="1034158537">
      <w:bodyDiv w:val="1"/>
      <w:marLeft w:val="0"/>
      <w:marRight w:val="0"/>
      <w:marTop w:val="0"/>
      <w:marBottom w:val="0"/>
      <w:divBdr>
        <w:top w:val="none" w:sz="0" w:space="0" w:color="auto"/>
        <w:left w:val="none" w:sz="0" w:space="0" w:color="auto"/>
        <w:bottom w:val="none" w:sz="0" w:space="0" w:color="auto"/>
        <w:right w:val="none" w:sz="0" w:space="0" w:color="auto"/>
      </w:divBdr>
    </w:div>
    <w:div w:id="1042290825">
      <w:bodyDiv w:val="1"/>
      <w:marLeft w:val="0"/>
      <w:marRight w:val="0"/>
      <w:marTop w:val="0"/>
      <w:marBottom w:val="0"/>
      <w:divBdr>
        <w:top w:val="none" w:sz="0" w:space="0" w:color="auto"/>
        <w:left w:val="none" w:sz="0" w:space="0" w:color="auto"/>
        <w:bottom w:val="none" w:sz="0" w:space="0" w:color="auto"/>
        <w:right w:val="none" w:sz="0" w:space="0" w:color="auto"/>
      </w:divBdr>
    </w:div>
    <w:div w:id="1045182766">
      <w:bodyDiv w:val="1"/>
      <w:marLeft w:val="0"/>
      <w:marRight w:val="0"/>
      <w:marTop w:val="0"/>
      <w:marBottom w:val="0"/>
      <w:divBdr>
        <w:top w:val="none" w:sz="0" w:space="0" w:color="auto"/>
        <w:left w:val="none" w:sz="0" w:space="0" w:color="auto"/>
        <w:bottom w:val="none" w:sz="0" w:space="0" w:color="auto"/>
        <w:right w:val="none" w:sz="0" w:space="0" w:color="auto"/>
      </w:divBdr>
    </w:div>
    <w:div w:id="1115950697">
      <w:bodyDiv w:val="1"/>
      <w:marLeft w:val="0"/>
      <w:marRight w:val="0"/>
      <w:marTop w:val="0"/>
      <w:marBottom w:val="0"/>
      <w:divBdr>
        <w:top w:val="none" w:sz="0" w:space="0" w:color="auto"/>
        <w:left w:val="none" w:sz="0" w:space="0" w:color="auto"/>
        <w:bottom w:val="none" w:sz="0" w:space="0" w:color="auto"/>
        <w:right w:val="none" w:sz="0" w:space="0" w:color="auto"/>
      </w:divBdr>
    </w:div>
    <w:div w:id="1130975709">
      <w:bodyDiv w:val="1"/>
      <w:marLeft w:val="0"/>
      <w:marRight w:val="0"/>
      <w:marTop w:val="0"/>
      <w:marBottom w:val="0"/>
      <w:divBdr>
        <w:top w:val="none" w:sz="0" w:space="0" w:color="auto"/>
        <w:left w:val="none" w:sz="0" w:space="0" w:color="auto"/>
        <w:bottom w:val="none" w:sz="0" w:space="0" w:color="auto"/>
        <w:right w:val="none" w:sz="0" w:space="0" w:color="auto"/>
      </w:divBdr>
    </w:div>
    <w:div w:id="1134638611">
      <w:bodyDiv w:val="1"/>
      <w:marLeft w:val="0"/>
      <w:marRight w:val="0"/>
      <w:marTop w:val="0"/>
      <w:marBottom w:val="0"/>
      <w:divBdr>
        <w:top w:val="none" w:sz="0" w:space="0" w:color="auto"/>
        <w:left w:val="none" w:sz="0" w:space="0" w:color="auto"/>
        <w:bottom w:val="none" w:sz="0" w:space="0" w:color="auto"/>
        <w:right w:val="none" w:sz="0" w:space="0" w:color="auto"/>
      </w:divBdr>
    </w:div>
    <w:div w:id="1141387253">
      <w:bodyDiv w:val="1"/>
      <w:marLeft w:val="0"/>
      <w:marRight w:val="0"/>
      <w:marTop w:val="0"/>
      <w:marBottom w:val="0"/>
      <w:divBdr>
        <w:top w:val="none" w:sz="0" w:space="0" w:color="auto"/>
        <w:left w:val="none" w:sz="0" w:space="0" w:color="auto"/>
        <w:bottom w:val="none" w:sz="0" w:space="0" w:color="auto"/>
        <w:right w:val="none" w:sz="0" w:space="0" w:color="auto"/>
      </w:divBdr>
    </w:div>
    <w:div w:id="1242060262">
      <w:bodyDiv w:val="1"/>
      <w:marLeft w:val="0"/>
      <w:marRight w:val="0"/>
      <w:marTop w:val="0"/>
      <w:marBottom w:val="0"/>
      <w:divBdr>
        <w:top w:val="none" w:sz="0" w:space="0" w:color="auto"/>
        <w:left w:val="none" w:sz="0" w:space="0" w:color="auto"/>
        <w:bottom w:val="none" w:sz="0" w:space="0" w:color="auto"/>
        <w:right w:val="none" w:sz="0" w:space="0" w:color="auto"/>
      </w:divBdr>
    </w:div>
    <w:div w:id="1327633427">
      <w:bodyDiv w:val="1"/>
      <w:marLeft w:val="0"/>
      <w:marRight w:val="0"/>
      <w:marTop w:val="0"/>
      <w:marBottom w:val="0"/>
      <w:divBdr>
        <w:top w:val="none" w:sz="0" w:space="0" w:color="auto"/>
        <w:left w:val="none" w:sz="0" w:space="0" w:color="auto"/>
        <w:bottom w:val="none" w:sz="0" w:space="0" w:color="auto"/>
        <w:right w:val="none" w:sz="0" w:space="0" w:color="auto"/>
      </w:divBdr>
    </w:div>
    <w:div w:id="1343238277">
      <w:bodyDiv w:val="1"/>
      <w:marLeft w:val="0"/>
      <w:marRight w:val="0"/>
      <w:marTop w:val="0"/>
      <w:marBottom w:val="0"/>
      <w:divBdr>
        <w:top w:val="none" w:sz="0" w:space="0" w:color="auto"/>
        <w:left w:val="none" w:sz="0" w:space="0" w:color="auto"/>
        <w:bottom w:val="none" w:sz="0" w:space="0" w:color="auto"/>
        <w:right w:val="none" w:sz="0" w:space="0" w:color="auto"/>
      </w:divBdr>
    </w:div>
    <w:div w:id="1409183801">
      <w:bodyDiv w:val="1"/>
      <w:marLeft w:val="0"/>
      <w:marRight w:val="0"/>
      <w:marTop w:val="0"/>
      <w:marBottom w:val="0"/>
      <w:divBdr>
        <w:top w:val="none" w:sz="0" w:space="0" w:color="auto"/>
        <w:left w:val="none" w:sz="0" w:space="0" w:color="auto"/>
        <w:bottom w:val="none" w:sz="0" w:space="0" w:color="auto"/>
        <w:right w:val="none" w:sz="0" w:space="0" w:color="auto"/>
      </w:divBdr>
    </w:div>
    <w:div w:id="1419054531">
      <w:bodyDiv w:val="1"/>
      <w:marLeft w:val="0"/>
      <w:marRight w:val="0"/>
      <w:marTop w:val="0"/>
      <w:marBottom w:val="0"/>
      <w:divBdr>
        <w:top w:val="none" w:sz="0" w:space="0" w:color="auto"/>
        <w:left w:val="none" w:sz="0" w:space="0" w:color="auto"/>
        <w:bottom w:val="none" w:sz="0" w:space="0" w:color="auto"/>
        <w:right w:val="none" w:sz="0" w:space="0" w:color="auto"/>
      </w:divBdr>
    </w:div>
    <w:div w:id="1425490898">
      <w:bodyDiv w:val="1"/>
      <w:marLeft w:val="0"/>
      <w:marRight w:val="0"/>
      <w:marTop w:val="0"/>
      <w:marBottom w:val="0"/>
      <w:divBdr>
        <w:top w:val="none" w:sz="0" w:space="0" w:color="auto"/>
        <w:left w:val="none" w:sz="0" w:space="0" w:color="auto"/>
        <w:bottom w:val="none" w:sz="0" w:space="0" w:color="auto"/>
        <w:right w:val="none" w:sz="0" w:space="0" w:color="auto"/>
      </w:divBdr>
    </w:div>
    <w:div w:id="1452240984">
      <w:bodyDiv w:val="1"/>
      <w:marLeft w:val="0"/>
      <w:marRight w:val="0"/>
      <w:marTop w:val="0"/>
      <w:marBottom w:val="0"/>
      <w:divBdr>
        <w:top w:val="none" w:sz="0" w:space="0" w:color="auto"/>
        <w:left w:val="none" w:sz="0" w:space="0" w:color="auto"/>
        <w:bottom w:val="none" w:sz="0" w:space="0" w:color="auto"/>
        <w:right w:val="none" w:sz="0" w:space="0" w:color="auto"/>
      </w:divBdr>
    </w:div>
    <w:div w:id="1466317388">
      <w:bodyDiv w:val="1"/>
      <w:marLeft w:val="0"/>
      <w:marRight w:val="0"/>
      <w:marTop w:val="0"/>
      <w:marBottom w:val="0"/>
      <w:divBdr>
        <w:top w:val="none" w:sz="0" w:space="0" w:color="auto"/>
        <w:left w:val="none" w:sz="0" w:space="0" w:color="auto"/>
        <w:bottom w:val="none" w:sz="0" w:space="0" w:color="auto"/>
        <w:right w:val="none" w:sz="0" w:space="0" w:color="auto"/>
      </w:divBdr>
    </w:div>
    <w:div w:id="1568491564">
      <w:bodyDiv w:val="1"/>
      <w:marLeft w:val="0"/>
      <w:marRight w:val="0"/>
      <w:marTop w:val="0"/>
      <w:marBottom w:val="0"/>
      <w:divBdr>
        <w:top w:val="none" w:sz="0" w:space="0" w:color="auto"/>
        <w:left w:val="none" w:sz="0" w:space="0" w:color="auto"/>
        <w:bottom w:val="none" w:sz="0" w:space="0" w:color="auto"/>
        <w:right w:val="none" w:sz="0" w:space="0" w:color="auto"/>
      </w:divBdr>
    </w:div>
    <w:div w:id="1610090966">
      <w:bodyDiv w:val="1"/>
      <w:marLeft w:val="0"/>
      <w:marRight w:val="0"/>
      <w:marTop w:val="0"/>
      <w:marBottom w:val="0"/>
      <w:divBdr>
        <w:top w:val="none" w:sz="0" w:space="0" w:color="auto"/>
        <w:left w:val="none" w:sz="0" w:space="0" w:color="auto"/>
        <w:bottom w:val="none" w:sz="0" w:space="0" w:color="auto"/>
        <w:right w:val="none" w:sz="0" w:space="0" w:color="auto"/>
      </w:divBdr>
    </w:div>
    <w:div w:id="1630668831">
      <w:bodyDiv w:val="1"/>
      <w:marLeft w:val="0"/>
      <w:marRight w:val="0"/>
      <w:marTop w:val="0"/>
      <w:marBottom w:val="0"/>
      <w:divBdr>
        <w:top w:val="none" w:sz="0" w:space="0" w:color="auto"/>
        <w:left w:val="none" w:sz="0" w:space="0" w:color="auto"/>
        <w:bottom w:val="none" w:sz="0" w:space="0" w:color="auto"/>
        <w:right w:val="none" w:sz="0" w:space="0" w:color="auto"/>
      </w:divBdr>
    </w:div>
    <w:div w:id="1631668070">
      <w:bodyDiv w:val="1"/>
      <w:marLeft w:val="0"/>
      <w:marRight w:val="0"/>
      <w:marTop w:val="0"/>
      <w:marBottom w:val="0"/>
      <w:divBdr>
        <w:top w:val="none" w:sz="0" w:space="0" w:color="auto"/>
        <w:left w:val="none" w:sz="0" w:space="0" w:color="auto"/>
        <w:bottom w:val="none" w:sz="0" w:space="0" w:color="auto"/>
        <w:right w:val="none" w:sz="0" w:space="0" w:color="auto"/>
      </w:divBdr>
    </w:div>
    <w:div w:id="1650207032">
      <w:bodyDiv w:val="1"/>
      <w:marLeft w:val="0"/>
      <w:marRight w:val="0"/>
      <w:marTop w:val="0"/>
      <w:marBottom w:val="0"/>
      <w:divBdr>
        <w:top w:val="none" w:sz="0" w:space="0" w:color="auto"/>
        <w:left w:val="none" w:sz="0" w:space="0" w:color="auto"/>
        <w:bottom w:val="none" w:sz="0" w:space="0" w:color="auto"/>
        <w:right w:val="none" w:sz="0" w:space="0" w:color="auto"/>
      </w:divBdr>
    </w:div>
    <w:div w:id="1677539281">
      <w:bodyDiv w:val="1"/>
      <w:marLeft w:val="0"/>
      <w:marRight w:val="0"/>
      <w:marTop w:val="0"/>
      <w:marBottom w:val="0"/>
      <w:divBdr>
        <w:top w:val="none" w:sz="0" w:space="0" w:color="auto"/>
        <w:left w:val="none" w:sz="0" w:space="0" w:color="auto"/>
        <w:bottom w:val="none" w:sz="0" w:space="0" w:color="auto"/>
        <w:right w:val="none" w:sz="0" w:space="0" w:color="auto"/>
      </w:divBdr>
    </w:div>
    <w:div w:id="1710563955">
      <w:bodyDiv w:val="1"/>
      <w:marLeft w:val="0"/>
      <w:marRight w:val="0"/>
      <w:marTop w:val="0"/>
      <w:marBottom w:val="0"/>
      <w:divBdr>
        <w:top w:val="none" w:sz="0" w:space="0" w:color="auto"/>
        <w:left w:val="none" w:sz="0" w:space="0" w:color="auto"/>
        <w:bottom w:val="none" w:sz="0" w:space="0" w:color="auto"/>
        <w:right w:val="none" w:sz="0" w:space="0" w:color="auto"/>
      </w:divBdr>
    </w:div>
    <w:div w:id="1712613854">
      <w:bodyDiv w:val="1"/>
      <w:marLeft w:val="0"/>
      <w:marRight w:val="0"/>
      <w:marTop w:val="0"/>
      <w:marBottom w:val="0"/>
      <w:divBdr>
        <w:top w:val="none" w:sz="0" w:space="0" w:color="auto"/>
        <w:left w:val="none" w:sz="0" w:space="0" w:color="auto"/>
        <w:bottom w:val="none" w:sz="0" w:space="0" w:color="auto"/>
        <w:right w:val="none" w:sz="0" w:space="0" w:color="auto"/>
      </w:divBdr>
    </w:div>
    <w:div w:id="1721633371">
      <w:bodyDiv w:val="1"/>
      <w:marLeft w:val="0"/>
      <w:marRight w:val="0"/>
      <w:marTop w:val="0"/>
      <w:marBottom w:val="0"/>
      <w:divBdr>
        <w:top w:val="none" w:sz="0" w:space="0" w:color="auto"/>
        <w:left w:val="none" w:sz="0" w:space="0" w:color="auto"/>
        <w:bottom w:val="none" w:sz="0" w:space="0" w:color="auto"/>
        <w:right w:val="none" w:sz="0" w:space="0" w:color="auto"/>
      </w:divBdr>
    </w:div>
    <w:div w:id="1753964089">
      <w:bodyDiv w:val="1"/>
      <w:marLeft w:val="0"/>
      <w:marRight w:val="0"/>
      <w:marTop w:val="0"/>
      <w:marBottom w:val="0"/>
      <w:divBdr>
        <w:top w:val="none" w:sz="0" w:space="0" w:color="auto"/>
        <w:left w:val="none" w:sz="0" w:space="0" w:color="auto"/>
        <w:bottom w:val="none" w:sz="0" w:space="0" w:color="auto"/>
        <w:right w:val="none" w:sz="0" w:space="0" w:color="auto"/>
      </w:divBdr>
    </w:div>
    <w:div w:id="1769541610">
      <w:bodyDiv w:val="1"/>
      <w:marLeft w:val="0"/>
      <w:marRight w:val="0"/>
      <w:marTop w:val="0"/>
      <w:marBottom w:val="0"/>
      <w:divBdr>
        <w:top w:val="none" w:sz="0" w:space="0" w:color="auto"/>
        <w:left w:val="none" w:sz="0" w:space="0" w:color="auto"/>
        <w:bottom w:val="none" w:sz="0" w:space="0" w:color="auto"/>
        <w:right w:val="none" w:sz="0" w:space="0" w:color="auto"/>
      </w:divBdr>
    </w:div>
    <w:div w:id="1791166389">
      <w:bodyDiv w:val="1"/>
      <w:marLeft w:val="0"/>
      <w:marRight w:val="0"/>
      <w:marTop w:val="0"/>
      <w:marBottom w:val="0"/>
      <w:divBdr>
        <w:top w:val="none" w:sz="0" w:space="0" w:color="auto"/>
        <w:left w:val="none" w:sz="0" w:space="0" w:color="auto"/>
        <w:bottom w:val="none" w:sz="0" w:space="0" w:color="auto"/>
        <w:right w:val="none" w:sz="0" w:space="0" w:color="auto"/>
      </w:divBdr>
    </w:div>
    <w:div w:id="1812752774">
      <w:bodyDiv w:val="1"/>
      <w:marLeft w:val="0"/>
      <w:marRight w:val="0"/>
      <w:marTop w:val="0"/>
      <w:marBottom w:val="0"/>
      <w:divBdr>
        <w:top w:val="none" w:sz="0" w:space="0" w:color="auto"/>
        <w:left w:val="none" w:sz="0" w:space="0" w:color="auto"/>
        <w:bottom w:val="none" w:sz="0" w:space="0" w:color="auto"/>
        <w:right w:val="none" w:sz="0" w:space="0" w:color="auto"/>
      </w:divBdr>
    </w:div>
    <w:div w:id="1829325789">
      <w:bodyDiv w:val="1"/>
      <w:marLeft w:val="0"/>
      <w:marRight w:val="0"/>
      <w:marTop w:val="0"/>
      <w:marBottom w:val="0"/>
      <w:divBdr>
        <w:top w:val="none" w:sz="0" w:space="0" w:color="auto"/>
        <w:left w:val="none" w:sz="0" w:space="0" w:color="auto"/>
        <w:bottom w:val="none" w:sz="0" w:space="0" w:color="auto"/>
        <w:right w:val="none" w:sz="0" w:space="0" w:color="auto"/>
      </w:divBdr>
    </w:div>
    <w:div w:id="1866553474">
      <w:bodyDiv w:val="1"/>
      <w:marLeft w:val="0"/>
      <w:marRight w:val="0"/>
      <w:marTop w:val="0"/>
      <w:marBottom w:val="0"/>
      <w:divBdr>
        <w:top w:val="none" w:sz="0" w:space="0" w:color="auto"/>
        <w:left w:val="none" w:sz="0" w:space="0" w:color="auto"/>
        <w:bottom w:val="none" w:sz="0" w:space="0" w:color="auto"/>
        <w:right w:val="none" w:sz="0" w:space="0" w:color="auto"/>
      </w:divBdr>
    </w:div>
    <w:div w:id="1869902237">
      <w:bodyDiv w:val="1"/>
      <w:marLeft w:val="0"/>
      <w:marRight w:val="0"/>
      <w:marTop w:val="0"/>
      <w:marBottom w:val="0"/>
      <w:divBdr>
        <w:top w:val="none" w:sz="0" w:space="0" w:color="auto"/>
        <w:left w:val="none" w:sz="0" w:space="0" w:color="auto"/>
        <w:bottom w:val="none" w:sz="0" w:space="0" w:color="auto"/>
        <w:right w:val="none" w:sz="0" w:space="0" w:color="auto"/>
      </w:divBdr>
    </w:div>
    <w:div w:id="1926959897">
      <w:bodyDiv w:val="1"/>
      <w:marLeft w:val="0"/>
      <w:marRight w:val="0"/>
      <w:marTop w:val="0"/>
      <w:marBottom w:val="0"/>
      <w:divBdr>
        <w:top w:val="none" w:sz="0" w:space="0" w:color="auto"/>
        <w:left w:val="none" w:sz="0" w:space="0" w:color="auto"/>
        <w:bottom w:val="none" w:sz="0" w:space="0" w:color="auto"/>
        <w:right w:val="none" w:sz="0" w:space="0" w:color="auto"/>
      </w:divBdr>
    </w:div>
    <w:div w:id="1937321941">
      <w:bodyDiv w:val="1"/>
      <w:marLeft w:val="0"/>
      <w:marRight w:val="0"/>
      <w:marTop w:val="0"/>
      <w:marBottom w:val="0"/>
      <w:divBdr>
        <w:top w:val="none" w:sz="0" w:space="0" w:color="auto"/>
        <w:left w:val="none" w:sz="0" w:space="0" w:color="auto"/>
        <w:bottom w:val="none" w:sz="0" w:space="0" w:color="auto"/>
        <w:right w:val="none" w:sz="0" w:space="0" w:color="auto"/>
      </w:divBdr>
    </w:div>
    <w:div w:id="1965690139">
      <w:bodyDiv w:val="1"/>
      <w:marLeft w:val="0"/>
      <w:marRight w:val="0"/>
      <w:marTop w:val="0"/>
      <w:marBottom w:val="0"/>
      <w:divBdr>
        <w:top w:val="none" w:sz="0" w:space="0" w:color="auto"/>
        <w:left w:val="none" w:sz="0" w:space="0" w:color="auto"/>
        <w:bottom w:val="none" w:sz="0" w:space="0" w:color="auto"/>
        <w:right w:val="none" w:sz="0" w:space="0" w:color="auto"/>
      </w:divBdr>
    </w:div>
    <w:div w:id="2034726600">
      <w:bodyDiv w:val="1"/>
      <w:marLeft w:val="0"/>
      <w:marRight w:val="0"/>
      <w:marTop w:val="0"/>
      <w:marBottom w:val="0"/>
      <w:divBdr>
        <w:top w:val="none" w:sz="0" w:space="0" w:color="auto"/>
        <w:left w:val="none" w:sz="0" w:space="0" w:color="auto"/>
        <w:bottom w:val="none" w:sz="0" w:space="0" w:color="auto"/>
        <w:right w:val="none" w:sz="0" w:space="0" w:color="auto"/>
      </w:divBdr>
    </w:div>
    <w:div w:id="206879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chart" Target="charts/chart8.xml"/><Relationship Id="rId3" Type="http://schemas.openxmlformats.org/officeDocument/2006/relationships/customXml" Target="../customXml/item3.xml"/><Relationship Id="rId21" Type="http://schemas.openxmlformats.org/officeDocument/2006/relationships/chart" Target="charts/chart3.xml"/><Relationship Id="rId34" Type="http://schemas.openxmlformats.org/officeDocument/2006/relationships/chart" Target="charts/chart16.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chart" Target="charts/chart1.xml"/><Relationship Id="rId25" Type="http://schemas.openxmlformats.org/officeDocument/2006/relationships/chart" Target="charts/chart7.xml"/><Relationship Id="rId33" Type="http://schemas.openxmlformats.org/officeDocument/2006/relationships/chart" Target="charts/chart1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hart" Target="charts/chart2.xml"/><Relationship Id="rId29"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hart" Target="charts/chart6.xml"/><Relationship Id="rId32" Type="http://schemas.openxmlformats.org/officeDocument/2006/relationships/chart" Target="charts/chart14.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hart" Target="charts/chart5.xml"/><Relationship Id="rId28" Type="http://schemas.openxmlformats.org/officeDocument/2006/relationships/chart" Target="charts/chart10.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chart" Target="charts/chart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chart" Target="charts/chart17.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lochman\Desktop\MPO\V&#353;echny%20MD%20od%201.8.2018_pracovn&#237;.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nb\Desktop\MPO\V&#253;sledky\Upraveno\Evaluace%20&#345;&#237;zen&#237;%20a%20administrace%20technick&#233;%20pomoci%20OP%20PIK%201%20-%20opice,%20upraveno.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nb\Desktop\MPO\V&#253;sledky\Upraveno\Evaluace%20&#345;&#237;zen&#237;%20a%20administrace%20technick&#233;%20pomoci%20OP%20PIK%201%20-%20opice,%20upraveno.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nb\Desktop\MPO\V&#253;sledky\Upraveno\Evaluace%20&#345;&#237;zen&#237;%20a%20administrace%20technick&#233;%20pomoci%20OP%20PIK%201%20-%20opice,%20upraveno.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nb\Desktop\MPO\V&#253;sledky\Upraveno\Evaluace%20&#345;&#237;zen&#237;%20a%20administrace%20technick&#233;%20pomoci%20OP%20PIK%201%20-%20opice,%20upraveno.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nb\Desktop\MPO\V&#253;sledky\Upraveno\Evaluace%20&#345;&#237;zen&#237;%20a%20administrace%20technick&#233;%20pomoci%20OP%20PIK%201%20-%20opice,%20upraveno.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nb\Desktop\MPO\V&#253;sledky\Upraveno\Evaluace%20&#345;&#237;zen&#237;%20a%20administrace%20technick&#233;%20pomoci%20OP%20PIK%201%20-%20opice,%20upraveno.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nb\Desktop\MPO\V&#253;sledky\Upraveno\Evaluace%20&#345;&#237;zen&#237;%20a%20administrace%20technick&#233;%20pomoci%20OP%20PIK%201%20-%20opice,%20upraveno.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nb\Desktop\MPO\V&#253;sledky\Upraveno\Evaluace%20&#345;&#237;zen&#237;%20a%20administrace%20technick&#233;%20pomoci%20OP%20PIK%201%20-%20opice,%20upraven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b\Desktop\MPO\V&#253;sledky\EO%2012\EO%2012,%20synt&#233;z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b\Desktop\MPO\V&#253;sledky\EO%2012\EO%2012,%20synt&#233;z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b\Desktop\MPO\V&#253;sledky\EO%2012\EO%2012,%20synt&#233;z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nb\Desktop\MPO\V&#253;sledky\EO%2012\EO%2012,%20synt&#233;z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nb\Desktop\MPO\V&#253;sledky\Upraveno\Evaluace%20&#345;&#237;zen&#237;%20a%20administrace%20technick&#233;%20pomoci%20OP%20PIK%201%20-%20opice,%20upraven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nb\Desktop\MPO\V&#253;sledky\Upraveno\Evaluace%20&#345;&#237;zen&#237;%20a%20administrace%20technick&#233;%20pomoci%20OP%20PIK%201%20-%20opice,%20upraven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nb\Desktop\MPO\V&#253;sledky\Upraveno\Evaluace%20&#345;&#237;zen&#237;%20a%20administrace%20technick&#233;%20pomoci%20OP%20PIK%201%20-%20opice,%20upraveno.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nb\Desktop\MPO\V&#253;sledky\Upraveno\Evaluace%20&#345;&#237;zen&#237;%20a%20administrace%20technick&#233;%20pomoci%20OP%20PIK%201%20-%20opice,%20upraven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trendline>
            <c:trendlineType val="linear"/>
            <c:dispRSqr val="1"/>
            <c:dispEq val="1"/>
            <c:trendlineLbl>
              <c:layout>
                <c:manualLayout>
                  <c:x val="6.9657925786799496E-2"/>
                  <c:y val="-0.4819604841061535"/>
                </c:manualLayout>
              </c:layout>
              <c:numFmt formatCode="General" sourceLinked="0"/>
            </c:trendlineLbl>
          </c:trendline>
          <c:cat>
            <c:numRef>
              <c:f>Datum!$B$3:$B$17</c:f>
              <c:numCache>
                <c:formatCode>[$-405]mmmm\ yy;@</c:formatCode>
                <c:ptCount val="15"/>
                <c:pt idx="0">
                  <c:v>43313</c:v>
                </c:pt>
                <c:pt idx="1">
                  <c:v>43344</c:v>
                </c:pt>
                <c:pt idx="2">
                  <c:v>43374</c:v>
                </c:pt>
                <c:pt idx="3">
                  <c:v>43405</c:v>
                </c:pt>
                <c:pt idx="4">
                  <c:v>43435</c:v>
                </c:pt>
                <c:pt idx="5">
                  <c:v>43466</c:v>
                </c:pt>
                <c:pt idx="6">
                  <c:v>43497</c:v>
                </c:pt>
                <c:pt idx="7">
                  <c:v>43525</c:v>
                </c:pt>
                <c:pt idx="8">
                  <c:v>43556</c:v>
                </c:pt>
                <c:pt idx="9">
                  <c:v>43586</c:v>
                </c:pt>
                <c:pt idx="10">
                  <c:v>43617</c:v>
                </c:pt>
                <c:pt idx="11">
                  <c:v>43647</c:v>
                </c:pt>
                <c:pt idx="12">
                  <c:v>43678</c:v>
                </c:pt>
                <c:pt idx="13">
                  <c:v>43709</c:v>
                </c:pt>
                <c:pt idx="14">
                  <c:v>43739</c:v>
                </c:pt>
              </c:numCache>
            </c:numRef>
          </c:cat>
          <c:val>
            <c:numRef>
              <c:f>Datum!$C$3:$C$17</c:f>
              <c:numCache>
                <c:formatCode>General</c:formatCode>
                <c:ptCount val="15"/>
                <c:pt idx="0">
                  <c:v>5</c:v>
                </c:pt>
                <c:pt idx="1">
                  <c:v>7</c:v>
                </c:pt>
                <c:pt idx="2">
                  <c:v>11</c:v>
                </c:pt>
                <c:pt idx="3">
                  <c:v>6</c:v>
                </c:pt>
                <c:pt idx="4">
                  <c:v>6</c:v>
                </c:pt>
                <c:pt idx="5">
                  <c:v>3</c:v>
                </c:pt>
                <c:pt idx="6">
                  <c:v>4</c:v>
                </c:pt>
                <c:pt idx="7">
                  <c:v>6</c:v>
                </c:pt>
                <c:pt idx="8">
                  <c:v>6</c:v>
                </c:pt>
                <c:pt idx="9">
                  <c:v>7</c:v>
                </c:pt>
                <c:pt idx="10">
                  <c:v>13</c:v>
                </c:pt>
                <c:pt idx="11">
                  <c:v>3</c:v>
                </c:pt>
                <c:pt idx="12">
                  <c:v>4</c:v>
                </c:pt>
                <c:pt idx="13">
                  <c:v>3</c:v>
                </c:pt>
                <c:pt idx="14">
                  <c:v>1</c:v>
                </c:pt>
              </c:numCache>
            </c:numRef>
          </c:val>
          <c:smooth val="0"/>
          <c:extLst>
            <c:ext xmlns:c16="http://schemas.microsoft.com/office/drawing/2014/chart" uri="{C3380CC4-5D6E-409C-BE32-E72D297353CC}">
              <c16:uniqueId val="{00000001-86F5-49DD-A6DA-74D61AD45A71}"/>
            </c:ext>
          </c:extLst>
        </c:ser>
        <c:dLbls>
          <c:showLegendKey val="0"/>
          <c:showVal val="0"/>
          <c:showCatName val="0"/>
          <c:showSerName val="0"/>
          <c:showPercent val="0"/>
          <c:showBubbleSize val="0"/>
        </c:dLbls>
        <c:smooth val="0"/>
        <c:axId val="86046976"/>
        <c:axId val="89302912"/>
      </c:lineChart>
      <c:dateAx>
        <c:axId val="86046976"/>
        <c:scaling>
          <c:orientation val="minMax"/>
        </c:scaling>
        <c:delete val="0"/>
        <c:axPos val="b"/>
        <c:numFmt formatCode="[$-405]mmmm\ yy;@" sourceLinked="1"/>
        <c:majorTickMark val="out"/>
        <c:minorTickMark val="none"/>
        <c:tickLblPos val="nextTo"/>
        <c:crossAx val="89302912"/>
        <c:crosses val="autoZero"/>
        <c:auto val="1"/>
        <c:lblOffset val="100"/>
        <c:baseTimeUnit val="months"/>
      </c:dateAx>
      <c:valAx>
        <c:axId val="89302912"/>
        <c:scaling>
          <c:orientation val="minMax"/>
        </c:scaling>
        <c:delete val="0"/>
        <c:axPos val="l"/>
        <c:title>
          <c:tx>
            <c:rich>
              <a:bodyPr rot="-5400000" vert="horz"/>
              <a:lstStyle/>
              <a:p>
                <a:pPr>
                  <a:defRPr/>
                </a:pPr>
                <a:r>
                  <a:rPr lang="cs-CZ"/>
                  <a:t>Počet změn</a:t>
                </a:r>
              </a:p>
            </c:rich>
          </c:tx>
          <c:overlay val="0"/>
        </c:title>
        <c:numFmt formatCode="General" sourceLinked="1"/>
        <c:majorTickMark val="out"/>
        <c:minorTickMark val="none"/>
        <c:tickLblPos val="nextTo"/>
        <c:crossAx val="86046976"/>
        <c:crosses val="autoZero"/>
        <c:crossBetween val="between"/>
      </c:valAx>
    </c:plotArea>
    <c:plotVisOnly val="1"/>
    <c:dispBlanksAs val="gap"/>
    <c:showDLblsOverMax val="0"/>
  </c:chart>
  <c:txPr>
    <a:bodyPr/>
    <a:lstStyle/>
    <a:p>
      <a:pPr>
        <a:defRPr sz="1000"/>
      </a:pPr>
      <a:endParaRPr lang="cs-CZ"/>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cs-CZ" sz="1000" b="0" i="0" baseline="0">
                <a:effectLst/>
              </a:rPr>
              <a:t>Jak celkově hodnotíte náročnost Vaší práce?</a:t>
            </a:r>
            <a:endParaRPr lang="cs-CZ" sz="1000">
              <a:effectLst/>
            </a:endParaRPr>
          </a:p>
        </c:rich>
      </c:tx>
      <c:overlay val="0"/>
      <c:spPr>
        <a:noFill/>
        <a:ln>
          <a:noFill/>
        </a:ln>
        <a:effectLst/>
      </c:spPr>
    </c:title>
    <c:autoTitleDeleted val="0"/>
    <c:plotArea>
      <c:layout/>
      <c:barChart>
        <c:barDir val="col"/>
        <c:grouping val="clustered"/>
        <c:varyColors val="0"/>
        <c:ser>
          <c:idx val="0"/>
          <c:order val="0"/>
          <c:tx>
            <c:strRef>
              <c:f>'3'!$C$44</c:f>
              <c:strCache>
                <c:ptCount val="1"/>
                <c:pt idx="0">
                  <c:v>Rozhodně náročná</c:v>
                </c:pt>
              </c:strCache>
            </c:strRef>
          </c:tx>
          <c:spPr>
            <a:solidFill>
              <a:schemeClr val="accent1"/>
            </a:solidFill>
            <a:ln>
              <a:noFill/>
            </a:ln>
            <a:effectLst/>
          </c:spPr>
          <c:invertIfNegative val="0"/>
          <c:cat>
            <c:strRef>
              <c:f>'3'!$B$45:$B$48</c:f>
              <c:strCache>
                <c:ptCount val="4"/>
                <c:pt idx="0">
                  <c:v>Sekce Kancelář vedoucího služebního úřadu / zástupce vedoucího služebního úřadu</c:v>
                </c:pt>
                <c:pt idx="1">
                  <c:v>Sekce konkurenceschopnosti</c:v>
                </c:pt>
                <c:pt idx="2">
                  <c:v>Sekce rozvoje podnikatelského prostředí</c:v>
                </c:pt>
                <c:pt idx="3">
                  <c:v>Sekce řízení a podpory fondů EU</c:v>
                </c:pt>
              </c:strCache>
            </c:strRef>
          </c:cat>
          <c:val>
            <c:numRef>
              <c:f>'3'!$C$45:$C$48</c:f>
              <c:numCache>
                <c:formatCode>General</c:formatCode>
                <c:ptCount val="4"/>
                <c:pt idx="0">
                  <c:v>3</c:v>
                </c:pt>
                <c:pt idx="1">
                  <c:v>0</c:v>
                </c:pt>
                <c:pt idx="2">
                  <c:v>2</c:v>
                </c:pt>
                <c:pt idx="3">
                  <c:v>0</c:v>
                </c:pt>
              </c:numCache>
            </c:numRef>
          </c:val>
          <c:extLst>
            <c:ext xmlns:c16="http://schemas.microsoft.com/office/drawing/2014/chart" uri="{C3380CC4-5D6E-409C-BE32-E72D297353CC}">
              <c16:uniqueId val="{00000000-6A4A-4D51-8F7E-33FFAD1C530D}"/>
            </c:ext>
          </c:extLst>
        </c:ser>
        <c:ser>
          <c:idx val="1"/>
          <c:order val="1"/>
          <c:tx>
            <c:strRef>
              <c:f>'3'!$D$44</c:f>
              <c:strCache>
                <c:ptCount val="1"/>
                <c:pt idx="0">
                  <c:v>Spíše náročná</c:v>
                </c:pt>
              </c:strCache>
            </c:strRef>
          </c:tx>
          <c:spPr>
            <a:solidFill>
              <a:schemeClr val="accent2"/>
            </a:solidFill>
            <a:ln>
              <a:noFill/>
            </a:ln>
            <a:effectLst/>
          </c:spPr>
          <c:invertIfNegative val="0"/>
          <c:cat>
            <c:strRef>
              <c:f>'3'!$B$45:$B$48</c:f>
              <c:strCache>
                <c:ptCount val="4"/>
                <c:pt idx="0">
                  <c:v>Sekce Kancelář vedoucího služebního úřadu / zástupce vedoucího služebního úřadu</c:v>
                </c:pt>
                <c:pt idx="1">
                  <c:v>Sekce konkurenceschopnosti</c:v>
                </c:pt>
                <c:pt idx="2">
                  <c:v>Sekce rozvoje podnikatelského prostředí</c:v>
                </c:pt>
                <c:pt idx="3">
                  <c:v>Sekce řízení a podpory fondů EU</c:v>
                </c:pt>
              </c:strCache>
            </c:strRef>
          </c:cat>
          <c:val>
            <c:numRef>
              <c:f>'3'!$D$45:$D$48</c:f>
              <c:numCache>
                <c:formatCode>General</c:formatCode>
                <c:ptCount val="4"/>
                <c:pt idx="0">
                  <c:v>1</c:v>
                </c:pt>
                <c:pt idx="1">
                  <c:v>2</c:v>
                </c:pt>
                <c:pt idx="2">
                  <c:v>5</c:v>
                </c:pt>
                <c:pt idx="3">
                  <c:v>3</c:v>
                </c:pt>
              </c:numCache>
            </c:numRef>
          </c:val>
          <c:extLst>
            <c:ext xmlns:c16="http://schemas.microsoft.com/office/drawing/2014/chart" uri="{C3380CC4-5D6E-409C-BE32-E72D297353CC}">
              <c16:uniqueId val="{00000001-6A4A-4D51-8F7E-33FFAD1C530D}"/>
            </c:ext>
          </c:extLst>
        </c:ser>
        <c:ser>
          <c:idx val="2"/>
          <c:order val="2"/>
          <c:tx>
            <c:strRef>
              <c:f>'3'!$E$44</c:f>
              <c:strCache>
                <c:ptCount val="1"/>
                <c:pt idx="0">
                  <c:v>Ani náročná, ani nenáročná</c:v>
                </c:pt>
              </c:strCache>
            </c:strRef>
          </c:tx>
          <c:spPr>
            <a:solidFill>
              <a:schemeClr val="accent3"/>
            </a:solidFill>
            <a:ln>
              <a:noFill/>
            </a:ln>
            <a:effectLst/>
          </c:spPr>
          <c:invertIfNegative val="0"/>
          <c:cat>
            <c:strRef>
              <c:f>'3'!$B$45:$B$48</c:f>
              <c:strCache>
                <c:ptCount val="4"/>
                <c:pt idx="0">
                  <c:v>Sekce Kancelář vedoucího služebního úřadu / zástupce vedoucího služebního úřadu</c:v>
                </c:pt>
                <c:pt idx="1">
                  <c:v>Sekce konkurenceschopnosti</c:v>
                </c:pt>
                <c:pt idx="2">
                  <c:v>Sekce rozvoje podnikatelského prostředí</c:v>
                </c:pt>
                <c:pt idx="3">
                  <c:v>Sekce řízení a podpory fondů EU</c:v>
                </c:pt>
              </c:strCache>
            </c:strRef>
          </c:cat>
          <c:val>
            <c:numRef>
              <c:f>'3'!$E$45:$E$48</c:f>
              <c:numCache>
                <c:formatCode>General</c:formatCode>
                <c:ptCount val="4"/>
                <c:pt idx="0">
                  <c:v>1</c:v>
                </c:pt>
                <c:pt idx="1">
                  <c:v>5</c:v>
                </c:pt>
                <c:pt idx="2">
                  <c:v>2</c:v>
                </c:pt>
                <c:pt idx="3">
                  <c:v>1</c:v>
                </c:pt>
              </c:numCache>
            </c:numRef>
          </c:val>
          <c:extLst>
            <c:ext xmlns:c16="http://schemas.microsoft.com/office/drawing/2014/chart" uri="{C3380CC4-5D6E-409C-BE32-E72D297353CC}">
              <c16:uniqueId val="{00000002-6A4A-4D51-8F7E-33FFAD1C530D}"/>
            </c:ext>
          </c:extLst>
        </c:ser>
        <c:ser>
          <c:idx val="3"/>
          <c:order val="3"/>
          <c:tx>
            <c:strRef>
              <c:f>'3'!$F$44</c:f>
              <c:strCache>
                <c:ptCount val="1"/>
                <c:pt idx="0">
                  <c:v>Nevím, nechci odpovědět</c:v>
                </c:pt>
              </c:strCache>
            </c:strRef>
          </c:tx>
          <c:spPr>
            <a:solidFill>
              <a:schemeClr val="accent4"/>
            </a:solidFill>
            <a:ln>
              <a:noFill/>
            </a:ln>
            <a:effectLst/>
          </c:spPr>
          <c:invertIfNegative val="0"/>
          <c:cat>
            <c:strRef>
              <c:f>'3'!$B$45:$B$48</c:f>
              <c:strCache>
                <c:ptCount val="4"/>
                <c:pt idx="0">
                  <c:v>Sekce Kancelář vedoucího služebního úřadu / zástupce vedoucího služebního úřadu</c:v>
                </c:pt>
                <c:pt idx="1">
                  <c:v>Sekce konkurenceschopnosti</c:v>
                </c:pt>
                <c:pt idx="2">
                  <c:v>Sekce rozvoje podnikatelského prostředí</c:v>
                </c:pt>
                <c:pt idx="3">
                  <c:v>Sekce řízení a podpory fondů EU</c:v>
                </c:pt>
              </c:strCache>
            </c:strRef>
          </c:cat>
          <c:val>
            <c:numRef>
              <c:f>'3'!$F$45:$F$48</c:f>
              <c:numCache>
                <c:formatCode>General</c:formatCode>
                <c:ptCount val="4"/>
                <c:pt idx="0">
                  <c:v>0</c:v>
                </c:pt>
                <c:pt idx="1">
                  <c:v>1</c:v>
                </c:pt>
                <c:pt idx="2">
                  <c:v>0</c:v>
                </c:pt>
                <c:pt idx="3">
                  <c:v>0</c:v>
                </c:pt>
              </c:numCache>
            </c:numRef>
          </c:val>
          <c:extLst>
            <c:ext xmlns:c16="http://schemas.microsoft.com/office/drawing/2014/chart" uri="{C3380CC4-5D6E-409C-BE32-E72D297353CC}">
              <c16:uniqueId val="{00000003-6A4A-4D51-8F7E-33FFAD1C530D}"/>
            </c:ext>
          </c:extLst>
        </c:ser>
        <c:dLbls>
          <c:showLegendKey val="0"/>
          <c:showVal val="0"/>
          <c:showCatName val="0"/>
          <c:showSerName val="0"/>
          <c:showPercent val="0"/>
          <c:showBubbleSize val="0"/>
        </c:dLbls>
        <c:gapWidth val="219"/>
        <c:axId val="110526848"/>
        <c:axId val="110528384"/>
      </c:barChart>
      <c:catAx>
        <c:axId val="110526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10528384"/>
        <c:crosses val="autoZero"/>
        <c:auto val="1"/>
        <c:lblAlgn val="ctr"/>
        <c:lblOffset val="100"/>
        <c:noMultiLvlLbl val="0"/>
      </c:catAx>
      <c:valAx>
        <c:axId val="1105283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Počet odpovědí</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10526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spc="0" baseline="0">
                <a:solidFill>
                  <a:sysClr val="windowText" lastClr="000000">
                    <a:lumMod val="65000"/>
                    <a:lumOff val="35000"/>
                  </a:sysClr>
                </a:solidFill>
                <a:latin typeface="+mn-lt"/>
                <a:ea typeface="+mn-ea"/>
                <a:cs typeface="+mn-cs"/>
              </a:defRPr>
            </a:pPr>
            <a:r>
              <a:rPr lang="cs-CZ" sz="1000" b="0" i="0" baseline="0">
                <a:effectLst/>
              </a:rPr>
              <a:t>Jak často se stává, že časová náročnost Vašich pracovních činností přesahuje fond pracovní doby (tedy musíte pracovat přesčas)?</a:t>
            </a:r>
            <a:endParaRPr lang="cs-CZ" sz="1000">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spc="0" baseline="0">
                <a:solidFill>
                  <a:sysClr val="windowText" lastClr="000000">
                    <a:lumMod val="65000"/>
                    <a:lumOff val="35000"/>
                  </a:sysClr>
                </a:solidFill>
                <a:latin typeface="+mn-lt"/>
                <a:ea typeface="+mn-ea"/>
                <a:cs typeface="+mn-cs"/>
              </a:defRPr>
            </a:pPr>
            <a:endParaRPr lang="cs-CZ" sz="1000"/>
          </a:p>
        </c:rich>
      </c:tx>
      <c:overlay val="0"/>
      <c:spPr>
        <a:noFill/>
        <a:ln>
          <a:noFill/>
        </a:ln>
        <a:effectLst/>
      </c:spPr>
    </c:title>
    <c:autoTitleDeleted val="0"/>
    <c:plotArea>
      <c:layout/>
      <c:barChart>
        <c:barDir val="col"/>
        <c:grouping val="clustered"/>
        <c:varyColors val="0"/>
        <c:ser>
          <c:idx val="0"/>
          <c:order val="0"/>
          <c:tx>
            <c:strRef>
              <c:f>'4'!$B$16</c:f>
              <c:strCache>
                <c:ptCount val="1"/>
                <c:pt idx="0">
                  <c:v>API</c:v>
                </c:pt>
              </c:strCache>
            </c:strRef>
          </c:tx>
          <c:spPr>
            <a:solidFill>
              <a:schemeClr val="accent1"/>
            </a:solidFill>
            <a:ln>
              <a:noFill/>
            </a:ln>
            <a:effectLst/>
          </c:spPr>
          <c:invertIfNegative val="0"/>
          <c:cat>
            <c:strRef>
              <c:f>'4'!$C$11:$G$11</c:f>
              <c:strCache>
                <c:ptCount val="5"/>
                <c:pt idx="0">
                  <c:v>Téměř neustále</c:v>
                </c:pt>
                <c:pt idx="1">
                  <c:v>Přibližně jednou týdně</c:v>
                </c:pt>
                <c:pt idx="2">
                  <c:v>Několikrát za měsíc</c:v>
                </c:pt>
                <c:pt idx="3">
                  <c:v>Zcela výjimečně</c:v>
                </c:pt>
                <c:pt idx="4">
                  <c:v>Nikdy</c:v>
                </c:pt>
              </c:strCache>
            </c:strRef>
          </c:cat>
          <c:val>
            <c:numRef>
              <c:f>'4'!$C$16:$G$16</c:f>
              <c:numCache>
                <c:formatCode>0.0</c:formatCode>
                <c:ptCount val="5"/>
                <c:pt idx="0">
                  <c:v>11.538461538461538</c:v>
                </c:pt>
                <c:pt idx="1">
                  <c:v>34.615384615384592</c:v>
                </c:pt>
                <c:pt idx="2">
                  <c:v>30.76923076923077</c:v>
                </c:pt>
                <c:pt idx="3">
                  <c:v>19.230769230769216</c:v>
                </c:pt>
                <c:pt idx="4">
                  <c:v>3.8461538461538463</c:v>
                </c:pt>
              </c:numCache>
            </c:numRef>
          </c:val>
          <c:extLst>
            <c:ext xmlns:c16="http://schemas.microsoft.com/office/drawing/2014/chart" uri="{C3380CC4-5D6E-409C-BE32-E72D297353CC}">
              <c16:uniqueId val="{00000000-2792-40A1-82AF-2415C74D90C4}"/>
            </c:ext>
          </c:extLst>
        </c:ser>
        <c:ser>
          <c:idx val="1"/>
          <c:order val="1"/>
          <c:tx>
            <c:strRef>
              <c:f>'4'!$B$17</c:f>
              <c:strCache>
                <c:ptCount val="1"/>
                <c:pt idx="0">
                  <c:v>MPO</c:v>
                </c:pt>
              </c:strCache>
            </c:strRef>
          </c:tx>
          <c:spPr>
            <a:solidFill>
              <a:schemeClr val="accent2"/>
            </a:solidFill>
            <a:ln>
              <a:noFill/>
            </a:ln>
            <a:effectLst/>
          </c:spPr>
          <c:invertIfNegative val="0"/>
          <c:cat>
            <c:strRef>
              <c:f>'4'!$C$11:$G$11</c:f>
              <c:strCache>
                <c:ptCount val="5"/>
                <c:pt idx="0">
                  <c:v>Téměř neustále</c:v>
                </c:pt>
                <c:pt idx="1">
                  <c:v>Přibližně jednou týdně</c:v>
                </c:pt>
                <c:pt idx="2">
                  <c:v>Několikrát za měsíc</c:v>
                </c:pt>
                <c:pt idx="3">
                  <c:v>Zcela výjimečně</c:v>
                </c:pt>
                <c:pt idx="4">
                  <c:v>Nikdy</c:v>
                </c:pt>
              </c:strCache>
            </c:strRef>
          </c:cat>
          <c:val>
            <c:numRef>
              <c:f>'4'!$C$17:$G$17</c:f>
              <c:numCache>
                <c:formatCode>0.0</c:formatCode>
                <c:ptCount val="5"/>
                <c:pt idx="0">
                  <c:v>14.035087719298252</c:v>
                </c:pt>
                <c:pt idx="1">
                  <c:v>22.807017543859647</c:v>
                </c:pt>
                <c:pt idx="2">
                  <c:v>33.333333333333329</c:v>
                </c:pt>
                <c:pt idx="3">
                  <c:v>26.315789473684209</c:v>
                </c:pt>
                <c:pt idx="4">
                  <c:v>3.5087719298245608</c:v>
                </c:pt>
              </c:numCache>
            </c:numRef>
          </c:val>
          <c:extLst>
            <c:ext xmlns:c16="http://schemas.microsoft.com/office/drawing/2014/chart" uri="{C3380CC4-5D6E-409C-BE32-E72D297353CC}">
              <c16:uniqueId val="{00000001-2792-40A1-82AF-2415C74D90C4}"/>
            </c:ext>
          </c:extLst>
        </c:ser>
        <c:ser>
          <c:idx val="2"/>
          <c:order val="2"/>
          <c:tx>
            <c:strRef>
              <c:f>'4'!$B$18</c:f>
              <c:strCache>
                <c:ptCount val="1"/>
                <c:pt idx="0">
                  <c:v>Celkem</c:v>
                </c:pt>
              </c:strCache>
            </c:strRef>
          </c:tx>
          <c:spPr>
            <a:solidFill>
              <a:schemeClr val="accent3"/>
            </a:solidFill>
            <a:ln>
              <a:noFill/>
            </a:ln>
            <a:effectLst/>
          </c:spPr>
          <c:invertIfNegative val="0"/>
          <c:cat>
            <c:strRef>
              <c:f>'4'!$C$11:$G$11</c:f>
              <c:strCache>
                <c:ptCount val="5"/>
                <c:pt idx="0">
                  <c:v>Téměř neustále</c:v>
                </c:pt>
                <c:pt idx="1">
                  <c:v>Přibližně jednou týdně</c:v>
                </c:pt>
                <c:pt idx="2">
                  <c:v>Několikrát za měsíc</c:v>
                </c:pt>
                <c:pt idx="3">
                  <c:v>Zcela výjimečně</c:v>
                </c:pt>
                <c:pt idx="4">
                  <c:v>Nikdy</c:v>
                </c:pt>
              </c:strCache>
            </c:strRef>
          </c:cat>
          <c:val>
            <c:numRef>
              <c:f>'4'!$C$18:$G$18</c:f>
              <c:numCache>
                <c:formatCode>0.0</c:formatCode>
                <c:ptCount val="5"/>
                <c:pt idx="0">
                  <c:v>13.253012048192771</c:v>
                </c:pt>
                <c:pt idx="1">
                  <c:v>26.506024096385538</c:v>
                </c:pt>
                <c:pt idx="2">
                  <c:v>32.53012048192771</c:v>
                </c:pt>
                <c:pt idx="3">
                  <c:v>24.096385542168676</c:v>
                </c:pt>
                <c:pt idx="4">
                  <c:v>3.6144578313253009</c:v>
                </c:pt>
              </c:numCache>
            </c:numRef>
          </c:val>
          <c:extLst>
            <c:ext xmlns:c16="http://schemas.microsoft.com/office/drawing/2014/chart" uri="{C3380CC4-5D6E-409C-BE32-E72D297353CC}">
              <c16:uniqueId val="{00000002-2792-40A1-82AF-2415C74D90C4}"/>
            </c:ext>
          </c:extLst>
        </c:ser>
        <c:dLbls>
          <c:showLegendKey val="0"/>
          <c:showVal val="0"/>
          <c:showCatName val="0"/>
          <c:showSerName val="0"/>
          <c:showPercent val="0"/>
          <c:showBubbleSize val="0"/>
        </c:dLbls>
        <c:gapWidth val="219"/>
        <c:overlap val="-27"/>
        <c:axId val="114050944"/>
        <c:axId val="114052480"/>
      </c:barChart>
      <c:catAx>
        <c:axId val="114050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14052480"/>
        <c:crosses val="autoZero"/>
        <c:auto val="1"/>
        <c:lblAlgn val="ctr"/>
        <c:lblOffset val="100"/>
        <c:noMultiLvlLbl val="0"/>
      </c:catAx>
      <c:valAx>
        <c:axId val="1140524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Podíl respondentů (%)</a:t>
                </a: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14050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'4'!$C$66</c:f>
              <c:strCache>
                <c:ptCount val="1"/>
                <c:pt idx="0">
                  <c:v>Téměř neustále</c:v>
                </c:pt>
              </c:strCache>
            </c:strRef>
          </c:tx>
          <c:spPr>
            <a:solidFill>
              <a:schemeClr val="accent1"/>
            </a:solidFill>
            <a:ln>
              <a:noFill/>
            </a:ln>
            <a:effectLst/>
          </c:spPr>
          <c:invertIfNegative val="0"/>
          <c:cat>
            <c:strRef>
              <c:f>'4'!$B$67:$B$70</c:f>
              <c:strCache>
                <c:ptCount val="4"/>
                <c:pt idx="0">
                  <c:v>Rozhodně náročná</c:v>
                </c:pt>
                <c:pt idx="1">
                  <c:v>Spíše náročná</c:v>
                </c:pt>
                <c:pt idx="2">
                  <c:v>Ani náročná, ani nenáročná</c:v>
                </c:pt>
                <c:pt idx="3">
                  <c:v>Nevím, nechci odpovědět</c:v>
                </c:pt>
              </c:strCache>
            </c:strRef>
          </c:cat>
          <c:val>
            <c:numRef>
              <c:f>'4'!$C$67:$C$70</c:f>
              <c:numCache>
                <c:formatCode>General</c:formatCode>
                <c:ptCount val="4"/>
                <c:pt idx="0">
                  <c:v>7</c:v>
                </c:pt>
                <c:pt idx="1">
                  <c:v>4</c:v>
                </c:pt>
                <c:pt idx="2">
                  <c:v>0</c:v>
                </c:pt>
                <c:pt idx="3">
                  <c:v>0</c:v>
                </c:pt>
              </c:numCache>
            </c:numRef>
          </c:val>
          <c:extLst>
            <c:ext xmlns:c16="http://schemas.microsoft.com/office/drawing/2014/chart" uri="{C3380CC4-5D6E-409C-BE32-E72D297353CC}">
              <c16:uniqueId val="{00000000-FA21-4B1E-BD98-4D98742B6660}"/>
            </c:ext>
          </c:extLst>
        </c:ser>
        <c:ser>
          <c:idx val="1"/>
          <c:order val="1"/>
          <c:tx>
            <c:strRef>
              <c:f>'4'!$D$66</c:f>
              <c:strCache>
                <c:ptCount val="1"/>
                <c:pt idx="0">
                  <c:v>Přibližně jednou týdně</c:v>
                </c:pt>
              </c:strCache>
            </c:strRef>
          </c:tx>
          <c:spPr>
            <a:solidFill>
              <a:schemeClr val="accent2"/>
            </a:solidFill>
            <a:ln>
              <a:noFill/>
            </a:ln>
            <a:effectLst/>
          </c:spPr>
          <c:invertIfNegative val="0"/>
          <c:cat>
            <c:strRef>
              <c:f>'4'!$B$67:$B$70</c:f>
              <c:strCache>
                <c:ptCount val="4"/>
                <c:pt idx="0">
                  <c:v>Rozhodně náročná</c:v>
                </c:pt>
                <c:pt idx="1">
                  <c:v>Spíše náročná</c:v>
                </c:pt>
                <c:pt idx="2">
                  <c:v>Ani náročná, ani nenáročná</c:v>
                </c:pt>
                <c:pt idx="3">
                  <c:v>Nevím, nechci odpovědět</c:v>
                </c:pt>
              </c:strCache>
            </c:strRef>
          </c:cat>
          <c:val>
            <c:numRef>
              <c:f>'4'!$D$67:$D$70</c:f>
              <c:numCache>
                <c:formatCode>General</c:formatCode>
                <c:ptCount val="4"/>
                <c:pt idx="0">
                  <c:v>7</c:v>
                </c:pt>
                <c:pt idx="1">
                  <c:v>10</c:v>
                </c:pt>
                <c:pt idx="2">
                  <c:v>5</c:v>
                </c:pt>
                <c:pt idx="3">
                  <c:v>0</c:v>
                </c:pt>
              </c:numCache>
            </c:numRef>
          </c:val>
          <c:extLst>
            <c:ext xmlns:c16="http://schemas.microsoft.com/office/drawing/2014/chart" uri="{C3380CC4-5D6E-409C-BE32-E72D297353CC}">
              <c16:uniqueId val="{00000001-FA21-4B1E-BD98-4D98742B6660}"/>
            </c:ext>
          </c:extLst>
        </c:ser>
        <c:ser>
          <c:idx val="2"/>
          <c:order val="2"/>
          <c:tx>
            <c:strRef>
              <c:f>'4'!$E$66</c:f>
              <c:strCache>
                <c:ptCount val="1"/>
                <c:pt idx="0">
                  <c:v>Několikrát za měsíc</c:v>
                </c:pt>
              </c:strCache>
            </c:strRef>
          </c:tx>
          <c:spPr>
            <a:solidFill>
              <a:schemeClr val="accent3"/>
            </a:solidFill>
            <a:ln>
              <a:noFill/>
            </a:ln>
            <a:effectLst/>
          </c:spPr>
          <c:invertIfNegative val="0"/>
          <c:cat>
            <c:strRef>
              <c:f>'4'!$B$67:$B$70</c:f>
              <c:strCache>
                <c:ptCount val="4"/>
                <c:pt idx="0">
                  <c:v>Rozhodně náročná</c:v>
                </c:pt>
                <c:pt idx="1">
                  <c:v>Spíše náročná</c:v>
                </c:pt>
                <c:pt idx="2">
                  <c:v>Ani náročná, ani nenáročná</c:v>
                </c:pt>
                <c:pt idx="3">
                  <c:v>Nevím, nechci odpovědět</c:v>
                </c:pt>
              </c:strCache>
            </c:strRef>
          </c:cat>
          <c:val>
            <c:numRef>
              <c:f>'4'!$E$67:$E$70</c:f>
              <c:numCache>
                <c:formatCode>General</c:formatCode>
                <c:ptCount val="4"/>
                <c:pt idx="0">
                  <c:v>6</c:v>
                </c:pt>
                <c:pt idx="1">
                  <c:v>13</c:v>
                </c:pt>
                <c:pt idx="2">
                  <c:v>7</c:v>
                </c:pt>
                <c:pt idx="3">
                  <c:v>1</c:v>
                </c:pt>
              </c:numCache>
            </c:numRef>
          </c:val>
          <c:extLst>
            <c:ext xmlns:c16="http://schemas.microsoft.com/office/drawing/2014/chart" uri="{C3380CC4-5D6E-409C-BE32-E72D297353CC}">
              <c16:uniqueId val="{00000002-FA21-4B1E-BD98-4D98742B6660}"/>
            </c:ext>
          </c:extLst>
        </c:ser>
        <c:ser>
          <c:idx val="3"/>
          <c:order val="3"/>
          <c:tx>
            <c:strRef>
              <c:f>'4'!$F$66</c:f>
              <c:strCache>
                <c:ptCount val="1"/>
                <c:pt idx="0">
                  <c:v>Zcela výjimečně</c:v>
                </c:pt>
              </c:strCache>
            </c:strRef>
          </c:tx>
          <c:spPr>
            <a:solidFill>
              <a:schemeClr val="accent4"/>
            </a:solidFill>
            <a:ln>
              <a:noFill/>
            </a:ln>
            <a:effectLst/>
          </c:spPr>
          <c:invertIfNegative val="0"/>
          <c:cat>
            <c:strRef>
              <c:f>'4'!$B$67:$B$70</c:f>
              <c:strCache>
                <c:ptCount val="4"/>
                <c:pt idx="0">
                  <c:v>Rozhodně náročná</c:v>
                </c:pt>
                <c:pt idx="1">
                  <c:v>Spíše náročná</c:v>
                </c:pt>
                <c:pt idx="2">
                  <c:v>Ani náročná, ani nenáročná</c:v>
                </c:pt>
                <c:pt idx="3">
                  <c:v>Nevím, nechci odpovědět</c:v>
                </c:pt>
              </c:strCache>
            </c:strRef>
          </c:cat>
          <c:val>
            <c:numRef>
              <c:f>'4'!$F$67:$F$70</c:f>
              <c:numCache>
                <c:formatCode>General</c:formatCode>
                <c:ptCount val="4"/>
                <c:pt idx="0">
                  <c:v>1</c:v>
                </c:pt>
                <c:pt idx="1">
                  <c:v>9</c:v>
                </c:pt>
                <c:pt idx="2">
                  <c:v>9</c:v>
                </c:pt>
                <c:pt idx="3">
                  <c:v>1</c:v>
                </c:pt>
              </c:numCache>
            </c:numRef>
          </c:val>
          <c:extLst>
            <c:ext xmlns:c16="http://schemas.microsoft.com/office/drawing/2014/chart" uri="{C3380CC4-5D6E-409C-BE32-E72D297353CC}">
              <c16:uniqueId val="{00000003-FA21-4B1E-BD98-4D98742B6660}"/>
            </c:ext>
          </c:extLst>
        </c:ser>
        <c:ser>
          <c:idx val="4"/>
          <c:order val="4"/>
          <c:tx>
            <c:strRef>
              <c:f>'4'!$G$66</c:f>
              <c:strCache>
                <c:ptCount val="1"/>
                <c:pt idx="0">
                  <c:v>Nikdy</c:v>
                </c:pt>
              </c:strCache>
            </c:strRef>
          </c:tx>
          <c:spPr>
            <a:solidFill>
              <a:schemeClr val="accent5"/>
            </a:solidFill>
            <a:ln>
              <a:noFill/>
            </a:ln>
            <a:effectLst/>
          </c:spPr>
          <c:invertIfNegative val="0"/>
          <c:cat>
            <c:strRef>
              <c:f>'4'!$B$67:$B$70</c:f>
              <c:strCache>
                <c:ptCount val="4"/>
                <c:pt idx="0">
                  <c:v>Rozhodně náročná</c:v>
                </c:pt>
                <c:pt idx="1">
                  <c:v>Spíše náročná</c:v>
                </c:pt>
                <c:pt idx="2">
                  <c:v>Ani náročná, ani nenáročná</c:v>
                </c:pt>
                <c:pt idx="3">
                  <c:v>Nevím, nechci odpovědět</c:v>
                </c:pt>
              </c:strCache>
            </c:strRef>
          </c:cat>
          <c:val>
            <c:numRef>
              <c:f>'4'!$G$67:$G$70</c:f>
              <c:numCache>
                <c:formatCode>General</c:formatCode>
                <c:ptCount val="4"/>
                <c:pt idx="0">
                  <c:v>0</c:v>
                </c:pt>
                <c:pt idx="1">
                  <c:v>0</c:v>
                </c:pt>
                <c:pt idx="2">
                  <c:v>2</c:v>
                </c:pt>
                <c:pt idx="3">
                  <c:v>1</c:v>
                </c:pt>
              </c:numCache>
            </c:numRef>
          </c:val>
          <c:extLst>
            <c:ext xmlns:c16="http://schemas.microsoft.com/office/drawing/2014/chart" uri="{C3380CC4-5D6E-409C-BE32-E72D297353CC}">
              <c16:uniqueId val="{00000004-FA21-4B1E-BD98-4D98742B6660}"/>
            </c:ext>
          </c:extLst>
        </c:ser>
        <c:dLbls>
          <c:showLegendKey val="0"/>
          <c:showVal val="0"/>
          <c:showCatName val="0"/>
          <c:showSerName val="0"/>
          <c:showPercent val="0"/>
          <c:showBubbleSize val="0"/>
        </c:dLbls>
        <c:gapWidth val="219"/>
        <c:overlap val="-27"/>
        <c:axId val="114133632"/>
        <c:axId val="114139520"/>
      </c:barChart>
      <c:catAx>
        <c:axId val="114133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14139520"/>
        <c:crosses val="autoZero"/>
        <c:auto val="1"/>
        <c:lblAlgn val="ctr"/>
        <c:lblOffset val="100"/>
        <c:noMultiLvlLbl val="0"/>
      </c:catAx>
      <c:valAx>
        <c:axId val="1141395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sz="1000" b="0" i="0" baseline="0">
                    <a:effectLst/>
                  </a:rPr>
                  <a:t>Počet odpovědí</a:t>
                </a:r>
                <a:endParaRPr lang="cs-CZ" sz="1000">
                  <a:effectLst/>
                </a:endParaRP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14133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cs-CZ" sz="1000" b="0" i="0" baseline="0">
                <a:effectLst/>
              </a:rPr>
              <a:t>Uveďte prosím, jak jste celkově spokojen(a) s prací pro implementační strukturu OP PIK.</a:t>
            </a:r>
            <a:endParaRPr lang="cs-CZ" sz="1000">
              <a:effectLst/>
            </a:endParaRPr>
          </a:p>
        </c:rich>
      </c:tx>
      <c:overlay val="0"/>
      <c:spPr>
        <a:noFill/>
        <a:ln>
          <a:noFill/>
        </a:ln>
        <a:effectLst/>
      </c:spPr>
    </c:title>
    <c:autoTitleDeleted val="0"/>
    <c:plotArea>
      <c:layout/>
      <c:barChart>
        <c:barDir val="col"/>
        <c:grouping val="clustered"/>
        <c:varyColors val="0"/>
        <c:ser>
          <c:idx val="0"/>
          <c:order val="0"/>
          <c:tx>
            <c:strRef>
              <c:f>'5'!$F$18</c:f>
              <c:strCache>
                <c:ptCount val="1"/>
                <c:pt idx="0">
                  <c:v>API</c:v>
                </c:pt>
              </c:strCache>
            </c:strRef>
          </c:tx>
          <c:spPr>
            <a:solidFill>
              <a:schemeClr val="accent1"/>
            </a:solidFill>
            <a:ln>
              <a:noFill/>
            </a:ln>
            <a:effectLst/>
          </c:spPr>
          <c:invertIfNegative val="0"/>
          <c:cat>
            <c:strRef>
              <c:f>'5'!$B$19:$B$24</c:f>
              <c:strCache>
                <c:ptCount val="6"/>
                <c:pt idx="0">
                  <c:v>Rozhodně spokojen</c:v>
                </c:pt>
                <c:pt idx="1">
                  <c:v>Spíše spokojen</c:v>
                </c:pt>
                <c:pt idx="2">
                  <c:v>Ani spokojen, ani nespokojen</c:v>
                </c:pt>
                <c:pt idx="3">
                  <c:v>Spíše nespokojen</c:v>
                </c:pt>
                <c:pt idx="4">
                  <c:v>Rozhodně nespokojen</c:v>
                </c:pt>
                <c:pt idx="5">
                  <c:v>Nevím, nechci odpovědět</c:v>
                </c:pt>
              </c:strCache>
            </c:strRef>
          </c:cat>
          <c:val>
            <c:numRef>
              <c:f>'5'!$F$19:$F$24</c:f>
              <c:numCache>
                <c:formatCode>0.0</c:formatCode>
                <c:ptCount val="6"/>
                <c:pt idx="0">
                  <c:v>15.384615384615385</c:v>
                </c:pt>
                <c:pt idx="1">
                  <c:v>65.384615384615415</c:v>
                </c:pt>
                <c:pt idx="2">
                  <c:v>15.384615384615385</c:v>
                </c:pt>
                <c:pt idx="3">
                  <c:v>0</c:v>
                </c:pt>
                <c:pt idx="4">
                  <c:v>0</c:v>
                </c:pt>
                <c:pt idx="5">
                  <c:v>3.8461538461538463</c:v>
                </c:pt>
              </c:numCache>
            </c:numRef>
          </c:val>
          <c:extLst>
            <c:ext xmlns:c16="http://schemas.microsoft.com/office/drawing/2014/chart" uri="{C3380CC4-5D6E-409C-BE32-E72D297353CC}">
              <c16:uniqueId val="{00000000-78CD-4B2D-9FF3-351BAE334C89}"/>
            </c:ext>
          </c:extLst>
        </c:ser>
        <c:ser>
          <c:idx val="1"/>
          <c:order val="1"/>
          <c:tx>
            <c:strRef>
              <c:f>'5'!$G$18</c:f>
              <c:strCache>
                <c:ptCount val="1"/>
                <c:pt idx="0">
                  <c:v>MPO</c:v>
                </c:pt>
              </c:strCache>
            </c:strRef>
          </c:tx>
          <c:spPr>
            <a:solidFill>
              <a:schemeClr val="accent2"/>
            </a:solidFill>
            <a:ln>
              <a:noFill/>
            </a:ln>
            <a:effectLst/>
          </c:spPr>
          <c:invertIfNegative val="0"/>
          <c:cat>
            <c:strRef>
              <c:f>'5'!$B$19:$B$24</c:f>
              <c:strCache>
                <c:ptCount val="6"/>
                <c:pt idx="0">
                  <c:v>Rozhodně spokojen</c:v>
                </c:pt>
                <c:pt idx="1">
                  <c:v>Spíše spokojen</c:v>
                </c:pt>
                <c:pt idx="2">
                  <c:v>Ani spokojen, ani nespokojen</c:v>
                </c:pt>
                <c:pt idx="3">
                  <c:v>Spíše nespokojen</c:v>
                </c:pt>
                <c:pt idx="4">
                  <c:v>Rozhodně nespokojen</c:v>
                </c:pt>
                <c:pt idx="5">
                  <c:v>Nevím, nechci odpovědět</c:v>
                </c:pt>
              </c:strCache>
            </c:strRef>
          </c:cat>
          <c:val>
            <c:numRef>
              <c:f>'5'!$G$19:$G$24</c:f>
              <c:numCache>
                <c:formatCode>0.0</c:formatCode>
                <c:ptCount val="6"/>
                <c:pt idx="0">
                  <c:v>19.298245614035086</c:v>
                </c:pt>
                <c:pt idx="1">
                  <c:v>45.614035087719294</c:v>
                </c:pt>
                <c:pt idx="2">
                  <c:v>12.280701754385964</c:v>
                </c:pt>
                <c:pt idx="3">
                  <c:v>15.789473684210519</c:v>
                </c:pt>
                <c:pt idx="4">
                  <c:v>1.7543859649122815</c:v>
                </c:pt>
                <c:pt idx="5">
                  <c:v>5.2631578947368416</c:v>
                </c:pt>
              </c:numCache>
            </c:numRef>
          </c:val>
          <c:extLst>
            <c:ext xmlns:c16="http://schemas.microsoft.com/office/drawing/2014/chart" uri="{C3380CC4-5D6E-409C-BE32-E72D297353CC}">
              <c16:uniqueId val="{00000001-78CD-4B2D-9FF3-351BAE334C89}"/>
            </c:ext>
          </c:extLst>
        </c:ser>
        <c:ser>
          <c:idx val="2"/>
          <c:order val="2"/>
          <c:tx>
            <c:strRef>
              <c:f>'5'!$H$18</c:f>
              <c:strCache>
                <c:ptCount val="1"/>
                <c:pt idx="0">
                  <c:v>Celkem</c:v>
                </c:pt>
              </c:strCache>
            </c:strRef>
          </c:tx>
          <c:spPr>
            <a:solidFill>
              <a:schemeClr val="accent3"/>
            </a:solidFill>
            <a:ln>
              <a:noFill/>
            </a:ln>
            <a:effectLst/>
          </c:spPr>
          <c:invertIfNegative val="0"/>
          <c:cat>
            <c:strRef>
              <c:f>'5'!$B$19:$B$24</c:f>
              <c:strCache>
                <c:ptCount val="6"/>
                <c:pt idx="0">
                  <c:v>Rozhodně spokojen</c:v>
                </c:pt>
                <c:pt idx="1">
                  <c:v>Spíše spokojen</c:v>
                </c:pt>
                <c:pt idx="2">
                  <c:v>Ani spokojen, ani nespokojen</c:v>
                </c:pt>
                <c:pt idx="3">
                  <c:v>Spíše nespokojen</c:v>
                </c:pt>
                <c:pt idx="4">
                  <c:v>Rozhodně nespokojen</c:v>
                </c:pt>
                <c:pt idx="5">
                  <c:v>Nevím, nechci odpovědět</c:v>
                </c:pt>
              </c:strCache>
            </c:strRef>
          </c:cat>
          <c:val>
            <c:numRef>
              <c:f>'5'!$H$19:$H$24</c:f>
              <c:numCache>
                <c:formatCode>0.0</c:formatCode>
                <c:ptCount val="6"/>
                <c:pt idx="0">
                  <c:v>18.072289156626507</c:v>
                </c:pt>
                <c:pt idx="1">
                  <c:v>51.80722891566262</c:v>
                </c:pt>
                <c:pt idx="2">
                  <c:v>13.253012048192771</c:v>
                </c:pt>
                <c:pt idx="3">
                  <c:v>10.8433734939759</c:v>
                </c:pt>
                <c:pt idx="4">
                  <c:v>1.2048192771084334</c:v>
                </c:pt>
                <c:pt idx="5">
                  <c:v>4.8192771084337371</c:v>
                </c:pt>
              </c:numCache>
            </c:numRef>
          </c:val>
          <c:extLst>
            <c:ext xmlns:c16="http://schemas.microsoft.com/office/drawing/2014/chart" uri="{C3380CC4-5D6E-409C-BE32-E72D297353CC}">
              <c16:uniqueId val="{00000002-78CD-4B2D-9FF3-351BAE334C89}"/>
            </c:ext>
          </c:extLst>
        </c:ser>
        <c:dLbls>
          <c:showLegendKey val="0"/>
          <c:showVal val="0"/>
          <c:showCatName val="0"/>
          <c:showSerName val="0"/>
          <c:showPercent val="0"/>
          <c:showBubbleSize val="0"/>
        </c:dLbls>
        <c:gapWidth val="219"/>
        <c:overlap val="-27"/>
        <c:axId val="116740096"/>
        <c:axId val="116741632"/>
      </c:barChart>
      <c:catAx>
        <c:axId val="116740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16741632"/>
        <c:crosses val="autoZero"/>
        <c:auto val="1"/>
        <c:lblAlgn val="ctr"/>
        <c:lblOffset val="100"/>
        <c:noMultiLvlLbl val="0"/>
      </c:catAx>
      <c:valAx>
        <c:axId val="1167416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Podíl respondentů (%)</a:t>
                </a: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16740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'6'!$H$3</c:f>
              <c:strCache>
                <c:ptCount val="1"/>
                <c:pt idx="0">
                  <c:v>API</c:v>
                </c:pt>
              </c:strCache>
            </c:strRef>
          </c:tx>
          <c:spPr>
            <a:solidFill>
              <a:schemeClr val="accent1"/>
            </a:solidFill>
            <a:ln>
              <a:noFill/>
            </a:ln>
            <a:effectLst/>
          </c:spPr>
          <c:invertIfNegative val="0"/>
          <c:cat>
            <c:strRef>
              <c:f>'6'!$G$4:$G$11</c:f>
              <c:strCache>
                <c:ptCount val="8"/>
                <c:pt idx="0">
                  <c:v>Rodinné a zdravotní důvody</c:v>
                </c:pt>
                <c:pt idx="1">
                  <c:v>Nedostatečné finanční ohodnocení a zaměstnanecké benefity</c:v>
                </c:pt>
                <c:pt idx="2">
                  <c:v>Obecná nespokojenost s náplní práce</c:v>
                </c:pt>
                <c:pt idx="3">
                  <c:v>Příliš vysoký objem práce</c:v>
                </c:pt>
                <c:pt idx="4">
                  <c:v>Monotónní a stále se opakující pracovní činnosti</c:v>
                </c:pt>
                <c:pt idx="5">
                  <c:v>Nespokojenost s řízením týmu a koordinací činností</c:v>
                </c:pt>
                <c:pt idx="6">
                  <c:v>Atmosféra na pracovišti, včetně vztahů s kolegy</c:v>
                </c:pt>
                <c:pt idx="7">
                  <c:v>Nedostatečná podpora v rámci týmu (vzdělání, metodická pomoc atp.)</c:v>
                </c:pt>
              </c:strCache>
            </c:strRef>
          </c:cat>
          <c:val>
            <c:numRef>
              <c:f>'6'!$H$4:$H$11</c:f>
              <c:numCache>
                <c:formatCode>0.0</c:formatCode>
                <c:ptCount val="8"/>
                <c:pt idx="0">
                  <c:v>6.4935064935064926</c:v>
                </c:pt>
                <c:pt idx="1">
                  <c:v>22.077922077922079</c:v>
                </c:pt>
                <c:pt idx="2">
                  <c:v>22.077922077922079</c:v>
                </c:pt>
                <c:pt idx="3">
                  <c:v>6.4935064935064926</c:v>
                </c:pt>
                <c:pt idx="4">
                  <c:v>22.077922077922079</c:v>
                </c:pt>
                <c:pt idx="5">
                  <c:v>7.7922077922077921</c:v>
                </c:pt>
                <c:pt idx="6">
                  <c:v>6.4935064935064926</c:v>
                </c:pt>
                <c:pt idx="7">
                  <c:v>6.4935064935064926</c:v>
                </c:pt>
              </c:numCache>
            </c:numRef>
          </c:val>
          <c:extLst>
            <c:ext xmlns:c16="http://schemas.microsoft.com/office/drawing/2014/chart" uri="{C3380CC4-5D6E-409C-BE32-E72D297353CC}">
              <c16:uniqueId val="{00000000-191B-4246-838E-E3EA8B91DE6A}"/>
            </c:ext>
          </c:extLst>
        </c:ser>
        <c:ser>
          <c:idx val="1"/>
          <c:order val="1"/>
          <c:tx>
            <c:strRef>
              <c:f>'6'!$I$3</c:f>
              <c:strCache>
                <c:ptCount val="1"/>
                <c:pt idx="0">
                  <c:v>MPO</c:v>
                </c:pt>
              </c:strCache>
            </c:strRef>
          </c:tx>
          <c:spPr>
            <a:solidFill>
              <a:schemeClr val="accent2"/>
            </a:solidFill>
            <a:ln>
              <a:noFill/>
            </a:ln>
            <a:effectLst/>
          </c:spPr>
          <c:invertIfNegative val="0"/>
          <c:cat>
            <c:strRef>
              <c:f>'6'!$G$4:$G$11</c:f>
              <c:strCache>
                <c:ptCount val="8"/>
                <c:pt idx="0">
                  <c:v>Rodinné a zdravotní důvody</c:v>
                </c:pt>
                <c:pt idx="1">
                  <c:v>Nedostatečné finanční ohodnocení a zaměstnanecké benefity</c:v>
                </c:pt>
                <c:pt idx="2">
                  <c:v>Obecná nespokojenost s náplní práce</c:v>
                </c:pt>
                <c:pt idx="3">
                  <c:v>Příliš vysoký objem práce</c:v>
                </c:pt>
                <c:pt idx="4">
                  <c:v>Monotónní a stále se opakující pracovní činnosti</c:v>
                </c:pt>
                <c:pt idx="5">
                  <c:v>Nespokojenost s řízením týmu a koordinací činností</c:v>
                </c:pt>
                <c:pt idx="6">
                  <c:v>Atmosféra na pracovišti, včetně vztahů s kolegy</c:v>
                </c:pt>
                <c:pt idx="7">
                  <c:v>Nedostatečná podpora v rámci týmu (vzdělání, metodická pomoc atp.)</c:v>
                </c:pt>
              </c:strCache>
            </c:strRef>
          </c:cat>
          <c:val>
            <c:numRef>
              <c:f>'6'!$I$4:$I$11</c:f>
              <c:numCache>
                <c:formatCode>0.0</c:formatCode>
                <c:ptCount val="8"/>
                <c:pt idx="0">
                  <c:v>9.0909090909090953</c:v>
                </c:pt>
                <c:pt idx="1">
                  <c:v>19.696969696969692</c:v>
                </c:pt>
                <c:pt idx="2">
                  <c:v>16.666666666666664</c:v>
                </c:pt>
                <c:pt idx="3">
                  <c:v>4.5454545454545459</c:v>
                </c:pt>
                <c:pt idx="4">
                  <c:v>8.3333333333333321</c:v>
                </c:pt>
                <c:pt idx="5">
                  <c:v>19.696969696969692</c:v>
                </c:pt>
                <c:pt idx="6">
                  <c:v>15.151515151515149</c:v>
                </c:pt>
                <c:pt idx="7">
                  <c:v>6.8181818181818157</c:v>
                </c:pt>
              </c:numCache>
            </c:numRef>
          </c:val>
          <c:extLst>
            <c:ext xmlns:c16="http://schemas.microsoft.com/office/drawing/2014/chart" uri="{C3380CC4-5D6E-409C-BE32-E72D297353CC}">
              <c16:uniqueId val="{00000001-191B-4246-838E-E3EA8B91DE6A}"/>
            </c:ext>
          </c:extLst>
        </c:ser>
        <c:ser>
          <c:idx val="2"/>
          <c:order val="2"/>
          <c:tx>
            <c:strRef>
              <c:f>'6'!$J$3</c:f>
              <c:strCache>
                <c:ptCount val="1"/>
                <c:pt idx="0">
                  <c:v>Celkem</c:v>
                </c:pt>
              </c:strCache>
            </c:strRef>
          </c:tx>
          <c:spPr>
            <a:solidFill>
              <a:schemeClr val="accent3"/>
            </a:solidFill>
            <a:ln>
              <a:noFill/>
            </a:ln>
            <a:effectLst/>
          </c:spPr>
          <c:invertIfNegative val="0"/>
          <c:cat>
            <c:strRef>
              <c:f>'6'!$G$4:$G$11</c:f>
              <c:strCache>
                <c:ptCount val="8"/>
                <c:pt idx="0">
                  <c:v>Rodinné a zdravotní důvody</c:v>
                </c:pt>
                <c:pt idx="1">
                  <c:v>Nedostatečné finanční ohodnocení a zaměstnanecké benefity</c:v>
                </c:pt>
                <c:pt idx="2">
                  <c:v>Obecná nespokojenost s náplní práce</c:v>
                </c:pt>
                <c:pt idx="3">
                  <c:v>Příliš vysoký objem práce</c:v>
                </c:pt>
                <c:pt idx="4">
                  <c:v>Monotónní a stále se opakující pracovní činnosti</c:v>
                </c:pt>
                <c:pt idx="5">
                  <c:v>Nespokojenost s řízením týmu a koordinací činností</c:v>
                </c:pt>
                <c:pt idx="6">
                  <c:v>Atmosféra na pracovišti, včetně vztahů s kolegy</c:v>
                </c:pt>
                <c:pt idx="7">
                  <c:v>Nedostatečná podpora v rámci týmu (vzdělání, metodická pomoc atp.)</c:v>
                </c:pt>
              </c:strCache>
            </c:strRef>
          </c:cat>
          <c:val>
            <c:numRef>
              <c:f>'6'!$J$4:$J$11</c:f>
              <c:numCache>
                <c:formatCode>0.0</c:formatCode>
                <c:ptCount val="8"/>
                <c:pt idx="0">
                  <c:v>8.1339712918660254</c:v>
                </c:pt>
                <c:pt idx="1">
                  <c:v>20.574162679425829</c:v>
                </c:pt>
                <c:pt idx="2">
                  <c:v>18.660287081339707</c:v>
                </c:pt>
                <c:pt idx="3">
                  <c:v>5.2631578947368416</c:v>
                </c:pt>
                <c:pt idx="4">
                  <c:v>13.397129186602868</c:v>
                </c:pt>
                <c:pt idx="5">
                  <c:v>15.311004784688999</c:v>
                </c:pt>
                <c:pt idx="6">
                  <c:v>11.961722488038278</c:v>
                </c:pt>
                <c:pt idx="7">
                  <c:v>6.6985645933014357</c:v>
                </c:pt>
              </c:numCache>
            </c:numRef>
          </c:val>
          <c:extLst>
            <c:ext xmlns:c16="http://schemas.microsoft.com/office/drawing/2014/chart" uri="{C3380CC4-5D6E-409C-BE32-E72D297353CC}">
              <c16:uniqueId val="{00000002-191B-4246-838E-E3EA8B91DE6A}"/>
            </c:ext>
          </c:extLst>
        </c:ser>
        <c:dLbls>
          <c:showLegendKey val="0"/>
          <c:showVal val="0"/>
          <c:showCatName val="0"/>
          <c:showSerName val="0"/>
          <c:showPercent val="0"/>
          <c:showBubbleSize val="0"/>
        </c:dLbls>
        <c:gapWidth val="219"/>
        <c:axId val="118027776"/>
        <c:axId val="118029312"/>
      </c:barChart>
      <c:catAx>
        <c:axId val="1180277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18029312"/>
        <c:crosses val="autoZero"/>
        <c:auto val="1"/>
        <c:lblAlgn val="ctr"/>
        <c:lblOffset val="100"/>
        <c:noMultiLvlLbl val="0"/>
      </c:catAx>
      <c:valAx>
        <c:axId val="11802931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Podíl (%)</a:t>
                </a: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18027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'7'!$F$3</c:f>
              <c:strCache>
                <c:ptCount val="1"/>
                <c:pt idx="0">
                  <c:v>API</c:v>
                </c:pt>
              </c:strCache>
            </c:strRef>
          </c:tx>
          <c:spPr>
            <a:solidFill>
              <a:schemeClr val="accent1"/>
            </a:solidFill>
            <a:ln>
              <a:noFill/>
            </a:ln>
            <a:effectLst/>
          </c:spPr>
          <c:invertIfNegative val="0"/>
          <c:cat>
            <c:strRef>
              <c:f>'7'!$B$4:$B$10</c:f>
              <c:strCache>
                <c:ptCount val="7"/>
                <c:pt idx="0">
                  <c:v>Nedostatečné finanční ohodnocení a zaměstnanecké benefity</c:v>
                </c:pt>
                <c:pt idx="1">
                  <c:v>Obecná nespokojenost s náplní práce</c:v>
                </c:pt>
                <c:pt idx="2">
                  <c:v>Příliš vysoký objem práce</c:v>
                </c:pt>
                <c:pt idx="3">
                  <c:v>Monotónní a stále se opakující pracovní činnosti</c:v>
                </c:pt>
                <c:pt idx="4">
                  <c:v>Nespokojenost s řízením týmu a koordinací činností</c:v>
                </c:pt>
                <c:pt idx="5">
                  <c:v>Atmosféra na pracovišti, včetně vztahů s kolegy</c:v>
                </c:pt>
                <c:pt idx="6">
                  <c:v>Nedostatečná podpora v rámci týmu (vzdělání, metodická pomoc atp.)</c:v>
                </c:pt>
              </c:strCache>
            </c:strRef>
          </c:cat>
          <c:val>
            <c:numRef>
              <c:f>'7'!$F$4:$F$10</c:f>
              <c:numCache>
                <c:formatCode>0.0</c:formatCode>
                <c:ptCount val="7"/>
                <c:pt idx="0">
                  <c:v>19.354838709677434</c:v>
                </c:pt>
                <c:pt idx="1">
                  <c:v>17.20430107526882</c:v>
                </c:pt>
                <c:pt idx="2">
                  <c:v>8.6021505376344098</c:v>
                </c:pt>
                <c:pt idx="3">
                  <c:v>11.827956989247316</c:v>
                </c:pt>
                <c:pt idx="4">
                  <c:v>11.827956989247316</c:v>
                </c:pt>
                <c:pt idx="5">
                  <c:v>21.50537634408602</c:v>
                </c:pt>
                <c:pt idx="6">
                  <c:v>9.6774193548387135</c:v>
                </c:pt>
              </c:numCache>
            </c:numRef>
          </c:val>
          <c:extLst>
            <c:ext xmlns:c16="http://schemas.microsoft.com/office/drawing/2014/chart" uri="{C3380CC4-5D6E-409C-BE32-E72D297353CC}">
              <c16:uniqueId val="{00000000-F668-45EB-BA34-035571EF0F80}"/>
            </c:ext>
          </c:extLst>
        </c:ser>
        <c:ser>
          <c:idx val="1"/>
          <c:order val="1"/>
          <c:tx>
            <c:strRef>
              <c:f>'7'!$G$3</c:f>
              <c:strCache>
                <c:ptCount val="1"/>
                <c:pt idx="0">
                  <c:v>MPO</c:v>
                </c:pt>
              </c:strCache>
            </c:strRef>
          </c:tx>
          <c:spPr>
            <a:solidFill>
              <a:schemeClr val="accent2"/>
            </a:solidFill>
            <a:ln>
              <a:noFill/>
            </a:ln>
            <a:effectLst/>
          </c:spPr>
          <c:invertIfNegative val="0"/>
          <c:cat>
            <c:strRef>
              <c:f>'7'!$B$4:$B$10</c:f>
              <c:strCache>
                <c:ptCount val="7"/>
                <c:pt idx="0">
                  <c:v>Nedostatečné finanční ohodnocení a zaměstnanecké benefity</c:v>
                </c:pt>
                <c:pt idx="1">
                  <c:v>Obecná nespokojenost s náplní práce</c:v>
                </c:pt>
                <c:pt idx="2">
                  <c:v>Příliš vysoký objem práce</c:v>
                </c:pt>
                <c:pt idx="3">
                  <c:v>Monotónní a stále se opakující pracovní činnosti</c:v>
                </c:pt>
                <c:pt idx="4">
                  <c:v>Nespokojenost s řízením týmu a koordinací činností</c:v>
                </c:pt>
                <c:pt idx="5">
                  <c:v>Atmosféra na pracovišti, včetně vztahů s kolegy</c:v>
                </c:pt>
                <c:pt idx="6">
                  <c:v>Nedostatečná podpora v rámci týmu (vzdělání, metodická pomoc atp.)</c:v>
                </c:pt>
              </c:strCache>
            </c:strRef>
          </c:cat>
          <c:val>
            <c:numRef>
              <c:f>'7'!$G$4:$G$10</c:f>
              <c:numCache>
                <c:formatCode>0.0</c:formatCode>
                <c:ptCount val="7"/>
                <c:pt idx="0">
                  <c:v>23.870967741935491</c:v>
                </c:pt>
                <c:pt idx="1">
                  <c:v>14.838709677419354</c:v>
                </c:pt>
                <c:pt idx="2">
                  <c:v>7.7419354838709697</c:v>
                </c:pt>
                <c:pt idx="3">
                  <c:v>8.3870967741935498</c:v>
                </c:pt>
                <c:pt idx="4">
                  <c:v>19.354838709677434</c:v>
                </c:pt>
                <c:pt idx="5">
                  <c:v>20</c:v>
                </c:pt>
                <c:pt idx="6">
                  <c:v>5.8064516129032278</c:v>
                </c:pt>
              </c:numCache>
            </c:numRef>
          </c:val>
          <c:extLst>
            <c:ext xmlns:c16="http://schemas.microsoft.com/office/drawing/2014/chart" uri="{C3380CC4-5D6E-409C-BE32-E72D297353CC}">
              <c16:uniqueId val="{00000001-F668-45EB-BA34-035571EF0F80}"/>
            </c:ext>
          </c:extLst>
        </c:ser>
        <c:ser>
          <c:idx val="2"/>
          <c:order val="2"/>
          <c:tx>
            <c:strRef>
              <c:f>'7'!$H$3</c:f>
              <c:strCache>
                <c:ptCount val="1"/>
                <c:pt idx="0">
                  <c:v>Celkem</c:v>
                </c:pt>
              </c:strCache>
            </c:strRef>
          </c:tx>
          <c:spPr>
            <a:solidFill>
              <a:schemeClr val="accent3"/>
            </a:solidFill>
            <a:ln>
              <a:noFill/>
            </a:ln>
            <a:effectLst/>
          </c:spPr>
          <c:invertIfNegative val="0"/>
          <c:cat>
            <c:strRef>
              <c:f>'7'!$B$4:$B$10</c:f>
              <c:strCache>
                <c:ptCount val="7"/>
                <c:pt idx="0">
                  <c:v>Nedostatečné finanční ohodnocení a zaměstnanecké benefity</c:v>
                </c:pt>
                <c:pt idx="1">
                  <c:v>Obecná nespokojenost s náplní práce</c:v>
                </c:pt>
                <c:pt idx="2">
                  <c:v>Příliš vysoký objem práce</c:v>
                </c:pt>
                <c:pt idx="3">
                  <c:v>Monotónní a stále se opakující pracovní činnosti</c:v>
                </c:pt>
                <c:pt idx="4">
                  <c:v>Nespokojenost s řízením týmu a koordinací činností</c:v>
                </c:pt>
                <c:pt idx="5">
                  <c:v>Atmosféra na pracovišti, včetně vztahů s kolegy</c:v>
                </c:pt>
                <c:pt idx="6">
                  <c:v>Nedostatečná podpora v rámci týmu (vzdělání, metodická pomoc atp.)</c:v>
                </c:pt>
              </c:strCache>
            </c:strRef>
          </c:cat>
          <c:val>
            <c:numRef>
              <c:f>'7'!$H$4:$H$10</c:f>
              <c:numCache>
                <c:formatCode>0.0</c:formatCode>
                <c:ptCount val="7"/>
                <c:pt idx="0">
                  <c:v>22.177419354838708</c:v>
                </c:pt>
                <c:pt idx="1">
                  <c:v>15.725806451612904</c:v>
                </c:pt>
                <c:pt idx="2">
                  <c:v>8.0645161290322598</c:v>
                </c:pt>
                <c:pt idx="3">
                  <c:v>9.6774193548387135</c:v>
                </c:pt>
                <c:pt idx="4">
                  <c:v>16.532258064516135</c:v>
                </c:pt>
                <c:pt idx="5">
                  <c:v>20.56451612903226</c:v>
                </c:pt>
                <c:pt idx="6">
                  <c:v>7.2580645161290311</c:v>
                </c:pt>
              </c:numCache>
            </c:numRef>
          </c:val>
          <c:extLst>
            <c:ext xmlns:c16="http://schemas.microsoft.com/office/drawing/2014/chart" uri="{C3380CC4-5D6E-409C-BE32-E72D297353CC}">
              <c16:uniqueId val="{00000002-F668-45EB-BA34-035571EF0F80}"/>
            </c:ext>
          </c:extLst>
        </c:ser>
        <c:dLbls>
          <c:showLegendKey val="0"/>
          <c:showVal val="0"/>
          <c:showCatName val="0"/>
          <c:showSerName val="0"/>
          <c:showPercent val="0"/>
          <c:showBubbleSize val="0"/>
        </c:dLbls>
        <c:gapWidth val="182"/>
        <c:axId val="98216576"/>
        <c:axId val="98230656"/>
      </c:barChart>
      <c:catAx>
        <c:axId val="982165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98230656"/>
        <c:crosses val="autoZero"/>
        <c:auto val="1"/>
        <c:lblAlgn val="ctr"/>
        <c:lblOffset val="100"/>
        <c:noMultiLvlLbl val="0"/>
      </c:catAx>
      <c:valAx>
        <c:axId val="9823065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Podíl (%)</a:t>
                </a: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98216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'13'!$C$126</c:f>
              <c:strCache>
                <c:ptCount val="1"/>
                <c:pt idx="0">
                  <c:v> Složitost přihlášení se na kurz a případných administrativních překážek pro účast na školení</c:v>
                </c:pt>
              </c:strCache>
            </c:strRef>
          </c:tx>
          <c:spPr>
            <a:solidFill>
              <a:schemeClr val="accent1"/>
            </a:solidFill>
            <a:ln>
              <a:noFill/>
            </a:ln>
            <a:effectLst/>
          </c:spPr>
          <c:invertIfNegative val="0"/>
          <c:cat>
            <c:strRef>
              <c:f>'13'!$B$127:$B$133</c:f>
              <c:strCache>
                <c:ptCount val="7"/>
                <c:pt idx="0">
                  <c:v>61000</c:v>
                </c:pt>
                <c:pt idx="1">
                  <c:v>61100</c:v>
                </c:pt>
                <c:pt idx="2">
                  <c:v>61200</c:v>
                </c:pt>
                <c:pt idx="3">
                  <c:v>61300</c:v>
                </c:pt>
                <c:pt idx="4">
                  <c:v>61400</c:v>
                </c:pt>
                <c:pt idx="5">
                  <c:v>61500</c:v>
                </c:pt>
                <c:pt idx="6">
                  <c:v>Ostatní</c:v>
                </c:pt>
              </c:strCache>
            </c:strRef>
          </c:cat>
          <c:val>
            <c:numRef>
              <c:f>'13'!$C$127:$C$133</c:f>
              <c:numCache>
                <c:formatCode>0.0</c:formatCode>
                <c:ptCount val="7"/>
                <c:pt idx="0">
                  <c:v>2.125</c:v>
                </c:pt>
                <c:pt idx="1">
                  <c:v>1.85</c:v>
                </c:pt>
                <c:pt idx="2">
                  <c:v>2.7142857142857144</c:v>
                </c:pt>
                <c:pt idx="3">
                  <c:v>2.6</c:v>
                </c:pt>
                <c:pt idx="4">
                  <c:v>1.7777777777777777</c:v>
                </c:pt>
                <c:pt idx="5">
                  <c:v>2.8333333333333335</c:v>
                </c:pt>
                <c:pt idx="6">
                  <c:v>2</c:v>
                </c:pt>
              </c:numCache>
            </c:numRef>
          </c:val>
          <c:extLst>
            <c:ext xmlns:c16="http://schemas.microsoft.com/office/drawing/2014/chart" uri="{C3380CC4-5D6E-409C-BE32-E72D297353CC}">
              <c16:uniqueId val="{00000000-47EE-4659-A47E-CD4E81C10D6B}"/>
            </c:ext>
          </c:extLst>
        </c:ser>
        <c:ser>
          <c:idx val="1"/>
          <c:order val="1"/>
          <c:tx>
            <c:strRef>
              <c:f>'13'!$D$126</c:f>
              <c:strCache>
                <c:ptCount val="1"/>
                <c:pt idx="0">
                  <c:v> Frekvence možného zapojení se do vzdělávání</c:v>
                </c:pt>
              </c:strCache>
            </c:strRef>
          </c:tx>
          <c:spPr>
            <a:solidFill>
              <a:schemeClr val="accent2"/>
            </a:solidFill>
            <a:ln>
              <a:noFill/>
            </a:ln>
            <a:effectLst/>
          </c:spPr>
          <c:invertIfNegative val="0"/>
          <c:cat>
            <c:strRef>
              <c:f>'13'!$B$127:$B$133</c:f>
              <c:strCache>
                <c:ptCount val="7"/>
                <c:pt idx="0">
                  <c:v>61000</c:v>
                </c:pt>
                <c:pt idx="1">
                  <c:v>61100</c:v>
                </c:pt>
                <c:pt idx="2">
                  <c:v>61200</c:v>
                </c:pt>
                <c:pt idx="3">
                  <c:v>61300</c:v>
                </c:pt>
                <c:pt idx="4">
                  <c:v>61400</c:v>
                </c:pt>
                <c:pt idx="5">
                  <c:v>61500</c:v>
                </c:pt>
                <c:pt idx="6">
                  <c:v>Ostatní</c:v>
                </c:pt>
              </c:strCache>
            </c:strRef>
          </c:cat>
          <c:val>
            <c:numRef>
              <c:f>'13'!$D$127:$D$133</c:f>
              <c:numCache>
                <c:formatCode>0.0</c:formatCode>
                <c:ptCount val="7"/>
                <c:pt idx="0">
                  <c:v>2.5</c:v>
                </c:pt>
                <c:pt idx="1">
                  <c:v>1.85</c:v>
                </c:pt>
                <c:pt idx="2">
                  <c:v>2.2857142857142856</c:v>
                </c:pt>
                <c:pt idx="3">
                  <c:v>2</c:v>
                </c:pt>
                <c:pt idx="4">
                  <c:v>2.5555555555555554</c:v>
                </c:pt>
                <c:pt idx="5">
                  <c:v>3.1666666666666665</c:v>
                </c:pt>
                <c:pt idx="6">
                  <c:v>3</c:v>
                </c:pt>
              </c:numCache>
            </c:numRef>
          </c:val>
          <c:extLst>
            <c:ext xmlns:c16="http://schemas.microsoft.com/office/drawing/2014/chart" uri="{C3380CC4-5D6E-409C-BE32-E72D297353CC}">
              <c16:uniqueId val="{00000001-47EE-4659-A47E-CD4E81C10D6B}"/>
            </c:ext>
          </c:extLst>
        </c:ser>
        <c:ser>
          <c:idx val="2"/>
          <c:order val="2"/>
          <c:tx>
            <c:strRef>
              <c:f>'13'!$E$126</c:f>
              <c:strCache>
                <c:ptCount val="1"/>
                <c:pt idx="0">
                  <c:v> Možnosti využít externí kurz (mimo kurzy nabízené MMR)</c:v>
                </c:pt>
              </c:strCache>
            </c:strRef>
          </c:tx>
          <c:spPr>
            <a:solidFill>
              <a:schemeClr val="accent3"/>
            </a:solidFill>
            <a:ln>
              <a:noFill/>
            </a:ln>
            <a:effectLst/>
          </c:spPr>
          <c:invertIfNegative val="0"/>
          <c:cat>
            <c:strRef>
              <c:f>'13'!$B$127:$B$133</c:f>
              <c:strCache>
                <c:ptCount val="7"/>
                <c:pt idx="0">
                  <c:v>61000</c:v>
                </c:pt>
                <c:pt idx="1">
                  <c:v>61100</c:v>
                </c:pt>
                <c:pt idx="2">
                  <c:v>61200</c:v>
                </c:pt>
                <c:pt idx="3">
                  <c:v>61300</c:v>
                </c:pt>
                <c:pt idx="4">
                  <c:v>61400</c:v>
                </c:pt>
                <c:pt idx="5">
                  <c:v>61500</c:v>
                </c:pt>
                <c:pt idx="6">
                  <c:v>Ostatní</c:v>
                </c:pt>
              </c:strCache>
            </c:strRef>
          </c:cat>
          <c:val>
            <c:numRef>
              <c:f>'13'!$E$127:$E$133</c:f>
              <c:numCache>
                <c:formatCode>0.0</c:formatCode>
                <c:ptCount val="7"/>
                <c:pt idx="0">
                  <c:v>2.75</c:v>
                </c:pt>
                <c:pt idx="1">
                  <c:v>2.0499999999999998</c:v>
                </c:pt>
                <c:pt idx="2">
                  <c:v>3.2857142857142856</c:v>
                </c:pt>
                <c:pt idx="3">
                  <c:v>1.6</c:v>
                </c:pt>
                <c:pt idx="4">
                  <c:v>2.3333333333333335</c:v>
                </c:pt>
                <c:pt idx="5">
                  <c:v>4</c:v>
                </c:pt>
                <c:pt idx="6">
                  <c:v>4</c:v>
                </c:pt>
              </c:numCache>
            </c:numRef>
          </c:val>
          <c:extLst>
            <c:ext xmlns:c16="http://schemas.microsoft.com/office/drawing/2014/chart" uri="{C3380CC4-5D6E-409C-BE32-E72D297353CC}">
              <c16:uniqueId val="{00000002-47EE-4659-A47E-CD4E81C10D6B}"/>
            </c:ext>
          </c:extLst>
        </c:ser>
        <c:dLbls>
          <c:showLegendKey val="0"/>
          <c:showVal val="0"/>
          <c:showCatName val="0"/>
          <c:showSerName val="0"/>
          <c:showPercent val="0"/>
          <c:showBubbleSize val="0"/>
        </c:dLbls>
        <c:gapWidth val="219"/>
        <c:overlap val="-27"/>
        <c:axId val="99328000"/>
        <c:axId val="99329536"/>
      </c:barChart>
      <c:catAx>
        <c:axId val="99328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99329536"/>
        <c:crosses val="autoZero"/>
        <c:auto val="1"/>
        <c:lblAlgn val="ctr"/>
        <c:lblOffset val="100"/>
        <c:noMultiLvlLbl val="0"/>
      </c:catAx>
      <c:valAx>
        <c:axId val="99329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sz="1000" b="0" i="0" baseline="0">
                    <a:effectLst/>
                  </a:rPr>
                  <a:t>Průměrné hodnocení</a:t>
                </a:r>
                <a:endParaRPr lang="cs-CZ" sz="1000">
                  <a:effectLst/>
                </a:endParaRP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99328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cs-CZ" sz="1000" b="0" i="0" baseline="0">
                <a:effectLst/>
              </a:rPr>
              <a:t>Nabízí zaměstnavatel celkově adekvátní školení pro agendu, které se věnujete?</a:t>
            </a:r>
            <a:endParaRPr lang="cs-CZ" sz="1000">
              <a:effectLst/>
            </a:endParaRPr>
          </a:p>
        </c:rich>
      </c:tx>
      <c:overlay val="0"/>
      <c:spPr>
        <a:noFill/>
        <a:ln>
          <a:noFill/>
        </a:ln>
        <a:effectLst/>
      </c:spPr>
    </c:title>
    <c:autoTitleDeleted val="0"/>
    <c:plotArea>
      <c:layout/>
      <c:barChart>
        <c:barDir val="col"/>
        <c:grouping val="clustered"/>
        <c:varyColors val="0"/>
        <c:ser>
          <c:idx val="0"/>
          <c:order val="0"/>
          <c:tx>
            <c:strRef>
              <c:f>'15'!$C$12</c:f>
              <c:strCache>
                <c:ptCount val="1"/>
                <c:pt idx="0">
                  <c:v>API</c:v>
                </c:pt>
              </c:strCache>
            </c:strRef>
          </c:tx>
          <c:spPr>
            <a:solidFill>
              <a:schemeClr val="accent1"/>
            </a:solidFill>
            <a:ln>
              <a:noFill/>
            </a:ln>
            <a:effectLst/>
          </c:spPr>
          <c:invertIfNegative val="0"/>
          <c:cat>
            <c:strRef>
              <c:f>'15'!$B$13:$B$17</c:f>
              <c:strCache>
                <c:ptCount val="5"/>
                <c:pt idx="0">
                  <c:v>Rozhodně ano</c:v>
                </c:pt>
                <c:pt idx="1">
                  <c:v>Spíše ano</c:v>
                </c:pt>
                <c:pt idx="2">
                  <c:v>Spíše ne</c:v>
                </c:pt>
                <c:pt idx="3">
                  <c:v>Rozhodně ne</c:v>
                </c:pt>
                <c:pt idx="4">
                  <c:v>Nevím, nechci odpovědět</c:v>
                </c:pt>
              </c:strCache>
            </c:strRef>
          </c:cat>
          <c:val>
            <c:numRef>
              <c:f>'15'!$C$13:$C$17</c:f>
              <c:numCache>
                <c:formatCode>0.0</c:formatCode>
                <c:ptCount val="5"/>
                <c:pt idx="0">
                  <c:v>8</c:v>
                </c:pt>
                <c:pt idx="1">
                  <c:v>52</c:v>
                </c:pt>
                <c:pt idx="2">
                  <c:v>32</c:v>
                </c:pt>
                <c:pt idx="3">
                  <c:v>0</c:v>
                </c:pt>
                <c:pt idx="4">
                  <c:v>8</c:v>
                </c:pt>
              </c:numCache>
            </c:numRef>
          </c:val>
          <c:extLst>
            <c:ext xmlns:c16="http://schemas.microsoft.com/office/drawing/2014/chart" uri="{C3380CC4-5D6E-409C-BE32-E72D297353CC}">
              <c16:uniqueId val="{00000000-8DD4-4FDD-B06D-E77F3DFA5A4E}"/>
            </c:ext>
          </c:extLst>
        </c:ser>
        <c:ser>
          <c:idx val="1"/>
          <c:order val="1"/>
          <c:tx>
            <c:strRef>
              <c:f>'15'!$D$12</c:f>
              <c:strCache>
                <c:ptCount val="1"/>
                <c:pt idx="0">
                  <c:v>MPO</c:v>
                </c:pt>
              </c:strCache>
            </c:strRef>
          </c:tx>
          <c:spPr>
            <a:solidFill>
              <a:schemeClr val="accent2"/>
            </a:solidFill>
            <a:ln>
              <a:noFill/>
            </a:ln>
            <a:effectLst/>
          </c:spPr>
          <c:invertIfNegative val="0"/>
          <c:cat>
            <c:strRef>
              <c:f>'15'!$B$13:$B$17</c:f>
              <c:strCache>
                <c:ptCount val="5"/>
                <c:pt idx="0">
                  <c:v>Rozhodně ano</c:v>
                </c:pt>
                <c:pt idx="1">
                  <c:v>Spíše ano</c:v>
                </c:pt>
                <c:pt idx="2">
                  <c:v>Spíše ne</c:v>
                </c:pt>
                <c:pt idx="3">
                  <c:v>Rozhodně ne</c:v>
                </c:pt>
                <c:pt idx="4">
                  <c:v>Nevím, nechci odpovědět</c:v>
                </c:pt>
              </c:strCache>
            </c:strRef>
          </c:cat>
          <c:val>
            <c:numRef>
              <c:f>'15'!$D$13:$D$17</c:f>
              <c:numCache>
                <c:formatCode>0.0</c:formatCode>
                <c:ptCount val="5"/>
                <c:pt idx="0">
                  <c:v>19.642857142857149</c:v>
                </c:pt>
                <c:pt idx="1">
                  <c:v>53.571428571428548</c:v>
                </c:pt>
                <c:pt idx="2">
                  <c:v>16.071428571428573</c:v>
                </c:pt>
                <c:pt idx="3">
                  <c:v>10.714285714285714</c:v>
                </c:pt>
                <c:pt idx="4">
                  <c:v>0</c:v>
                </c:pt>
              </c:numCache>
            </c:numRef>
          </c:val>
          <c:extLst>
            <c:ext xmlns:c16="http://schemas.microsoft.com/office/drawing/2014/chart" uri="{C3380CC4-5D6E-409C-BE32-E72D297353CC}">
              <c16:uniqueId val="{00000001-8DD4-4FDD-B06D-E77F3DFA5A4E}"/>
            </c:ext>
          </c:extLst>
        </c:ser>
        <c:ser>
          <c:idx val="2"/>
          <c:order val="2"/>
          <c:tx>
            <c:strRef>
              <c:f>'15'!$E$12</c:f>
              <c:strCache>
                <c:ptCount val="1"/>
                <c:pt idx="0">
                  <c:v>Celkem</c:v>
                </c:pt>
              </c:strCache>
            </c:strRef>
          </c:tx>
          <c:spPr>
            <a:solidFill>
              <a:schemeClr val="accent3"/>
            </a:solidFill>
            <a:ln>
              <a:noFill/>
            </a:ln>
            <a:effectLst/>
          </c:spPr>
          <c:invertIfNegative val="0"/>
          <c:cat>
            <c:strRef>
              <c:f>'15'!$B$13:$B$17</c:f>
              <c:strCache>
                <c:ptCount val="5"/>
                <c:pt idx="0">
                  <c:v>Rozhodně ano</c:v>
                </c:pt>
                <c:pt idx="1">
                  <c:v>Spíše ano</c:v>
                </c:pt>
                <c:pt idx="2">
                  <c:v>Spíše ne</c:v>
                </c:pt>
                <c:pt idx="3">
                  <c:v>Rozhodně ne</c:v>
                </c:pt>
                <c:pt idx="4">
                  <c:v>Nevím, nechci odpovědět</c:v>
                </c:pt>
              </c:strCache>
            </c:strRef>
          </c:cat>
          <c:val>
            <c:numRef>
              <c:f>'15'!$E$13:$E$17</c:f>
              <c:numCache>
                <c:formatCode>0.0</c:formatCode>
                <c:ptCount val="5"/>
                <c:pt idx="0">
                  <c:v>16.049382716049383</c:v>
                </c:pt>
                <c:pt idx="1">
                  <c:v>53.086419753086403</c:v>
                </c:pt>
                <c:pt idx="2">
                  <c:v>20.987654320987652</c:v>
                </c:pt>
                <c:pt idx="3">
                  <c:v>7.4074074074074066</c:v>
                </c:pt>
                <c:pt idx="4">
                  <c:v>2.4691358024691366</c:v>
                </c:pt>
              </c:numCache>
            </c:numRef>
          </c:val>
          <c:extLst>
            <c:ext xmlns:c16="http://schemas.microsoft.com/office/drawing/2014/chart" uri="{C3380CC4-5D6E-409C-BE32-E72D297353CC}">
              <c16:uniqueId val="{00000002-8DD4-4FDD-B06D-E77F3DFA5A4E}"/>
            </c:ext>
          </c:extLst>
        </c:ser>
        <c:dLbls>
          <c:showLegendKey val="0"/>
          <c:showVal val="0"/>
          <c:showCatName val="0"/>
          <c:showSerName val="0"/>
          <c:showPercent val="0"/>
          <c:showBubbleSize val="0"/>
        </c:dLbls>
        <c:gapWidth val="219"/>
        <c:overlap val="-27"/>
        <c:axId val="100009088"/>
        <c:axId val="100010624"/>
      </c:barChart>
      <c:catAx>
        <c:axId val="100009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00010624"/>
        <c:crosses val="autoZero"/>
        <c:auto val="1"/>
        <c:lblAlgn val="ctr"/>
        <c:lblOffset val="100"/>
        <c:noMultiLvlLbl val="0"/>
      </c:catAx>
      <c:valAx>
        <c:axId val="1000106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Podíl respondentů (%)</a:t>
                </a: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00009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'1'!$B$3:$B$10</c:f>
              <c:strCache>
                <c:ptCount val="8"/>
                <c:pt idx="0">
                  <c:v>definice zadání (předmět VŘ v zadávací dokumentaci)</c:v>
                </c:pt>
                <c:pt idx="1">
                  <c:v>nastavení výběrových kritérií</c:v>
                </c:pt>
                <c:pt idx="2">
                  <c:v>spolupráce s vybraným dodavatelem, akceptace výstupů atd.</c:v>
                </c:pt>
                <c:pt idx="3">
                  <c:v>zpracování zadávací dokumentace a všech příloh včetně návrhu smlouvy / obchodních podmínek s dodavatelem</c:v>
                </c:pt>
                <c:pt idx="4">
                  <c:v>administrace samotného průběhu výběrového řízení</c:v>
                </c:pt>
                <c:pt idx="5">
                  <c:v>formální hodnocení obdržených nabídek</c:v>
                </c:pt>
                <c:pt idx="6">
                  <c:v>řešení smluvních záležitostí</c:v>
                </c:pt>
                <c:pt idx="7">
                  <c:v>věcné hodnocení obdržených nabídek, tedy zejména bodování kvalitativních kritérií</c:v>
                </c:pt>
              </c:strCache>
            </c:strRef>
          </c:cat>
          <c:val>
            <c:numRef>
              <c:f>'1'!$C$3:$C$10</c:f>
              <c:numCache>
                <c:formatCode>General</c:formatCode>
                <c:ptCount val="8"/>
                <c:pt idx="0">
                  <c:v>3</c:v>
                </c:pt>
                <c:pt idx="1">
                  <c:v>3</c:v>
                </c:pt>
                <c:pt idx="2">
                  <c:v>3</c:v>
                </c:pt>
                <c:pt idx="3">
                  <c:v>2</c:v>
                </c:pt>
                <c:pt idx="4">
                  <c:v>4</c:v>
                </c:pt>
                <c:pt idx="5">
                  <c:v>2</c:v>
                </c:pt>
                <c:pt idx="6">
                  <c:v>3</c:v>
                </c:pt>
                <c:pt idx="7">
                  <c:v>4</c:v>
                </c:pt>
              </c:numCache>
            </c:numRef>
          </c:val>
          <c:extLst>
            <c:ext xmlns:c16="http://schemas.microsoft.com/office/drawing/2014/chart" uri="{C3380CC4-5D6E-409C-BE32-E72D297353CC}">
              <c16:uniqueId val="{00000000-5AF6-4E25-8A7C-9A6FF131FFCB}"/>
            </c:ext>
          </c:extLst>
        </c:ser>
        <c:dLbls>
          <c:showLegendKey val="0"/>
          <c:showVal val="0"/>
          <c:showCatName val="0"/>
          <c:showSerName val="0"/>
          <c:showPercent val="0"/>
          <c:showBubbleSize val="0"/>
        </c:dLbls>
        <c:gapWidth val="182"/>
        <c:axId val="89443328"/>
        <c:axId val="96854400"/>
      </c:barChart>
      <c:catAx>
        <c:axId val="894433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96854400"/>
        <c:crosses val="autoZero"/>
        <c:auto val="1"/>
        <c:lblAlgn val="l"/>
        <c:lblOffset val="100"/>
        <c:noMultiLvlLbl val="0"/>
      </c:catAx>
      <c:valAx>
        <c:axId val="9685440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Počet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89443328"/>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'16'!$B$2:$B$6</c:f>
              <c:strCache>
                <c:ptCount val="5"/>
                <c:pt idx="0">
                  <c:v>Rozhodně ano</c:v>
                </c:pt>
                <c:pt idx="1">
                  <c:v>Spíše ano</c:v>
                </c:pt>
                <c:pt idx="2">
                  <c:v>Spíše ne</c:v>
                </c:pt>
                <c:pt idx="3">
                  <c:v>Rozhodně ne</c:v>
                </c:pt>
                <c:pt idx="4">
                  <c:v>Nevím, nedokážu odpovědět</c:v>
                </c:pt>
              </c:strCache>
            </c:strRef>
          </c:cat>
          <c:val>
            <c:numRef>
              <c:f>'16'!$C$2:$C$6</c:f>
              <c:numCache>
                <c:formatCode>General</c:formatCode>
                <c:ptCount val="5"/>
                <c:pt idx="0">
                  <c:v>2</c:v>
                </c:pt>
                <c:pt idx="1">
                  <c:v>3</c:v>
                </c:pt>
                <c:pt idx="2">
                  <c:v>2</c:v>
                </c:pt>
                <c:pt idx="3">
                  <c:v>0</c:v>
                </c:pt>
                <c:pt idx="4">
                  <c:v>1</c:v>
                </c:pt>
              </c:numCache>
            </c:numRef>
          </c:val>
          <c:extLst>
            <c:ext xmlns:c16="http://schemas.microsoft.com/office/drawing/2014/chart" uri="{C3380CC4-5D6E-409C-BE32-E72D297353CC}">
              <c16:uniqueId val="{00000000-804B-4C24-BA06-D45ED2AE85EF}"/>
            </c:ext>
          </c:extLst>
        </c:ser>
        <c:dLbls>
          <c:showLegendKey val="0"/>
          <c:showVal val="0"/>
          <c:showCatName val="0"/>
          <c:showSerName val="0"/>
          <c:showPercent val="0"/>
          <c:showBubbleSize val="0"/>
        </c:dLbls>
        <c:gapWidth val="219"/>
        <c:overlap val="-27"/>
        <c:axId val="97978624"/>
        <c:axId val="97980800"/>
      </c:barChart>
      <c:catAx>
        <c:axId val="97978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97980800"/>
        <c:crosses val="autoZero"/>
        <c:auto val="1"/>
        <c:lblAlgn val="ctr"/>
        <c:lblOffset val="100"/>
        <c:noMultiLvlLbl val="0"/>
      </c:catAx>
      <c:valAx>
        <c:axId val="979808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Počet respondentů</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97978624"/>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'21'!$B$3:$B$7</c:f>
              <c:strCache>
                <c:ptCount val="5"/>
                <c:pt idx="0">
                  <c:v>zpracování zadávací dokumentace a všech příloh včetně návrhu smlouvy / obchodních podmínek s dodavatelem</c:v>
                </c:pt>
                <c:pt idx="1">
                  <c:v>administrace samotného průběhu výběrového řízení (zveřejnění dokumentů, zodpovídání dotazů administrace obdržených nabídek atd.)</c:v>
                </c:pt>
                <c:pt idx="2">
                  <c:v>formální hodnocení obdržených nabídek</c:v>
                </c:pt>
                <c:pt idx="3">
                  <c:v>věcné hodnocení obdržených nabídek</c:v>
                </c:pt>
                <c:pt idx="4">
                  <c:v>komunikace s uchazeči (např. dodání chybějících dokumentů k nabídce)</c:v>
                </c:pt>
              </c:strCache>
            </c:strRef>
          </c:cat>
          <c:val>
            <c:numRef>
              <c:f>'21'!$C$3:$C$7</c:f>
              <c:numCache>
                <c:formatCode>General</c:formatCode>
                <c:ptCount val="5"/>
                <c:pt idx="0">
                  <c:v>2</c:v>
                </c:pt>
                <c:pt idx="1">
                  <c:v>6</c:v>
                </c:pt>
                <c:pt idx="2">
                  <c:v>0</c:v>
                </c:pt>
                <c:pt idx="3">
                  <c:v>0</c:v>
                </c:pt>
                <c:pt idx="4">
                  <c:v>1</c:v>
                </c:pt>
              </c:numCache>
            </c:numRef>
          </c:val>
          <c:extLst>
            <c:ext xmlns:c16="http://schemas.microsoft.com/office/drawing/2014/chart" uri="{C3380CC4-5D6E-409C-BE32-E72D297353CC}">
              <c16:uniqueId val="{00000000-5E9B-4586-B369-6745BA7B8860}"/>
            </c:ext>
          </c:extLst>
        </c:ser>
        <c:dLbls>
          <c:showLegendKey val="0"/>
          <c:showVal val="0"/>
          <c:showCatName val="0"/>
          <c:showSerName val="0"/>
          <c:showPercent val="0"/>
          <c:showBubbleSize val="0"/>
        </c:dLbls>
        <c:gapWidth val="182"/>
        <c:axId val="110501248"/>
        <c:axId val="118022144"/>
      </c:barChart>
      <c:catAx>
        <c:axId val="110501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18022144"/>
        <c:crosses val="autoZero"/>
        <c:auto val="1"/>
        <c:lblAlgn val="ctr"/>
        <c:lblOffset val="100"/>
        <c:noMultiLvlLbl val="0"/>
      </c:catAx>
      <c:valAx>
        <c:axId val="11802214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Počet respondentů</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10501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'27'!$L$5</c:f>
              <c:strCache>
                <c:ptCount val="1"/>
                <c:pt idx="0">
                  <c:v>Rozhodně pozitivně</c:v>
                </c:pt>
              </c:strCache>
            </c:strRef>
          </c:tx>
          <c:spPr>
            <a:solidFill>
              <a:schemeClr val="accent1"/>
            </a:solidFill>
            <a:ln>
              <a:noFill/>
            </a:ln>
            <a:effectLst/>
          </c:spPr>
          <c:invertIfNegative val="0"/>
          <c:cat>
            <c:strRef>
              <c:f>'27'!$K$6:$K$10</c:f>
              <c:strCache>
                <c:ptCount val="5"/>
                <c:pt idx="0">
                  <c:v>Jednoznačnost a detailnost formulovaného zadání</c:v>
                </c:pt>
                <c:pt idx="1">
                  <c:v>Přísnost kvalifikačních kritérií</c:v>
                </c:pt>
                <c:pt idx="2">
                  <c:v>Jednoznačnost smluvních ujednání, vč. sankcí za porušení</c:v>
                </c:pt>
                <c:pt idx="3">
                  <c:v>Jednoznačnost hodnotících kritérií a jejich váha</c:v>
                </c:pt>
                <c:pt idx="4">
                  <c:v>Kvalita komunikace s dodavatelem při realizaci</c:v>
                </c:pt>
              </c:strCache>
            </c:strRef>
          </c:cat>
          <c:val>
            <c:numRef>
              <c:f>'27'!$L$6:$L$10</c:f>
              <c:numCache>
                <c:formatCode>General</c:formatCode>
                <c:ptCount val="5"/>
                <c:pt idx="0">
                  <c:v>4</c:v>
                </c:pt>
                <c:pt idx="1">
                  <c:v>2</c:v>
                </c:pt>
                <c:pt idx="2">
                  <c:v>1</c:v>
                </c:pt>
                <c:pt idx="3">
                  <c:v>4</c:v>
                </c:pt>
                <c:pt idx="4">
                  <c:v>4</c:v>
                </c:pt>
              </c:numCache>
            </c:numRef>
          </c:val>
          <c:extLst>
            <c:ext xmlns:c16="http://schemas.microsoft.com/office/drawing/2014/chart" uri="{C3380CC4-5D6E-409C-BE32-E72D297353CC}">
              <c16:uniqueId val="{00000000-E530-4F7B-A9B3-807486BC92C7}"/>
            </c:ext>
          </c:extLst>
        </c:ser>
        <c:ser>
          <c:idx val="1"/>
          <c:order val="1"/>
          <c:tx>
            <c:strRef>
              <c:f>'27'!$M$5</c:f>
              <c:strCache>
                <c:ptCount val="1"/>
                <c:pt idx="0">
                  <c:v>Spíše pozitivně</c:v>
                </c:pt>
              </c:strCache>
            </c:strRef>
          </c:tx>
          <c:spPr>
            <a:solidFill>
              <a:schemeClr val="accent2"/>
            </a:solidFill>
            <a:ln>
              <a:noFill/>
            </a:ln>
            <a:effectLst/>
          </c:spPr>
          <c:invertIfNegative val="0"/>
          <c:cat>
            <c:strRef>
              <c:f>'27'!$K$6:$K$10</c:f>
              <c:strCache>
                <c:ptCount val="5"/>
                <c:pt idx="0">
                  <c:v>Jednoznačnost a detailnost formulovaného zadání</c:v>
                </c:pt>
                <c:pt idx="1">
                  <c:v>Přísnost kvalifikačních kritérií</c:v>
                </c:pt>
                <c:pt idx="2">
                  <c:v>Jednoznačnost smluvních ujednání, vč. sankcí za porušení</c:v>
                </c:pt>
                <c:pt idx="3">
                  <c:v>Jednoznačnost hodnotících kritérií a jejich váha</c:v>
                </c:pt>
                <c:pt idx="4">
                  <c:v>Kvalita komunikace s dodavatelem při realizaci</c:v>
                </c:pt>
              </c:strCache>
            </c:strRef>
          </c:cat>
          <c:val>
            <c:numRef>
              <c:f>'27'!$M$6:$M$10</c:f>
              <c:numCache>
                <c:formatCode>General</c:formatCode>
                <c:ptCount val="5"/>
                <c:pt idx="0">
                  <c:v>4</c:v>
                </c:pt>
                <c:pt idx="1">
                  <c:v>3</c:v>
                </c:pt>
                <c:pt idx="2">
                  <c:v>4</c:v>
                </c:pt>
                <c:pt idx="3">
                  <c:v>0</c:v>
                </c:pt>
                <c:pt idx="4">
                  <c:v>2</c:v>
                </c:pt>
              </c:numCache>
            </c:numRef>
          </c:val>
          <c:extLst>
            <c:ext xmlns:c16="http://schemas.microsoft.com/office/drawing/2014/chart" uri="{C3380CC4-5D6E-409C-BE32-E72D297353CC}">
              <c16:uniqueId val="{00000001-E530-4F7B-A9B3-807486BC92C7}"/>
            </c:ext>
          </c:extLst>
        </c:ser>
        <c:ser>
          <c:idx val="2"/>
          <c:order val="2"/>
          <c:tx>
            <c:strRef>
              <c:f>'27'!$N$5</c:f>
              <c:strCache>
                <c:ptCount val="1"/>
                <c:pt idx="0">
                  <c:v>Ani pozitivně, ani negativně</c:v>
                </c:pt>
              </c:strCache>
            </c:strRef>
          </c:tx>
          <c:spPr>
            <a:solidFill>
              <a:schemeClr val="accent3"/>
            </a:solidFill>
            <a:ln>
              <a:noFill/>
            </a:ln>
            <a:effectLst/>
          </c:spPr>
          <c:invertIfNegative val="0"/>
          <c:cat>
            <c:strRef>
              <c:f>'27'!$K$6:$K$10</c:f>
              <c:strCache>
                <c:ptCount val="5"/>
                <c:pt idx="0">
                  <c:v>Jednoznačnost a detailnost formulovaného zadání</c:v>
                </c:pt>
                <c:pt idx="1">
                  <c:v>Přísnost kvalifikačních kritérií</c:v>
                </c:pt>
                <c:pt idx="2">
                  <c:v>Jednoznačnost smluvních ujednání, vč. sankcí za porušení</c:v>
                </c:pt>
                <c:pt idx="3">
                  <c:v>Jednoznačnost hodnotících kritérií a jejich váha</c:v>
                </c:pt>
                <c:pt idx="4">
                  <c:v>Kvalita komunikace s dodavatelem při realizaci</c:v>
                </c:pt>
              </c:strCache>
            </c:strRef>
          </c:cat>
          <c:val>
            <c:numRef>
              <c:f>'27'!$N$6:$N$10</c:f>
              <c:numCache>
                <c:formatCode>General</c:formatCode>
                <c:ptCount val="5"/>
                <c:pt idx="0">
                  <c:v>0</c:v>
                </c:pt>
                <c:pt idx="1">
                  <c:v>2</c:v>
                </c:pt>
                <c:pt idx="2">
                  <c:v>3</c:v>
                </c:pt>
                <c:pt idx="3">
                  <c:v>2</c:v>
                </c:pt>
                <c:pt idx="4">
                  <c:v>1</c:v>
                </c:pt>
              </c:numCache>
            </c:numRef>
          </c:val>
          <c:extLst>
            <c:ext xmlns:c16="http://schemas.microsoft.com/office/drawing/2014/chart" uri="{C3380CC4-5D6E-409C-BE32-E72D297353CC}">
              <c16:uniqueId val="{00000002-E530-4F7B-A9B3-807486BC92C7}"/>
            </c:ext>
          </c:extLst>
        </c:ser>
        <c:ser>
          <c:idx val="3"/>
          <c:order val="3"/>
          <c:tx>
            <c:strRef>
              <c:f>'27'!$O$5</c:f>
              <c:strCache>
                <c:ptCount val="1"/>
                <c:pt idx="0">
                  <c:v>Spíše negativně</c:v>
                </c:pt>
              </c:strCache>
            </c:strRef>
          </c:tx>
          <c:spPr>
            <a:solidFill>
              <a:schemeClr val="accent4"/>
            </a:solidFill>
            <a:ln>
              <a:noFill/>
            </a:ln>
            <a:effectLst/>
          </c:spPr>
          <c:invertIfNegative val="0"/>
          <c:cat>
            <c:strRef>
              <c:f>'27'!$K$6:$K$10</c:f>
              <c:strCache>
                <c:ptCount val="5"/>
                <c:pt idx="0">
                  <c:v>Jednoznačnost a detailnost formulovaného zadání</c:v>
                </c:pt>
                <c:pt idx="1">
                  <c:v>Přísnost kvalifikačních kritérií</c:v>
                </c:pt>
                <c:pt idx="2">
                  <c:v>Jednoznačnost smluvních ujednání, vč. sankcí za porušení</c:v>
                </c:pt>
                <c:pt idx="3">
                  <c:v>Jednoznačnost hodnotících kritérií a jejich váha</c:v>
                </c:pt>
                <c:pt idx="4">
                  <c:v>Kvalita komunikace s dodavatelem při realizaci</c:v>
                </c:pt>
              </c:strCache>
            </c:strRef>
          </c:cat>
          <c:val>
            <c:numRef>
              <c:f>'27'!$O$6:$O$10</c:f>
              <c:numCache>
                <c:formatCode>General</c:formatCode>
                <c:ptCount val="5"/>
                <c:pt idx="0">
                  <c:v>0</c:v>
                </c:pt>
                <c:pt idx="1">
                  <c:v>1</c:v>
                </c:pt>
                <c:pt idx="2">
                  <c:v>0</c:v>
                </c:pt>
                <c:pt idx="3">
                  <c:v>2</c:v>
                </c:pt>
                <c:pt idx="4">
                  <c:v>1</c:v>
                </c:pt>
              </c:numCache>
            </c:numRef>
          </c:val>
          <c:extLst>
            <c:ext xmlns:c16="http://schemas.microsoft.com/office/drawing/2014/chart" uri="{C3380CC4-5D6E-409C-BE32-E72D297353CC}">
              <c16:uniqueId val="{00000003-E530-4F7B-A9B3-807486BC92C7}"/>
            </c:ext>
          </c:extLst>
        </c:ser>
        <c:ser>
          <c:idx val="4"/>
          <c:order val="4"/>
          <c:tx>
            <c:strRef>
              <c:f>'27'!$P$5</c:f>
              <c:strCache>
                <c:ptCount val="1"/>
                <c:pt idx="0">
                  <c:v>Rozhodně negativně</c:v>
                </c:pt>
              </c:strCache>
            </c:strRef>
          </c:tx>
          <c:spPr>
            <a:solidFill>
              <a:schemeClr val="accent5"/>
            </a:solidFill>
            <a:ln>
              <a:noFill/>
            </a:ln>
            <a:effectLst/>
          </c:spPr>
          <c:invertIfNegative val="0"/>
          <c:cat>
            <c:strRef>
              <c:f>'27'!$K$6:$K$10</c:f>
              <c:strCache>
                <c:ptCount val="5"/>
                <c:pt idx="0">
                  <c:v>Jednoznačnost a detailnost formulovaného zadání</c:v>
                </c:pt>
                <c:pt idx="1">
                  <c:v>Přísnost kvalifikačních kritérií</c:v>
                </c:pt>
                <c:pt idx="2">
                  <c:v>Jednoznačnost smluvních ujednání, vč. sankcí za porušení</c:v>
                </c:pt>
                <c:pt idx="3">
                  <c:v>Jednoznačnost hodnotících kritérií a jejich váha</c:v>
                </c:pt>
                <c:pt idx="4">
                  <c:v>Kvalita komunikace s dodavatelem při realizaci</c:v>
                </c:pt>
              </c:strCache>
            </c:strRef>
          </c:cat>
          <c:val>
            <c:numRef>
              <c:f>'27'!$P$6:$P$10</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4-E530-4F7B-A9B3-807486BC92C7}"/>
            </c:ext>
          </c:extLst>
        </c:ser>
        <c:dLbls>
          <c:showLegendKey val="0"/>
          <c:showVal val="0"/>
          <c:showCatName val="0"/>
          <c:showSerName val="0"/>
          <c:showPercent val="0"/>
          <c:showBubbleSize val="0"/>
        </c:dLbls>
        <c:gapWidth val="150"/>
        <c:overlap val="100"/>
        <c:axId val="96832896"/>
        <c:axId val="96932992"/>
      </c:barChart>
      <c:catAx>
        <c:axId val="968328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96932992"/>
        <c:crosses val="autoZero"/>
        <c:auto val="1"/>
        <c:lblAlgn val="ctr"/>
        <c:lblOffset val="100"/>
        <c:noMultiLvlLbl val="0"/>
      </c:catAx>
      <c:valAx>
        <c:axId val="96932992"/>
        <c:scaling>
          <c:orientation val="minMax"/>
          <c:max val="8"/>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Počet respondentů</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96832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'1'!$C$121</c:f>
              <c:strCache>
                <c:ptCount val="1"/>
                <c:pt idx="0">
                  <c:v>API</c:v>
                </c:pt>
              </c:strCache>
            </c:strRef>
          </c:tx>
          <c:spPr>
            <a:solidFill>
              <a:schemeClr val="accent1"/>
            </a:solidFill>
            <a:ln>
              <a:noFill/>
            </a:ln>
            <a:effectLst/>
          </c:spPr>
          <c:invertIfNegative val="0"/>
          <c:cat>
            <c:strRef>
              <c:f>'1'!$B$122:$B$133</c:f>
              <c:strCache>
                <c:ptCount val="12"/>
                <c:pt idx="0">
                  <c:v>Koordinace pracovních činností a vedení týmu</c:v>
                </c:pt>
                <c:pt idx="1">
                  <c:v>Metodická podpora, odborné vedení činnosti</c:v>
                </c:pt>
                <c:pt idx="2">
                  <c:v>Pracovní prostředí</c:v>
                </c:pt>
                <c:pt idx="3">
                  <c:v>Technické vybavení</c:v>
                </c:pt>
                <c:pt idx="4">
                  <c:v>Fungování týmu, pracovní kolektiv</c:v>
                </c:pt>
                <c:pt idx="5">
                  <c:v>Spolupráce s dalšími útvary</c:v>
                </c:pt>
                <c:pt idx="6">
                  <c:v>Finanční ohodnocení</c:v>
                </c:pt>
                <c:pt idx="7">
                  <c:v>Zaměstnanecké benefity</c:v>
                </c:pt>
                <c:pt idx="8">
                  <c:v>Flexibilita práce, možnost využití home office</c:v>
                </c:pt>
                <c:pt idx="9">
                  <c:v>Vzdělávání</c:v>
                </c:pt>
                <c:pt idx="10">
                  <c:v>Obecná náplň práce</c:v>
                </c:pt>
                <c:pt idx="11">
                  <c:v>Celkem</c:v>
                </c:pt>
              </c:strCache>
            </c:strRef>
          </c:cat>
          <c:val>
            <c:numRef>
              <c:f>'1'!$C$122:$C$133</c:f>
              <c:numCache>
                <c:formatCode>0.00</c:formatCode>
                <c:ptCount val="12"/>
                <c:pt idx="0">
                  <c:v>1.884615384615385</c:v>
                </c:pt>
                <c:pt idx="1">
                  <c:v>2.56</c:v>
                </c:pt>
                <c:pt idx="2">
                  <c:v>2.0384615384615392</c:v>
                </c:pt>
                <c:pt idx="3">
                  <c:v>2.4230769230769229</c:v>
                </c:pt>
                <c:pt idx="4">
                  <c:v>1.5769230769230769</c:v>
                </c:pt>
                <c:pt idx="5">
                  <c:v>2.3846153846153837</c:v>
                </c:pt>
                <c:pt idx="6">
                  <c:v>2.3846153846153837</c:v>
                </c:pt>
                <c:pt idx="7">
                  <c:v>1.8076923076923073</c:v>
                </c:pt>
                <c:pt idx="8">
                  <c:v>2.48</c:v>
                </c:pt>
                <c:pt idx="9">
                  <c:v>2.0384615384615392</c:v>
                </c:pt>
                <c:pt idx="10">
                  <c:v>2.1538461538461537</c:v>
                </c:pt>
                <c:pt idx="11">
                  <c:v>2.15</c:v>
                </c:pt>
              </c:numCache>
            </c:numRef>
          </c:val>
          <c:extLst>
            <c:ext xmlns:c16="http://schemas.microsoft.com/office/drawing/2014/chart" uri="{C3380CC4-5D6E-409C-BE32-E72D297353CC}">
              <c16:uniqueId val="{00000000-CF60-49B1-AF31-C69209569A45}"/>
            </c:ext>
          </c:extLst>
        </c:ser>
        <c:ser>
          <c:idx val="1"/>
          <c:order val="1"/>
          <c:tx>
            <c:strRef>
              <c:f>'1'!$D$121</c:f>
              <c:strCache>
                <c:ptCount val="1"/>
                <c:pt idx="0">
                  <c:v>MPO</c:v>
                </c:pt>
              </c:strCache>
            </c:strRef>
          </c:tx>
          <c:spPr>
            <a:solidFill>
              <a:schemeClr val="accent2"/>
            </a:solidFill>
            <a:ln>
              <a:noFill/>
            </a:ln>
            <a:effectLst/>
          </c:spPr>
          <c:invertIfNegative val="0"/>
          <c:cat>
            <c:strRef>
              <c:f>'1'!$B$122:$B$133</c:f>
              <c:strCache>
                <c:ptCount val="12"/>
                <c:pt idx="0">
                  <c:v>Koordinace pracovních činností a vedení týmu</c:v>
                </c:pt>
                <c:pt idx="1">
                  <c:v>Metodická podpora, odborné vedení činnosti</c:v>
                </c:pt>
                <c:pt idx="2">
                  <c:v>Pracovní prostředí</c:v>
                </c:pt>
                <c:pt idx="3">
                  <c:v>Technické vybavení</c:v>
                </c:pt>
                <c:pt idx="4">
                  <c:v>Fungování týmu, pracovní kolektiv</c:v>
                </c:pt>
                <c:pt idx="5">
                  <c:v>Spolupráce s dalšími útvary</c:v>
                </c:pt>
                <c:pt idx="6">
                  <c:v>Finanční ohodnocení</c:v>
                </c:pt>
                <c:pt idx="7">
                  <c:v>Zaměstnanecké benefity</c:v>
                </c:pt>
                <c:pt idx="8">
                  <c:v>Flexibilita práce, možnost využití home office</c:v>
                </c:pt>
                <c:pt idx="9">
                  <c:v>Vzdělávání</c:v>
                </c:pt>
                <c:pt idx="10">
                  <c:v>Obecná náplň práce</c:v>
                </c:pt>
                <c:pt idx="11">
                  <c:v>Celkem</c:v>
                </c:pt>
              </c:strCache>
            </c:strRef>
          </c:cat>
          <c:val>
            <c:numRef>
              <c:f>'1'!$D$122:$D$133</c:f>
              <c:numCache>
                <c:formatCode>0.00</c:formatCode>
                <c:ptCount val="12"/>
                <c:pt idx="0">
                  <c:v>2.2758620689655182</c:v>
                </c:pt>
                <c:pt idx="1">
                  <c:v>2.5438596491228069</c:v>
                </c:pt>
                <c:pt idx="2">
                  <c:v>2.5087719298245608</c:v>
                </c:pt>
                <c:pt idx="3">
                  <c:v>2.9649122807017552</c:v>
                </c:pt>
                <c:pt idx="4">
                  <c:v>2.2758620689655182</c:v>
                </c:pt>
                <c:pt idx="5">
                  <c:v>2.6842105263157894</c:v>
                </c:pt>
                <c:pt idx="6">
                  <c:v>2.6785714285714293</c:v>
                </c:pt>
                <c:pt idx="7">
                  <c:v>2.896551724137931</c:v>
                </c:pt>
                <c:pt idx="8">
                  <c:v>3.5438596491228069</c:v>
                </c:pt>
                <c:pt idx="9">
                  <c:v>2.3620689655172402</c:v>
                </c:pt>
                <c:pt idx="10">
                  <c:v>2.192982456140351</c:v>
                </c:pt>
                <c:pt idx="11">
                  <c:v>2.63</c:v>
                </c:pt>
              </c:numCache>
            </c:numRef>
          </c:val>
          <c:extLst>
            <c:ext xmlns:c16="http://schemas.microsoft.com/office/drawing/2014/chart" uri="{C3380CC4-5D6E-409C-BE32-E72D297353CC}">
              <c16:uniqueId val="{00000001-CF60-49B1-AF31-C69209569A45}"/>
            </c:ext>
          </c:extLst>
        </c:ser>
        <c:ser>
          <c:idx val="2"/>
          <c:order val="2"/>
          <c:tx>
            <c:strRef>
              <c:f>'1'!$E$121</c:f>
              <c:strCache>
                <c:ptCount val="1"/>
                <c:pt idx="0">
                  <c:v>Celkem</c:v>
                </c:pt>
              </c:strCache>
            </c:strRef>
          </c:tx>
          <c:spPr>
            <a:solidFill>
              <a:schemeClr val="accent3"/>
            </a:solidFill>
            <a:ln>
              <a:noFill/>
            </a:ln>
            <a:effectLst/>
          </c:spPr>
          <c:invertIfNegative val="0"/>
          <c:cat>
            <c:strRef>
              <c:f>'1'!$B$122:$B$133</c:f>
              <c:strCache>
                <c:ptCount val="12"/>
                <c:pt idx="0">
                  <c:v>Koordinace pracovních činností a vedení týmu</c:v>
                </c:pt>
                <c:pt idx="1">
                  <c:v>Metodická podpora, odborné vedení činnosti</c:v>
                </c:pt>
                <c:pt idx="2">
                  <c:v>Pracovní prostředí</c:v>
                </c:pt>
                <c:pt idx="3">
                  <c:v>Technické vybavení</c:v>
                </c:pt>
                <c:pt idx="4">
                  <c:v>Fungování týmu, pracovní kolektiv</c:v>
                </c:pt>
                <c:pt idx="5">
                  <c:v>Spolupráce s dalšími útvary</c:v>
                </c:pt>
                <c:pt idx="6">
                  <c:v>Finanční ohodnocení</c:v>
                </c:pt>
                <c:pt idx="7">
                  <c:v>Zaměstnanecké benefity</c:v>
                </c:pt>
                <c:pt idx="8">
                  <c:v>Flexibilita práce, možnost využití home office</c:v>
                </c:pt>
                <c:pt idx="9">
                  <c:v>Vzdělávání</c:v>
                </c:pt>
                <c:pt idx="10">
                  <c:v>Obecná náplň práce</c:v>
                </c:pt>
                <c:pt idx="11">
                  <c:v>Celkem</c:v>
                </c:pt>
              </c:strCache>
            </c:strRef>
          </c:cat>
          <c:val>
            <c:numRef>
              <c:f>'1'!$E$122:$E$133</c:f>
              <c:numCache>
                <c:formatCode>0.00</c:formatCode>
                <c:ptCount val="12"/>
                <c:pt idx="0">
                  <c:v>2.1547619047619051</c:v>
                </c:pt>
                <c:pt idx="1">
                  <c:v>2.5487804878048781</c:v>
                </c:pt>
                <c:pt idx="2">
                  <c:v>2.3614457831325293</c:v>
                </c:pt>
                <c:pt idx="3">
                  <c:v>2.7951807228915682</c:v>
                </c:pt>
                <c:pt idx="4">
                  <c:v>2.0595238095238084</c:v>
                </c:pt>
                <c:pt idx="5">
                  <c:v>2.5903614457831332</c:v>
                </c:pt>
                <c:pt idx="6">
                  <c:v>2.5853658536585371</c:v>
                </c:pt>
                <c:pt idx="7">
                  <c:v>2.5595238095238084</c:v>
                </c:pt>
                <c:pt idx="8">
                  <c:v>3.2195121951219514</c:v>
                </c:pt>
                <c:pt idx="9">
                  <c:v>2.2619047619047632</c:v>
                </c:pt>
                <c:pt idx="10">
                  <c:v>2.1807228915662651</c:v>
                </c:pt>
                <c:pt idx="11" formatCode="General">
                  <c:v>2.48</c:v>
                </c:pt>
              </c:numCache>
            </c:numRef>
          </c:val>
          <c:extLst>
            <c:ext xmlns:c16="http://schemas.microsoft.com/office/drawing/2014/chart" uri="{C3380CC4-5D6E-409C-BE32-E72D297353CC}">
              <c16:uniqueId val="{00000002-CF60-49B1-AF31-C69209569A45}"/>
            </c:ext>
          </c:extLst>
        </c:ser>
        <c:dLbls>
          <c:showLegendKey val="0"/>
          <c:showVal val="0"/>
          <c:showCatName val="0"/>
          <c:showSerName val="0"/>
          <c:showPercent val="0"/>
          <c:showBubbleSize val="0"/>
        </c:dLbls>
        <c:gapWidth val="219"/>
        <c:overlap val="-27"/>
        <c:axId val="97051392"/>
        <c:axId val="97052928"/>
      </c:barChart>
      <c:catAx>
        <c:axId val="97051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97052928"/>
        <c:crosses val="autoZero"/>
        <c:auto val="1"/>
        <c:lblAlgn val="ctr"/>
        <c:lblOffset val="100"/>
        <c:noMultiLvlLbl val="0"/>
      </c:catAx>
      <c:valAx>
        <c:axId val="970529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Průměrné hodnocení</a:t>
                </a:r>
              </a:p>
            </c:rich>
          </c:tx>
          <c:overlay val="0"/>
          <c:spPr>
            <a:noFill/>
            <a:ln>
              <a:noFill/>
            </a:ln>
            <a:effectLst/>
          </c:sp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97051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cs-CZ" sz="1000"/>
              <a:t>Uveďte prosím, jak jsou pro Vás osobně výše uvedené aspekty důležité: (1 nejvíce důležité, 5 nejméně důležité)</a:t>
            </a:r>
          </a:p>
        </c:rich>
      </c:tx>
      <c:overlay val="0"/>
      <c:spPr>
        <a:noFill/>
        <a:ln>
          <a:noFill/>
        </a:ln>
        <a:effectLst/>
      </c:spPr>
    </c:title>
    <c:autoTitleDeleted val="0"/>
    <c:plotArea>
      <c:layout/>
      <c:barChart>
        <c:barDir val="col"/>
        <c:grouping val="clustered"/>
        <c:varyColors val="0"/>
        <c:ser>
          <c:idx val="0"/>
          <c:order val="0"/>
          <c:tx>
            <c:strRef>
              <c:f>'2'!$C$115</c:f>
              <c:strCache>
                <c:ptCount val="1"/>
                <c:pt idx="0">
                  <c:v>API</c:v>
                </c:pt>
              </c:strCache>
            </c:strRef>
          </c:tx>
          <c:spPr>
            <a:solidFill>
              <a:schemeClr val="accent1"/>
            </a:solidFill>
            <a:ln>
              <a:noFill/>
            </a:ln>
            <a:effectLst/>
          </c:spPr>
          <c:invertIfNegative val="0"/>
          <c:cat>
            <c:strRef>
              <c:f>'2'!$B$116:$B$127</c:f>
              <c:strCache>
                <c:ptCount val="12"/>
                <c:pt idx="0">
                  <c:v>Koordinace pracovních činností a vedení týmu</c:v>
                </c:pt>
                <c:pt idx="1">
                  <c:v>Metodická podpora, odborné vedení činnosti</c:v>
                </c:pt>
                <c:pt idx="2">
                  <c:v>Pracovní prostředí</c:v>
                </c:pt>
                <c:pt idx="3">
                  <c:v>Technické vybavení</c:v>
                </c:pt>
                <c:pt idx="4">
                  <c:v>Fungování týmu, pracovní kolektiv</c:v>
                </c:pt>
                <c:pt idx="5">
                  <c:v>Spolupráce s dalšími útvary</c:v>
                </c:pt>
                <c:pt idx="6">
                  <c:v>Finanční ohodnocení</c:v>
                </c:pt>
                <c:pt idx="7">
                  <c:v>Zaměstnanecké benefity</c:v>
                </c:pt>
                <c:pt idx="8">
                  <c:v>Flexibilita práce, možnost využití home office</c:v>
                </c:pt>
                <c:pt idx="9">
                  <c:v>Vzdělávání</c:v>
                </c:pt>
                <c:pt idx="10">
                  <c:v>Obecná náplň práce</c:v>
                </c:pt>
                <c:pt idx="11">
                  <c:v>Celkem</c:v>
                </c:pt>
              </c:strCache>
            </c:strRef>
          </c:cat>
          <c:val>
            <c:numRef>
              <c:f>'2'!$C$116:$C$127</c:f>
              <c:numCache>
                <c:formatCode>0.00</c:formatCode>
                <c:ptCount val="12"/>
                <c:pt idx="0">
                  <c:v>2.0769230769230771</c:v>
                </c:pt>
                <c:pt idx="1">
                  <c:v>1.9615384615384619</c:v>
                </c:pt>
                <c:pt idx="2">
                  <c:v>1.6923076923076918</c:v>
                </c:pt>
                <c:pt idx="3">
                  <c:v>2</c:v>
                </c:pt>
                <c:pt idx="4">
                  <c:v>1.384615384615385</c:v>
                </c:pt>
                <c:pt idx="5">
                  <c:v>1.9230769230769238</c:v>
                </c:pt>
                <c:pt idx="6">
                  <c:v>1.9615384615384619</c:v>
                </c:pt>
                <c:pt idx="7">
                  <c:v>2.1153846153846154</c:v>
                </c:pt>
                <c:pt idx="8">
                  <c:v>1.8076923076923073</c:v>
                </c:pt>
                <c:pt idx="9">
                  <c:v>2.56</c:v>
                </c:pt>
                <c:pt idx="10">
                  <c:v>1.7307692307692304</c:v>
                </c:pt>
                <c:pt idx="11">
                  <c:v>1.9300000000000004</c:v>
                </c:pt>
              </c:numCache>
            </c:numRef>
          </c:val>
          <c:extLst>
            <c:ext xmlns:c16="http://schemas.microsoft.com/office/drawing/2014/chart" uri="{C3380CC4-5D6E-409C-BE32-E72D297353CC}">
              <c16:uniqueId val="{00000000-C5CE-444C-8224-47BFFCF2A5C9}"/>
            </c:ext>
          </c:extLst>
        </c:ser>
        <c:ser>
          <c:idx val="1"/>
          <c:order val="1"/>
          <c:tx>
            <c:strRef>
              <c:f>'2'!$D$115</c:f>
              <c:strCache>
                <c:ptCount val="1"/>
                <c:pt idx="0">
                  <c:v>MPO</c:v>
                </c:pt>
              </c:strCache>
            </c:strRef>
          </c:tx>
          <c:spPr>
            <a:solidFill>
              <a:schemeClr val="accent2"/>
            </a:solidFill>
            <a:ln>
              <a:noFill/>
            </a:ln>
            <a:effectLst/>
          </c:spPr>
          <c:invertIfNegative val="0"/>
          <c:cat>
            <c:strRef>
              <c:f>'2'!$B$116:$B$127</c:f>
              <c:strCache>
                <c:ptCount val="12"/>
                <c:pt idx="0">
                  <c:v>Koordinace pracovních činností a vedení týmu</c:v>
                </c:pt>
                <c:pt idx="1">
                  <c:v>Metodická podpora, odborné vedení činnosti</c:v>
                </c:pt>
                <c:pt idx="2">
                  <c:v>Pracovní prostředí</c:v>
                </c:pt>
                <c:pt idx="3">
                  <c:v>Technické vybavení</c:v>
                </c:pt>
                <c:pt idx="4">
                  <c:v>Fungování týmu, pracovní kolektiv</c:v>
                </c:pt>
                <c:pt idx="5">
                  <c:v>Spolupráce s dalšími útvary</c:v>
                </c:pt>
                <c:pt idx="6">
                  <c:v>Finanční ohodnocení</c:v>
                </c:pt>
                <c:pt idx="7">
                  <c:v>Zaměstnanecké benefity</c:v>
                </c:pt>
                <c:pt idx="8">
                  <c:v>Flexibilita práce, možnost využití home office</c:v>
                </c:pt>
                <c:pt idx="9">
                  <c:v>Vzdělávání</c:v>
                </c:pt>
                <c:pt idx="10">
                  <c:v>Obecná náplň práce</c:v>
                </c:pt>
                <c:pt idx="11">
                  <c:v>Celkem</c:v>
                </c:pt>
              </c:strCache>
            </c:strRef>
          </c:cat>
          <c:val>
            <c:numRef>
              <c:f>'2'!$D$116:$D$127</c:f>
              <c:numCache>
                <c:formatCode>0.00</c:formatCode>
                <c:ptCount val="12"/>
                <c:pt idx="0">
                  <c:v>1.6491228070175439</c:v>
                </c:pt>
                <c:pt idx="1">
                  <c:v>1.7017543859649116</c:v>
                </c:pt>
                <c:pt idx="2">
                  <c:v>1.736842105263158</c:v>
                </c:pt>
                <c:pt idx="3">
                  <c:v>1.948275862068966</c:v>
                </c:pt>
                <c:pt idx="4">
                  <c:v>1.4310344827586203</c:v>
                </c:pt>
                <c:pt idx="5">
                  <c:v>1.7543859649122815</c:v>
                </c:pt>
                <c:pt idx="6">
                  <c:v>1.4385964912280698</c:v>
                </c:pt>
                <c:pt idx="7">
                  <c:v>2.0350877192982448</c:v>
                </c:pt>
                <c:pt idx="8">
                  <c:v>1.7017543859649116</c:v>
                </c:pt>
                <c:pt idx="9">
                  <c:v>2.0526315789473695</c:v>
                </c:pt>
                <c:pt idx="10">
                  <c:v>1.6379310344827587</c:v>
                </c:pt>
                <c:pt idx="11">
                  <c:v>1.73</c:v>
                </c:pt>
              </c:numCache>
            </c:numRef>
          </c:val>
          <c:extLst>
            <c:ext xmlns:c16="http://schemas.microsoft.com/office/drawing/2014/chart" uri="{C3380CC4-5D6E-409C-BE32-E72D297353CC}">
              <c16:uniqueId val="{00000001-C5CE-444C-8224-47BFFCF2A5C9}"/>
            </c:ext>
          </c:extLst>
        </c:ser>
        <c:dLbls>
          <c:showLegendKey val="0"/>
          <c:showVal val="0"/>
          <c:showCatName val="0"/>
          <c:showSerName val="0"/>
          <c:showPercent val="0"/>
          <c:showBubbleSize val="0"/>
        </c:dLbls>
        <c:gapWidth val="219"/>
        <c:overlap val="-27"/>
        <c:axId val="98029952"/>
        <c:axId val="98031488"/>
      </c:barChart>
      <c:catAx>
        <c:axId val="98029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98031488"/>
        <c:crosses val="autoZero"/>
        <c:auto val="1"/>
        <c:lblAlgn val="ctr"/>
        <c:lblOffset val="100"/>
        <c:noMultiLvlLbl val="0"/>
      </c:catAx>
      <c:valAx>
        <c:axId val="980314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sz="1000" b="0" i="0" baseline="0">
                    <a:effectLst/>
                  </a:rPr>
                  <a:t>Průměrné hodnocení</a:t>
                </a:r>
                <a:endParaRPr lang="cs-CZ" sz="1000">
                  <a:effectLst/>
                </a:endParaRPr>
              </a:p>
            </c:rich>
          </c:tx>
          <c:overlay val="0"/>
          <c:spPr>
            <a:noFill/>
            <a:ln>
              <a:noFill/>
            </a:ln>
            <a:effectLst/>
          </c:sp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98029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cs-CZ" sz="1000" b="0" i="0" baseline="0">
                <a:effectLst/>
              </a:rPr>
              <a:t>Jak celkově hodnotíte náročnost Vaší práce?</a:t>
            </a:r>
            <a:endParaRPr lang="cs-CZ" sz="1000">
              <a:effectLst/>
            </a:endParaRPr>
          </a:p>
        </c:rich>
      </c:tx>
      <c:overlay val="0"/>
      <c:spPr>
        <a:noFill/>
        <a:ln>
          <a:noFill/>
        </a:ln>
        <a:effectLst/>
      </c:spPr>
    </c:title>
    <c:autoTitleDeleted val="0"/>
    <c:plotArea>
      <c:layout/>
      <c:barChart>
        <c:barDir val="col"/>
        <c:grouping val="clustered"/>
        <c:varyColors val="0"/>
        <c:ser>
          <c:idx val="0"/>
          <c:order val="0"/>
          <c:tx>
            <c:strRef>
              <c:f>'3'!$B$24</c:f>
              <c:strCache>
                <c:ptCount val="1"/>
                <c:pt idx="0">
                  <c:v>API</c:v>
                </c:pt>
              </c:strCache>
            </c:strRef>
          </c:tx>
          <c:spPr>
            <a:solidFill>
              <a:schemeClr val="accent1"/>
            </a:solidFill>
            <a:ln>
              <a:noFill/>
            </a:ln>
            <a:effectLst/>
          </c:spPr>
          <c:invertIfNegative val="0"/>
          <c:cat>
            <c:strRef>
              <c:f>'3'!$C$19:$H$19</c:f>
              <c:strCache>
                <c:ptCount val="6"/>
                <c:pt idx="0">
                  <c:v>Rozhodně náročná</c:v>
                </c:pt>
                <c:pt idx="1">
                  <c:v>Spíše náročná</c:v>
                </c:pt>
                <c:pt idx="2">
                  <c:v>Ani náročná, ani nenáročná</c:v>
                </c:pt>
                <c:pt idx="3">
                  <c:v>Spíše nenáročná</c:v>
                </c:pt>
                <c:pt idx="4">
                  <c:v>Rozhodně nenáročná</c:v>
                </c:pt>
                <c:pt idx="5">
                  <c:v>Nevím, nechci odpovědět</c:v>
                </c:pt>
              </c:strCache>
            </c:strRef>
          </c:cat>
          <c:val>
            <c:numRef>
              <c:f>'3'!$C$24:$H$24</c:f>
              <c:numCache>
                <c:formatCode>0.0</c:formatCode>
                <c:ptCount val="6"/>
                <c:pt idx="0">
                  <c:v>19.230769230769216</c:v>
                </c:pt>
                <c:pt idx="1">
                  <c:v>42.307692307692278</c:v>
                </c:pt>
                <c:pt idx="2">
                  <c:v>34.615384615384592</c:v>
                </c:pt>
                <c:pt idx="3">
                  <c:v>0</c:v>
                </c:pt>
                <c:pt idx="4">
                  <c:v>0</c:v>
                </c:pt>
                <c:pt idx="5">
                  <c:v>3.8461538461538463</c:v>
                </c:pt>
              </c:numCache>
            </c:numRef>
          </c:val>
          <c:extLst>
            <c:ext xmlns:c16="http://schemas.microsoft.com/office/drawing/2014/chart" uri="{C3380CC4-5D6E-409C-BE32-E72D297353CC}">
              <c16:uniqueId val="{00000000-2C3F-4664-B788-FA3567F4E0D3}"/>
            </c:ext>
          </c:extLst>
        </c:ser>
        <c:ser>
          <c:idx val="1"/>
          <c:order val="1"/>
          <c:tx>
            <c:strRef>
              <c:f>'3'!$B$25</c:f>
              <c:strCache>
                <c:ptCount val="1"/>
                <c:pt idx="0">
                  <c:v>MPO</c:v>
                </c:pt>
              </c:strCache>
            </c:strRef>
          </c:tx>
          <c:spPr>
            <a:solidFill>
              <a:schemeClr val="accent2"/>
            </a:solidFill>
            <a:ln>
              <a:noFill/>
            </a:ln>
            <a:effectLst/>
          </c:spPr>
          <c:invertIfNegative val="0"/>
          <c:cat>
            <c:strRef>
              <c:f>'3'!$C$19:$H$19</c:f>
              <c:strCache>
                <c:ptCount val="6"/>
                <c:pt idx="0">
                  <c:v>Rozhodně náročná</c:v>
                </c:pt>
                <c:pt idx="1">
                  <c:v>Spíše náročná</c:v>
                </c:pt>
                <c:pt idx="2">
                  <c:v>Ani náročná, ani nenáročná</c:v>
                </c:pt>
                <c:pt idx="3">
                  <c:v>Spíše nenáročná</c:v>
                </c:pt>
                <c:pt idx="4">
                  <c:v>Rozhodně nenáročná</c:v>
                </c:pt>
                <c:pt idx="5">
                  <c:v>Nevím, nechci odpovědět</c:v>
                </c:pt>
              </c:strCache>
            </c:strRef>
          </c:cat>
          <c:val>
            <c:numRef>
              <c:f>'3'!$C$25:$H$25</c:f>
              <c:numCache>
                <c:formatCode>0.0</c:formatCode>
                <c:ptCount val="6"/>
                <c:pt idx="0">
                  <c:v>28.070175438596497</c:v>
                </c:pt>
                <c:pt idx="1">
                  <c:v>43.859649122806999</c:v>
                </c:pt>
                <c:pt idx="2">
                  <c:v>24.561403508771914</c:v>
                </c:pt>
                <c:pt idx="3">
                  <c:v>0</c:v>
                </c:pt>
                <c:pt idx="4">
                  <c:v>0</c:v>
                </c:pt>
                <c:pt idx="5">
                  <c:v>3.5087719298245608</c:v>
                </c:pt>
              </c:numCache>
            </c:numRef>
          </c:val>
          <c:extLst>
            <c:ext xmlns:c16="http://schemas.microsoft.com/office/drawing/2014/chart" uri="{C3380CC4-5D6E-409C-BE32-E72D297353CC}">
              <c16:uniqueId val="{00000001-2C3F-4664-B788-FA3567F4E0D3}"/>
            </c:ext>
          </c:extLst>
        </c:ser>
        <c:ser>
          <c:idx val="2"/>
          <c:order val="2"/>
          <c:tx>
            <c:strRef>
              <c:f>'3'!$B$26</c:f>
              <c:strCache>
                <c:ptCount val="1"/>
                <c:pt idx="0">
                  <c:v>Celkem</c:v>
                </c:pt>
              </c:strCache>
            </c:strRef>
          </c:tx>
          <c:spPr>
            <a:solidFill>
              <a:schemeClr val="accent3"/>
            </a:solidFill>
            <a:ln>
              <a:noFill/>
            </a:ln>
            <a:effectLst/>
          </c:spPr>
          <c:invertIfNegative val="0"/>
          <c:cat>
            <c:strRef>
              <c:f>'3'!$C$19:$H$19</c:f>
              <c:strCache>
                <c:ptCount val="6"/>
                <c:pt idx="0">
                  <c:v>Rozhodně náročná</c:v>
                </c:pt>
                <c:pt idx="1">
                  <c:v>Spíše náročná</c:v>
                </c:pt>
                <c:pt idx="2">
                  <c:v>Ani náročná, ani nenáročná</c:v>
                </c:pt>
                <c:pt idx="3">
                  <c:v>Spíše nenáročná</c:v>
                </c:pt>
                <c:pt idx="4">
                  <c:v>Rozhodně nenáročná</c:v>
                </c:pt>
                <c:pt idx="5">
                  <c:v>Nevím, nechci odpovědět</c:v>
                </c:pt>
              </c:strCache>
            </c:strRef>
          </c:cat>
          <c:val>
            <c:numRef>
              <c:f>'3'!$C$26:$H$26</c:f>
              <c:numCache>
                <c:formatCode>0.0</c:formatCode>
                <c:ptCount val="6"/>
                <c:pt idx="0">
                  <c:v>25.301204819277107</c:v>
                </c:pt>
                <c:pt idx="1">
                  <c:v>43.3734939759036</c:v>
                </c:pt>
                <c:pt idx="2">
                  <c:v>27.710843373493976</c:v>
                </c:pt>
                <c:pt idx="3">
                  <c:v>0</c:v>
                </c:pt>
                <c:pt idx="4">
                  <c:v>0</c:v>
                </c:pt>
                <c:pt idx="5">
                  <c:v>3.6144578313253009</c:v>
                </c:pt>
              </c:numCache>
            </c:numRef>
          </c:val>
          <c:extLst>
            <c:ext xmlns:c16="http://schemas.microsoft.com/office/drawing/2014/chart" uri="{C3380CC4-5D6E-409C-BE32-E72D297353CC}">
              <c16:uniqueId val="{00000002-2C3F-4664-B788-FA3567F4E0D3}"/>
            </c:ext>
          </c:extLst>
        </c:ser>
        <c:dLbls>
          <c:showLegendKey val="0"/>
          <c:showVal val="0"/>
          <c:showCatName val="0"/>
          <c:showSerName val="0"/>
          <c:showPercent val="0"/>
          <c:showBubbleSize val="0"/>
        </c:dLbls>
        <c:gapWidth val="219"/>
        <c:overlap val="-27"/>
        <c:axId val="109397888"/>
        <c:axId val="109399424"/>
      </c:barChart>
      <c:catAx>
        <c:axId val="109397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09399424"/>
        <c:crosses val="autoZero"/>
        <c:auto val="1"/>
        <c:lblAlgn val="ctr"/>
        <c:lblOffset val="100"/>
        <c:noMultiLvlLbl val="0"/>
      </c:catAx>
      <c:valAx>
        <c:axId val="1093994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Podíl respondentů (%)</a:t>
                </a: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09397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cs-CZ" sz="1000" b="0" i="0" baseline="0">
                <a:effectLst/>
              </a:rPr>
              <a:t>Jak celkově hodnotíte náročnost Vaší práce?</a:t>
            </a:r>
            <a:endParaRPr lang="cs-CZ" sz="1000">
              <a:effectLst/>
            </a:endParaRPr>
          </a:p>
        </c:rich>
      </c:tx>
      <c:overlay val="0"/>
      <c:spPr>
        <a:noFill/>
        <a:ln>
          <a:noFill/>
        </a:ln>
        <a:effectLst/>
      </c:spPr>
    </c:title>
    <c:autoTitleDeleted val="0"/>
    <c:plotArea>
      <c:layout/>
      <c:barChart>
        <c:barDir val="col"/>
        <c:grouping val="clustered"/>
        <c:varyColors val="0"/>
        <c:ser>
          <c:idx val="0"/>
          <c:order val="0"/>
          <c:tx>
            <c:strRef>
              <c:f>'3'!$C$33</c:f>
              <c:strCache>
                <c:ptCount val="1"/>
                <c:pt idx="0">
                  <c:v>Rozhodně náročná</c:v>
                </c:pt>
              </c:strCache>
            </c:strRef>
          </c:tx>
          <c:spPr>
            <a:solidFill>
              <a:schemeClr val="accent1"/>
            </a:solidFill>
            <a:ln>
              <a:noFill/>
            </a:ln>
            <a:effectLst/>
          </c:spPr>
          <c:invertIfNegative val="0"/>
          <c:cat>
            <c:strRef>
              <c:f>'3'!$B$34:$B$40</c:f>
              <c:strCache>
                <c:ptCount val="7"/>
                <c:pt idx="0">
                  <c:v>61000</c:v>
                </c:pt>
                <c:pt idx="1">
                  <c:v>61100</c:v>
                </c:pt>
                <c:pt idx="2">
                  <c:v>61200</c:v>
                </c:pt>
                <c:pt idx="3">
                  <c:v>61300</c:v>
                </c:pt>
                <c:pt idx="4">
                  <c:v>61400</c:v>
                </c:pt>
                <c:pt idx="5">
                  <c:v>61500</c:v>
                </c:pt>
                <c:pt idx="6">
                  <c:v>Ostatní</c:v>
                </c:pt>
              </c:strCache>
            </c:strRef>
          </c:cat>
          <c:val>
            <c:numRef>
              <c:f>'3'!$C$34:$C$40</c:f>
              <c:numCache>
                <c:formatCode>General</c:formatCode>
                <c:ptCount val="7"/>
                <c:pt idx="0">
                  <c:v>4</c:v>
                </c:pt>
                <c:pt idx="1">
                  <c:v>2</c:v>
                </c:pt>
                <c:pt idx="2">
                  <c:v>3</c:v>
                </c:pt>
                <c:pt idx="3">
                  <c:v>2</c:v>
                </c:pt>
                <c:pt idx="4">
                  <c:v>2</c:v>
                </c:pt>
                <c:pt idx="5">
                  <c:v>2</c:v>
                </c:pt>
                <c:pt idx="6">
                  <c:v>1</c:v>
                </c:pt>
              </c:numCache>
            </c:numRef>
          </c:val>
          <c:extLst>
            <c:ext xmlns:c16="http://schemas.microsoft.com/office/drawing/2014/chart" uri="{C3380CC4-5D6E-409C-BE32-E72D297353CC}">
              <c16:uniqueId val="{00000000-9B0B-483D-8E1B-A7A203D838CD}"/>
            </c:ext>
          </c:extLst>
        </c:ser>
        <c:ser>
          <c:idx val="1"/>
          <c:order val="1"/>
          <c:tx>
            <c:strRef>
              <c:f>'3'!$D$33</c:f>
              <c:strCache>
                <c:ptCount val="1"/>
                <c:pt idx="0">
                  <c:v>Spíše náročná</c:v>
                </c:pt>
              </c:strCache>
            </c:strRef>
          </c:tx>
          <c:spPr>
            <a:solidFill>
              <a:schemeClr val="accent2"/>
            </a:solidFill>
            <a:ln>
              <a:noFill/>
            </a:ln>
            <a:effectLst/>
          </c:spPr>
          <c:invertIfNegative val="0"/>
          <c:cat>
            <c:strRef>
              <c:f>'3'!$B$34:$B$40</c:f>
              <c:strCache>
                <c:ptCount val="7"/>
                <c:pt idx="0">
                  <c:v>61000</c:v>
                </c:pt>
                <c:pt idx="1">
                  <c:v>61100</c:v>
                </c:pt>
                <c:pt idx="2">
                  <c:v>61200</c:v>
                </c:pt>
                <c:pt idx="3">
                  <c:v>61300</c:v>
                </c:pt>
                <c:pt idx="4">
                  <c:v>61400</c:v>
                </c:pt>
                <c:pt idx="5">
                  <c:v>61500</c:v>
                </c:pt>
                <c:pt idx="6">
                  <c:v>Ostatní</c:v>
                </c:pt>
              </c:strCache>
            </c:strRef>
          </c:cat>
          <c:val>
            <c:numRef>
              <c:f>'3'!$D$34:$D$40</c:f>
              <c:numCache>
                <c:formatCode>General</c:formatCode>
                <c:ptCount val="7"/>
                <c:pt idx="0">
                  <c:v>2</c:v>
                </c:pt>
                <c:pt idx="1">
                  <c:v>11</c:v>
                </c:pt>
                <c:pt idx="2">
                  <c:v>3</c:v>
                </c:pt>
                <c:pt idx="3">
                  <c:v>3</c:v>
                </c:pt>
                <c:pt idx="4">
                  <c:v>6</c:v>
                </c:pt>
                <c:pt idx="5">
                  <c:v>0</c:v>
                </c:pt>
                <c:pt idx="6">
                  <c:v>0</c:v>
                </c:pt>
              </c:numCache>
            </c:numRef>
          </c:val>
          <c:extLst>
            <c:ext xmlns:c16="http://schemas.microsoft.com/office/drawing/2014/chart" uri="{C3380CC4-5D6E-409C-BE32-E72D297353CC}">
              <c16:uniqueId val="{00000001-9B0B-483D-8E1B-A7A203D838CD}"/>
            </c:ext>
          </c:extLst>
        </c:ser>
        <c:ser>
          <c:idx val="2"/>
          <c:order val="2"/>
          <c:tx>
            <c:strRef>
              <c:f>'3'!$E$33</c:f>
              <c:strCache>
                <c:ptCount val="1"/>
                <c:pt idx="0">
                  <c:v>Ani náročná, ani nenáročná</c:v>
                </c:pt>
              </c:strCache>
            </c:strRef>
          </c:tx>
          <c:spPr>
            <a:solidFill>
              <a:schemeClr val="accent3"/>
            </a:solidFill>
            <a:ln>
              <a:noFill/>
            </a:ln>
            <a:effectLst/>
          </c:spPr>
          <c:invertIfNegative val="0"/>
          <c:cat>
            <c:strRef>
              <c:f>'3'!$B$34:$B$40</c:f>
              <c:strCache>
                <c:ptCount val="7"/>
                <c:pt idx="0">
                  <c:v>61000</c:v>
                </c:pt>
                <c:pt idx="1">
                  <c:v>61100</c:v>
                </c:pt>
                <c:pt idx="2">
                  <c:v>61200</c:v>
                </c:pt>
                <c:pt idx="3">
                  <c:v>61300</c:v>
                </c:pt>
                <c:pt idx="4">
                  <c:v>61400</c:v>
                </c:pt>
                <c:pt idx="5">
                  <c:v>61500</c:v>
                </c:pt>
                <c:pt idx="6">
                  <c:v>Ostatní</c:v>
                </c:pt>
              </c:strCache>
            </c:strRef>
          </c:cat>
          <c:val>
            <c:numRef>
              <c:f>'3'!$E$34:$E$40</c:f>
              <c:numCache>
                <c:formatCode>General</c:formatCode>
                <c:ptCount val="7"/>
                <c:pt idx="0">
                  <c:v>2</c:v>
                </c:pt>
                <c:pt idx="1">
                  <c:v>6</c:v>
                </c:pt>
                <c:pt idx="2">
                  <c:v>1</c:v>
                </c:pt>
                <c:pt idx="3">
                  <c:v>0</c:v>
                </c:pt>
                <c:pt idx="4">
                  <c:v>1</c:v>
                </c:pt>
                <c:pt idx="5">
                  <c:v>4</c:v>
                </c:pt>
                <c:pt idx="6">
                  <c:v>0</c:v>
                </c:pt>
              </c:numCache>
            </c:numRef>
          </c:val>
          <c:extLst>
            <c:ext xmlns:c16="http://schemas.microsoft.com/office/drawing/2014/chart" uri="{C3380CC4-5D6E-409C-BE32-E72D297353CC}">
              <c16:uniqueId val="{00000002-9B0B-483D-8E1B-A7A203D838CD}"/>
            </c:ext>
          </c:extLst>
        </c:ser>
        <c:ser>
          <c:idx val="3"/>
          <c:order val="3"/>
          <c:tx>
            <c:strRef>
              <c:f>'3'!$F$33</c:f>
              <c:strCache>
                <c:ptCount val="1"/>
                <c:pt idx="0">
                  <c:v>Nevím, nechci odpovědět</c:v>
                </c:pt>
              </c:strCache>
            </c:strRef>
          </c:tx>
          <c:spPr>
            <a:solidFill>
              <a:schemeClr val="accent4"/>
            </a:solidFill>
            <a:ln>
              <a:noFill/>
            </a:ln>
            <a:effectLst/>
          </c:spPr>
          <c:invertIfNegative val="0"/>
          <c:cat>
            <c:strRef>
              <c:f>'3'!$B$34:$B$40</c:f>
              <c:strCache>
                <c:ptCount val="7"/>
                <c:pt idx="0">
                  <c:v>61000</c:v>
                </c:pt>
                <c:pt idx="1">
                  <c:v>61100</c:v>
                </c:pt>
                <c:pt idx="2">
                  <c:v>61200</c:v>
                </c:pt>
                <c:pt idx="3">
                  <c:v>61300</c:v>
                </c:pt>
                <c:pt idx="4">
                  <c:v>61400</c:v>
                </c:pt>
                <c:pt idx="5">
                  <c:v>61500</c:v>
                </c:pt>
                <c:pt idx="6">
                  <c:v>Ostatní</c:v>
                </c:pt>
              </c:strCache>
            </c:strRef>
          </c:cat>
          <c:val>
            <c:numRef>
              <c:f>'3'!$F$34:$F$40</c:f>
              <c:numCache>
                <c:formatCode>General</c:formatCode>
                <c:ptCount val="7"/>
                <c:pt idx="0">
                  <c:v>0</c:v>
                </c:pt>
                <c:pt idx="1">
                  <c:v>2</c:v>
                </c:pt>
                <c:pt idx="2">
                  <c:v>0</c:v>
                </c:pt>
                <c:pt idx="3">
                  <c:v>0</c:v>
                </c:pt>
                <c:pt idx="4">
                  <c:v>0</c:v>
                </c:pt>
                <c:pt idx="5">
                  <c:v>0</c:v>
                </c:pt>
                <c:pt idx="6">
                  <c:v>0</c:v>
                </c:pt>
              </c:numCache>
            </c:numRef>
          </c:val>
          <c:extLst>
            <c:ext xmlns:c16="http://schemas.microsoft.com/office/drawing/2014/chart" uri="{C3380CC4-5D6E-409C-BE32-E72D297353CC}">
              <c16:uniqueId val="{00000003-9B0B-483D-8E1B-A7A203D838CD}"/>
            </c:ext>
          </c:extLst>
        </c:ser>
        <c:dLbls>
          <c:showLegendKey val="0"/>
          <c:showVal val="0"/>
          <c:showCatName val="0"/>
          <c:showSerName val="0"/>
          <c:showPercent val="0"/>
          <c:showBubbleSize val="0"/>
        </c:dLbls>
        <c:gapWidth val="219"/>
        <c:axId val="109483136"/>
        <c:axId val="109484672"/>
      </c:barChart>
      <c:catAx>
        <c:axId val="109483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09484672"/>
        <c:crosses val="autoZero"/>
        <c:auto val="1"/>
        <c:lblAlgn val="ctr"/>
        <c:lblOffset val="100"/>
        <c:noMultiLvlLbl val="0"/>
      </c:catAx>
      <c:valAx>
        <c:axId val="1094846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Počet</a:t>
                </a:r>
                <a:r>
                  <a:rPr lang="cs-CZ" baseline="0"/>
                  <a:t> odpovědí</a:t>
                </a:r>
                <a:endParaRPr lang="cs-CZ"/>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09483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theme/theme1.xml><?xml version="1.0" encoding="utf-8"?>
<a:theme xmlns:a="http://schemas.openxmlformats.org/drawingml/2006/main" name="Motiv systému Office">
  <a:themeElements>
    <a:clrScheme name="EACE">
      <a:dk1>
        <a:sysClr val="windowText" lastClr="000000"/>
      </a:dk1>
      <a:lt1>
        <a:sysClr val="window" lastClr="FFFFFF"/>
      </a:lt1>
      <a:dk2>
        <a:srgbClr val="1F497D"/>
      </a:dk2>
      <a:lt2>
        <a:srgbClr val="EEECE1"/>
      </a:lt2>
      <a:accent1>
        <a:srgbClr val="0D3B5E"/>
      </a:accent1>
      <a:accent2>
        <a:srgbClr val="EF4350"/>
      </a:accent2>
      <a:accent3>
        <a:srgbClr val="B5DAF5"/>
      </a:accent3>
      <a:accent4>
        <a:srgbClr val="F9B5BA"/>
      </a:accent4>
      <a:accent5>
        <a:srgbClr val="9BBB59"/>
      </a:accent5>
      <a:accent6>
        <a:srgbClr val="8064A2"/>
      </a:accent6>
      <a:hlink>
        <a:srgbClr val="0070C0"/>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B067E01FDBAC444992DFA5CFF64E415" ma:contentTypeVersion="2" ma:contentTypeDescription="Vytvoří nový dokument" ma:contentTypeScope="" ma:versionID="81d8fbab4958064b72e8de3c0f3654f3">
  <xsd:schema xmlns:xsd="http://www.w3.org/2001/XMLSchema" xmlns:xs="http://www.w3.org/2001/XMLSchema" xmlns:p="http://schemas.microsoft.com/office/2006/metadata/properties" xmlns:ns2="ae73d3dd-7ff5-4d07-a283-895fabf0a392" targetNamespace="http://schemas.microsoft.com/office/2006/metadata/properties" ma:root="true" ma:fieldsID="e577129582a2aef77bfb0f2c4683cc5b" ns2:_="">
    <xsd:import namespace="ae73d3dd-7ff5-4d07-a283-895fabf0a39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3d3dd-7ff5-4d07-a283-895fabf0a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191B1-A78A-4DC1-A73C-8396B993E055}">
  <ds:schemaRefs>
    <ds:schemaRef ds:uri="http://schemas.microsoft.com/sharepoint/v3/contenttype/forms"/>
  </ds:schemaRefs>
</ds:datastoreItem>
</file>

<file path=customXml/itemProps2.xml><?xml version="1.0" encoding="utf-8"?>
<ds:datastoreItem xmlns:ds="http://schemas.openxmlformats.org/officeDocument/2006/customXml" ds:itemID="{38131F3C-C5E2-448A-A50C-F303691046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05F538-48BD-454D-8D6B-1E4DF00AC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3d3dd-7ff5-4d07-a283-895fabf0a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71F21E-0C28-42DE-8FEC-3735A69F1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74</Pages>
  <Words>22937</Words>
  <Characters>135329</Characters>
  <Application>Microsoft Office Word</Application>
  <DocSecurity>0</DocSecurity>
  <Lines>1127</Lines>
  <Paragraphs>315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Jílková</dc:creator>
  <cp:lastModifiedBy>Lukas Malac</cp:lastModifiedBy>
  <cp:revision>7</cp:revision>
  <cp:lastPrinted>2019-10-03T05:50:00Z</cp:lastPrinted>
  <dcterms:created xsi:type="dcterms:W3CDTF">2020-09-08T09:24:00Z</dcterms:created>
  <dcterms:modified xsi:type="dcterms:W3CDTF">2020-09-09T11:00:00Z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0x010100AB067E01FDBAC444992DFA5CFF64E415</vt:lpwstr>
  </property>
</Properties>
</file>