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54D27" w:rsidRPr="00EA0A6C" w:rsidRDefault="00054D27">
      <w:pPr>
        <w:ind w:right="2835"/>
        <w:rPr>
          <w:rFonts w:eastAsia="Cambria"/>
          <w:b/>
          <w:i/>
          <w:color w:val="FFFFFF"/>
          <w:sz w:val="52"/>
          <w:szCs w:val="52"/>
        </w:rPr>
      </w:pPr>
      <w:bookmarkStart w:id="0" w:name="_heading=h.gjdgxs" w:colFirst="0" w:colLast="0"/>
      <w:bookmarkStart w:id="1" w:name="_heading_h_gjdgxs"/>
      <w:bookmarkStart w:id="2" w:name="_Toc89067085"/>
      <w:bookmarkEnd w:id="0"/>
      <w:bookmarkEnd w:id="1"/>
    </w:p>
    <w:p w14:paraId="00000002" w14:textId="77777777" w:rsidR="00054D27" w:rsidRPr="00EA0A6C" w:rsidRDefault="00054D27">
      <w:pPr>
        <w:ind w:right="2835"/>
        <w:rPr>
          <w:rFonts w:eastAsia="Cambria"/>
          <w:b/>
          <w:i/>
          <w:color w:val="FFFFFF"/>
          <w:sz w:val="52"/>
          <w:szCs w:val="52"/>
        </w:rPr>
      </w:pPr>
    </w:p>
    <w:p w14:paraId="00000003" w14:textId="77777777" w:rsidR="00054D27" w:rsidRPr="00EA0A6C" w:rsidRDefault="00AF622A">
      <w:pPr>
        <w:ind w:right="2835"/>
        <w:rPr>
          <w:rFonts w:eastAsia="Cambria"/>
          <w:b/>
          <w:i/>
          <w:color w:val="FFFFFF"/>
          <w:sz w:val="52"/>
          <w:szCs w:val="52"/>
        </w:rPr>
      </w:pPr>
      <w:bookmarkStart w:id="3" w:name="_GoBack"/>
      <w:bookmarkEnd w:id="3"/>
      <w:r w:rsidRPr="00EA0A6C">
        <w:rPr>
          <w:rFonts w:eastAsia="Cambria"/>
          <w:b/>
          <w:i/>
          <w:color w:val="FFFFFF"/>
          <w:sz w:val="52"/>
          <w:szCs w:val="52"/>
        </w:rPr>
        <w:t xml:space="preserve">Předběžné posouzení finančních nástrojů OP TAK </w:t>
      </w:r>
    </w:p>
    <w:p w14:paraId="00000004" w14:textId="77777777" w:rsidR="00054D27" w:rsidRPr="00EA0A6C" w:rsidRDefault="00054D27">
      <w:pPr>
        <w:ind w:right="2835"/>
        <w:rPr>
          <w:rFonts w:eastAsia="Cambria"/>
          <w:b/>
          <w:i/>
          <w:color w:val="FFFFFF"/>
          <w:sz w:val="52"/>
          <w:szCs w:val="52"/>
        </w:rPr>
      </w:pPr>
    </w:p>
    <w:p w14:paraId="00000005" w14:textId="77777777" w:rsidR="00054D27" w:rsidRPr="00EA0A6C" w:rsidRDefault="00AF622A">
      <w:pPr>
        <w:ind w:right="2835"/>
        <w:rPr>
          <w:rFonts w:eastAsia="Cambria"/>
          <w:b/>
          <w:i/>
          <w:color w:val="FFFFFF"/>
          <w:sz w:val="40"/>
          <w:szCs w:val="40"/>
        </w:rPr>
      </w:pPr>
      <w:r w:rsidRPr="00EA0A6C">
        <w:rPr>
          <w:rFonts w:eastAsia="Cambria"/>
          <w:b/>
          <w:i/>
          <w:color w:val="FFFFFF"/>
          <w:sz w:val="40"/>
          <w:szCs w:val="40"/>
        </w:rPr>
        <w:t>Vstupní zpráva</w:t>
      </w:r>
    </w:p>
    <w:p w14:paraId="00000006" w14:textId="77777777" w:rsidR="00054D27" w:rsidRPr="00EA0A6C" w:rsidRDefault="00054D27">
      <w:pPr>
        <w:ind w:right="2835"/>
        <w:rPr>
          <w:rFonts w:eastAsia="Cambria"/>
          <w:b/>
          <w:i/>
          <w:color w:val="FFFFFF"/>
          <w:sz w:val="40"/>
          <w:szCs w:val="40"/>
        </w:rPr>
      </w:pPr>
    </w:p>
    <w:p w14:paraId="00000007" w14:textId="77777777" w:rsidR="00054D27" w:rsidRPr="00EA0A6C" w:rsidRDefault="00054D27">
      <w:pPr>
        <w:ind w:right="2835"/>
        <w:rPr>
          <w:rFonts w:eastAsia="Cambria"/>
          <w:b/>
          <w:i/>
          <w:color w:val="FFFFFF"/>
          <w:sz w:val="40"/>
          <w:szCs w:val="40"/>
        </w:rPr>
      </w:pPr>
    </w:p>
    <w:p w14:paraId="00000008" w14:textId="77777777" w:rsidR="00054D27" w:rsidRPr="00EA0A6C" w:rsidRDefault="00054D27">
      <w:pPr>
        <w:ind w:right="2835"/>
        <w:rPr>
          <w:rFonts w:eastAsia="Cambria"/>
          <w:b/>
          <w:i/>
          <w:color w:val="FFFFFF"/>
          <w:sz w:val="40"/>
          <w:szCs w:val="40"/>
        </w:rPr>
      </w:pPr>
    </w:p>
    <w:p w14:paraId="00000009" w14:textId="77777777" w:rsidR="00054D27" w:rsidRPr="00EA0A6C" w:rsidRDefault="00054D27">
      <w:pPr>
        <w:ind w:right="2835"/>
        <w:rPr>
          <w:rFonts w:eastAsia="Cambria"/>
          <w:b/>
          <w:i/>
          <w:color w:val="FFFFFF"/>
          <w:sz w:val="40"/>
          <w:szCs w:val="40"/>
        </w:rPr>
      </w:pPr>
    </w:p>
    <w:p w14:paraId="0000000A" w14:textId="77777777" w:rsidR="00054D27" w:rsidRPr="00EA0A6C" w:rsidRDefault="00054D27">
      <w:pPr>
        <w:ind w:right="2835"/>
        <w:rPr>
          <w:rFonts w:eastAsia="Cambria"/>
          <w:b/>
          <w:i/>
          <w:color w:val="FFFFFF"/>
          <w:sz w:val="40"/>
          <w:szCs w:val="40"/>
        </w:rPr>
      </w:pPr>
    </w:p>
    <w:p w14:paraId="0000000B" w14:textId="77777777" w:rsidR="00054D27" w:rsidRPr="00EA0A6C" w:rsidRDefault="00054D27">
      <w:pPr>
        <w:ind w:right="2835"/>
        <w:rPr>
          <w:rFonts w:eastAsia="Cambria"/>
          <w:b/>
          <w:i/>
          <w:color w:val="FFFFFF"/>
          <w:sz w:val="40"/>
          <w:szCs w:val="40"/>
        </w:rPr>
      </w:pPr>
    </w:p>
    <w:p w14:paraId="0000000C" w14:textId="77777777" w:rsidR="00054D27" w:rsidRPr="00EA0A6C" w:rsidRDefault="00054D27">
      <w:pPr>
        <w:ind w:right="2835"/>
        <w:rPr>
          <w:rFonts w:eastAsia="Cambria"/>
          <w:b/>
          <w:i/>
          <w:color w:val="FFFFFF"/>
          <w:sz w:val="40"/>
          <w:szCs w:val="40"/>
        </w:rPr>
      </w:pPr>
    </w:p>
    <w:p w14:paraId="0000000D" w14:textId="77777777" w:rsidR="00054D27" w:rsidRPr="00EA0A6C" w:rsidRDefault="00054D27">
      <w:pPr>
        <w:ind w:right="2835"/>
        <w:rPr>
          <w:rFonts w:eastAsia="Cambria"/>
          <w:b/>
          <w:i/>
          <w:color w:val="FFFFFF"/>
          <w:sz w:val="40"/>
          <w:szCs w:val="40"/>
        </w:rPr>
      </w:pPr>
    </w:p>
    <w:p w14:paraId="0000000E" w14:textId="77777777" w:rsidR="00054D27" w:rsidRPr="00EA0A6C" w:rsidRDefault="00054D27">
      <w:pPr>
        <w:ind w:right="2835"/>
        <w:rPr>
          <w:rFonts w:eastAsia="Cambria"/>
          <w:b/>
          <w:i/>
          <w:color w:val="FFFFFF"/>
          <w:sz w:val="40"/>
          <w:szCs w:val="40"/>
        </w:rPr>
      </w:pPr>
    </w:p>
    <w:p w14:paraId="0000000F" w14:textId="165A9E32" w:rsidR="00054D27" w:rsidRPr="00EA0A6C" w:rsidRDefault="00AF622A">
      <w:pPr>
        <w:ind w:right="2835"/>
        <w:rPr>
          <w:rFonts w:eastAsia="Cambria"/>
          <w:b/>
          <w:i/>
          <w:color w:val="FFFFFF"/>
          <w:sz w:val="40"/>
          <w:szCs w:val="40"/>
        </w:rPr>
        <w:sectPr w:rsidR="00054D27" w:rsidRPr="00EA0A6C">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08"/>
          <w:titlePg/>
        </w:sectPr>
      </w:pPr>
      <w:r w:rsidRPr="00EA0A6C">
        <w:rPr>
          <w:rFonts w:eastAsia="Cambria"/>
          <w:b/>
          <w:i/>
          <w:color w:val="FFFFFF"/>
          <w:sz w:val="40"/>
          <w:szCs w:val="40"/>
        </w:rPr>
        <w:t>Prosinec 2021</w:t>
      </w:r>
    </w:p>
    <w:p w14:paraId="00000010" w14:textId="77777777" w:rsidR="00054D27" w:rsidRPr="00800799" w:rsidRDefault="00AF622A">
      <w:pPr>
        <w:pStyle w:val="Nadpis2"/>
        <w:spacing w:after="0"/>
        <w:rPr>
          <w:b/>
          <w:color w:val="D04A02"/>
          <w:sz w:val="28"/>
          <w:szCs w:val="28"/>
        </w:rPr>
      </w:pPr>
      <w:bookmarkStart w:id="4" w:name="_heading=h.1fob9te" w:colFirst="0" w:colLast="0"/>
      <w:bookmarkStart w:id="5" w:name="_Toc90364541"/>
      <w:bookmarkStart w:id="6" w:name="_Toc89232786"/>
      <w:bookmarkEnd w:id="4"/>
      <w:r w:rsidRPr="00800799">
        <w:rPr>
          <w:b/>
          <w:color w:val="D04A02"/>
          <w:sz w:val="28"/>
          <w:szCs w:val="28"/>
        </w:rPr>
        <w:lastRenderedPageBreak/>
        <w:t>Obsah</w:t>
      </w:r>
      <w:bookmarkEnd w:id="2"/>
      <w:bookmarkEnd w:id="5"/>
      <w:bookmarkEnd w:id="6"/>
    </w:p>
    <w:sdt>
      <w:sdtPr>
        <w:id w:val="-2110886115"/>
        <w:docPartObj>
          <w:docPartGallery w:val="Table of Contents"/>
          <w:docPartUnique/>
        </w:docPartObj>
      </w:sdtPr>
      <w:sdtEndPr/>
      <w:sdtContent>
        <w:p w14:paraId="5FACE021" w14:textId="4759EDD1" w:rsidR="001B238D" w:rsidRPr="00EA0A6C" w:rsidRDefault="00AF622A">
          <w:pPr>
            <w:pStyle w:val="Obsah2"/>
            <w:tabs>
              <w:tab w:val="right" w:pos="9350"/>
            </w:tabs>
            <w:rPr>
              <w:rFonts w:eastAsiaTheme="minorEastAsia"/>
              <w:noProof/>
            </w:rPr>
          </w:pPr>
          <w:r w:rsidRPr="00C77291">
            <w:fldChar w:fldCharType="begin"/>
          </w:r>
          <w:r w:rsidRPr="00800799">
            <w:instrText xml:space="preserve"> TOC \h \u \z </w:instrText>
          </w:r>
          <w:r w:rsidRPr="00EA0A6C">
            <w:fldChar w:fldCharType="separate"/>
          </w:r>
          <w:hyperlink w:anchor="_Toc90364541" w:history="1">
            <w:r w:rsidR="001B238D" w:rsidRPr="00952825">
              <w:rPr>
                <w:rStyle w:val="Hypertextovodkaz"/>
                <w:b/>
                <w:noProof/>
              </w:rPr>
              <w:t>Obsah</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_Toc90364541 \h </w:instrText>
            </w:r>
            <w:r w:rsidR="001B238D" w:rsidRPr="00952825">
              <w:rPr>
                <w:noProof/>
                <w:webHidden/>
              </w:rPr>
            </w:r>
            <w:r w:rsidR="001B238D" w:rsidRPr="00EA0A6C">
              <w:rPr>
                <w:noProof/>
                <w:webHidden/>
              </w:rPr>
              <w:fldChar w:fldCharType="separate"/>
            </w:r>
            <w:r w:rsidR="00094E54">
              <w:rPr>
                <w:noProof/>
                <w:webHidden/>
              </w:rPr>
              <w:t>1</w:t>
            </w:r>
            <w:r w:rsidR="001B238D" w:rsidRPr="00952825">
              <w:rPr>
                <w:noProof/>
                <w:webHidden/>
              </w:rPr>
              <w:fldChar w:fldCharType="end"/>
            </w:r>
          </w:hyperlink>
        </w:p>
        <w:p w14:paraId="061F3340" w14:textId="4365B94F" w:rsidR="001B238D" w:rsidRPr="00EA0A6C" w:rsidRDefault="000244EF">
          <w:pPr>
            <w:pStyle w:val="Obsah2"/>
            <w:tabs>
              <w:tab w:val="left" w:pos="660"/>
              <w:tab w:val="right" w:pos="9350"/>
            </w:tabs>
            <w:rPr>
              <w:rFonts w:eastAsiaTheme="minorEastAsia"/>
              <w:noProof/>
            </w:rPr>
          </w:pPr>
          <w:hyperlink w:anchor="_Toc90364542" w:history="1">
            <w:r w:rsidR="001B238D" w:rsidRPr="00952825">
              <w:rPr>
                <w:rStyle w:val="Hypertextovodkaz"/>
                <w:noProof/>
              </w:rPr>
              <w:t>1.</w:t>
            </w:r>
            <w:r w:rsidR="001B238D" w:rsidRPr="00EA0A6C">
              <w:rPr>
                <w:rFonts w:eastAsiaTheme="minorEastAsia"/>
                <w:noProof/>
              </w:rPr>
              <w:tab/>
            </w:r>
            <w:r w:rsidR="001B238D" w:rsidRPr="00952825">
              <w:rPr>
                <w:rStyle w:val="Hypertextovodkaz"/>
                <w:b/>
                <w:noProof/>
              </w:rPr>
              <w:t>Manažerské shrnutí</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_Toc90364542 \h </w:instrText>
            </w:r>
            <w:r w:rsidR="001B238D" w:rsidRPr="00952825">
              <w:rPr>
                <w:noProof/>
                <w:webHidden/>
              </w:rPr>
            </w:r>
            <w:r w:rsidR="001B238D" w:rsidRPr="00EA0A6C">
              <w:rPr>
                <w:noProof/>
                <w:webHidden/>
              </w:rPr>
              <w:fldChar w:fldCharType="separate"/>
            </w:r>
            <w:r w:rsidR="00094E54">
              <w:rPr>
                <w:noProof/>
                <w:webHidden/>
              </w:rPr>
              <w:t>2</w:t>
            </w:r>
            <w:r w:rsidR="001B238D" w:rsidRPr="00952825">
              <w:rPr>
                <w:noProof/>
                <w:webHidden/>
              </w:rPr>
              <w:fldChar w:fldCharType="end"/>
            </w:r>
          </w:hyperlink>
        </w:p>
        <w:p w14:paraId="75FDC8E2" w14:textId="28733365" w:rsidR="001B238D" w:rsidRPr="00EA0A6C" w:rsidRDefault="000244EF">
          <w:pPr>
            <w:pStyle w:val="Obsah3"/>
            <w:tabs>
              <w:tab w:val="left" w:pos="1100"/>
              <w:tab w:val="right" w:pos="9350"/>
            </w:tabs>
            <w:rPr>
              <w:rFonts w:eastAsiaTheme="minorEastAsia"/>
              <w:noProof/>
            </w:rPr>
          </w:pPr>
          <w:hyperlink w:anchor="_Toc90364543" w:history="1">
            <w:r w:rsidR="001B238D" w:rsidRPr="00952825">
              <w:rPr>
                <w:rStyle w:val="Hypertextovodkaz"/>
                <w:noProof/>
              </w:rPr>
              <w:t>1.1.</w:t>
            </w:r>
            <w:r w:rsidR="001B238D" w:rsidRPr="00EA0A6C">
              <w:rPr>
                <w:rFonts w:eastAsiaTheme="minorEastAsia"/>
                <w:noProof/>
              </w:rPr>
              <w:tab/>
            </w:r>
            <w:r w:rsidR="001B238D" w:rsidRPr="00952825">
              <w:rPr>
                <w:rStyle w:val="Hypertextovodkaz"/>
                <w:noProof/>
              </w:rPr>
              <w:t>na straně Dodavatele</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_Toc90364543 \h </w:instrText>
            </w:r>
            <w:r w:rsidR="001B238D" w:rsidRPr="00952825">
              <w:rPr>
                <w:noProof/>
                <w:webHidden/>
              </w:rPr>
            </w:r>
            <w:r w:rsidR="001B238D" w:rsidRPr="00EA0A6C">
              <w:rPr>
                <w:noProof/>
                <w:webHidden/>
              </w:rPr>
              <w:fldChar w:fldCharType="separate"/>
            </w:r>
            <w:r w:rsidR="00094E54">
              <w:rPr>
                <w:noProof/>
                <w:webHidden/>
              </w:rPr>
              <w:t>4</w:t>
            </w:r>
            <w:r w:rsidR="001B238D" w:rsidRPr="00952825">
              <w:rPr>
                <w:noProof/>
                <w:webHidden/>
              </w:rPr>
              <w:fldChar w:fldCharType="end"/>
            </w:r>
          </w:hyperlink>
        </w:p>
        <w:p w14:paraId="24106D81" w14:textId="72D7433D" w:rsidR="001B238D" w:rsidRPr="00EA0A6C" w:rsidRDefault="000244EF">
          <w:pPr>
            <w:pStyle w:val="Obsah3"/>
            <w:tabs>
              <w:tab w:val="left" w:pos="1100"/>
              <w:tab w:val="right" w:pos="9350"/>
            </w:tabs>
            <w:rPr>
              <w:rFonts w:eastAsiaTheme="minorEastAsia"/>
              <w:noProof/>
            </w:rPr>
          </w:pPr>
          <w:hyperlink w:anchor="_Toc90364544" w:history="1">
            <w:r w:rsidR="001B238D" w:rsidRPr="00952825">
              <w:rPr>
                <w:rStyle w:val="Hypertextovodkaz"/>
                <w:noProof/>
              </w:rPr>
              <w:t>1.2.</w:t>
            </w:r>
            <w:r w:rsidR="001B238D" w:rsidRPr="00EA0A6C">
              <w:rPr>
                <w:rFonts w:eastAsiaTheme="minorEastAsia"/>
                <w:noProof/>
              </w:rPr>
              <w:tab/>
            </w:r>
            <w:r w:rsidR="001B238D" w:rsidRPr="00952825">
              <w:rPr>
                <w:rStyle w:val="Hypertextovodkaz"/>
                <w:noProof/>
              </w:rPr>
              <w:t>na straně Zadavatele</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_Toc90364544 \h </w:instrText>
            </w:r>
            <w:r w:rsidR="001B238D" w:rsidRPr="00952825">
              <w:rPr>
                <w:noProof/>
                <w:webHidden/>
              </w:rPr>
            </w:r>
            <w:r w:rsidR="001B238D" w:rsidRPr="00EA0A6C">
              <w:rPr>
                <w:noProof/>
                <w:webHidden/>
              </w:rPr>
              <w:fldChar w:fldCharType="separate"/>
            </w:r>
            <w:r w:rsidR="00094E54">
              <w:rPr>
                <w:noProof/>
                <w:webHidden/>
              </w:rPr>
              <w:t>4</w:t>
            </w:r>
            <w:r w:rsidR="001B238D" w:rsidRPr="00952825">
              <w:rPr>
                <w:noProof/>
                <w:webHidden/>
              </w:rPr>
              <w:fldChar w:fldCharType="end"/>
            </w:r>
          </w:hyperlink>
        </w:p>
        <w:p w14:paraId="2545BAD1" w14:textId="4CEA93B5" w:rsidR="001B238D" w:rsidRPr="00EA0A6C" w:rsidRDefault="000244EF">
          <w:pPr>
            <w:pStyle w:val="Obsah2"/>
            <w:tabs>
              <w:tab w:val="left" w:pos="660"/>
              <w:tab w:val="right" w:pos="9350"/>
            </w:tabs>
            <w:rPr>
              <w:rFonts w:eastAsiaTheme="minorEastAsia"/>
              <w:noProof/>
            </w:rPr>
          </w:pPr>
          <w:hyperlink w:anchor="_Toc90364545" w:history="1">
            <w:r w:rsidR="001B238D" w:rsidRPr="00952825">
              <w:rPr>
                <w:rStyle w:val="Hypertextovodkaz"/>
                <w:noProof/>
              </w:rPr>
              <w:t>2.</w:t>
            </w:r>
            <w:r w:rsidR="001B238D" w:rsidRPr="00EA0A6C">
              <w:rPr>
                <w:rFonts w:eastAsiaTheme="minorEastAsia"/>
                <w:noProof/>
              </w:rPr>
              <w:tab/>
            </w:r>
            <w:r w:rsidR="001B238D" w:rsidRPr="00952825">
              <w:rPr>
                <w:rStyle w:val="Hypertextovodkaz"/>
                <w:b/>
                <w:noProof/>
              </w:rPr>
              <w:t>Data request list</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_Toc90364545 \h </w:instrText>
            </w:r>
            <w:r w:rsidR="001B238D" w:rsidRPr="00952825">
              <w:rPr>
                <w:noProof/>
                <w:webHidden/>
              </w:rPr>
            </w:r>
            <w:r w:rsidR="001B238D" w:rsidRPr="00EA0A6C">
              <w:rPr>
                <w:noProof/>
                <w:webHidden/>
              </w:rPr>
              <w:fldChar w:fldCharType="separate"/>
            </w:r>
            <w:r w:rsidR="00094E54">
              <w:rPr>
                <w:noProof/>
                <w:webHidden/>
              </w:rPr>
              <w:t>6</w:t>
            </w:r>
            <w:r w:rsidR="001B238D" w:rsidRPr="00952825">
              <w:rPr>
                <w:noProof/>
                <w:webHidden/>
              </w:rPr>
              <w:fldChar w:fldCharType="end"/>
            </w:r>
          </w:hyperlink>
        </w:p>
        <w:p w14:paraId="7F1CAC4E" w14:textId="298F7F28" w:rsidR="001B238D" w:rsidRPr="00EA0A6C" w:rsidRDefault="000244EF">
          <w:pPr>
            <w:pStyle w:val="Obsah2"/>
            <w:tabs>
              <w:tab w:val="left" w:pos="660"/>
              <w:tab w:val="right" w:pos="9350"/>
            </w:tabs>
            <w:rPr>
              <w:rFonts w:eastAsiaTheme="minorEastAsia"/>
              <w:noProof/>
            </w:rPr>
          </w:pPr>
          <w:hyperlink w:anchor="_Toc90364546" w:history="1">
            <w:r w:rsidR="001B238D" w:rsidRPr="00952825">
              <w:rPr>
                <w:rStyle w:val="Hypertextovodkaz"/>
                <w:noProof/>
              </w:rPr>
              <w:t>3.</w:t>
            </w:r>
            <w:r w:rsidR="001B238D" w:rsidRPr="00EA0A6C">
              <w:rPr>
                <w:rFonts w:eastAsiaTheme="minorEastAsia"/>
                <w:noProof/>
              </w:rPr>
              <w:tab/>
            </w:r>
            <w:r w:rsidR="001B238D" w:rsidRPr="00952825">
              <w:rPr>
                <w:rStyle w:val="Hypertextovodkaz"/>
                <w:b/>
                <w:noProof/>
              </w:rPr>
              <w:t>Zřízení monitorovacích a komunikačních kanálů</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_Toc90364546 \h </w:instrText>
            </w:r>
            <w:r w:rsidR="001B238D" w:rsidRPr="00952825">
              <w:rPr>
                <w:noProof/>
                <w:webHidden/>
              </w:rPr>
            </w:r>
            <w:r w:rsidR="001B238D" w:rsidRPr="00EA0A6C">
              <w:rPr>
                <w:noProof/>
                <w:webHidden/>
              </w:rPr>
              <w:fldChar w:fldCharType="separate"/>
            </w:r>
            <w:r w:rsidR="00094E54">
              <w:rPr>
                <w:noProof/>
                <w:webHidden/>
              </w:rPr>
              <w:t>6</w:t>
            </w:r>
            <w:r w:rsidR="001B238D" w:rsidRPr="00952825">
              <w:rPr>
                <w:noProof/>
                <w:webHidden/>
              </w:rPr>
              <w:fldChar w:fldCharType="end"/>
            </w:r>
          </w:hyperlink>
        </w:p>
        <w:p w14:paraId="0A0B1803" w14:textId="0E3536EC" w:rsidR="001B238D" w:rsidRPr="00EA0A6C" w:rsidRDefault="000244EF">
          <w:pPr>
            <w:pStyle w:val="Obsah2"/>
            <w:tabs>
              <w:tab w:val="left" w:pos="660"/>
              <w:tab w:val="right" w:pos="9350"/>
            </w:tabs>
            <w:rPr>
              <w:rFonts w:eastAsiaTheme="minorEastAsia"/>
              <w:noProof/>
            </w:rPr>
          </w:pPr>
          <w:hyperlink w:anchor="_Toc90364547" w:history="1">
            <w:r w:rsidR="001B238D" w:rsidRPr="00952825">
              <w:rPr>
                <w:rStyle w:val="Hypertextovodkaz"/>
                <w:noProof/>
              </w:rPr>
              <w:t>4.</w:t>
            </w:r>
            <w:r w:rsidR="001B238D" w:rsidRPr="00EA0A6C">
              <w:rPr>
                <w:rFonts w:eastAsiaTheme="minorEastAsia"/>
                <w:noProof/>
              </w:rPr>
              <w:tab/>
            </w:r>
            <w:r w:rsidR="001B238D" w:rsidRPr="00952825">
              <w:rPr>
                <w:rStyle w:val="Hypertextovodkaz"/>
                <w:b/>
                <w:noProof/>
              </w:rPr>
              <w:t>Nastavení komunikace mezi členy týmu na obou stranách a zajištění jejich zapojení do realizace projektu</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_Toc90364547 \h </w:instrText>
            </w:r>
            <w:r w:rsidR="001B238D" w:rsidRPr="00952825">
              <w:rPr>
                <w:noProof/>
                <w:webHidden/>
              </w:rPr>
            </w:r>
            <w:r w:rsidR="001B238D" w:rsidRPr="00EA0A6C">
              <w:rPr>
                <w:noProof/>
                <w:webHidden/>
              </w:rPr>
              <w:fldChar w:fldCharType="separate"/>
            </w:r>
            <w:r w:rsidR="00094E54">
              <w:rPr>
                <w:noProof/>
                <w:webHidden/>
              </w:rPr>
              <w:t>7</w:t>
            </w:r>
            <w:r w:rsidR="001B238D" w:rsidRPr="00952825">
              <w:rPr>
                <w:noProof/>
                <w:webHidden/>
              </w:rPr>
              <w:fldChar w:fldCharType="end"/>
            </w:r>
          </w:hyperlink>
        </w:p>
        <w:p w14:paraId="66A4DF50" w14:textId="5AD00F9B" w:rsidR="001B238D" w:rsidRPr="00EA0A6C" w:rsidRDefault="000244EF">
          <w:pPr>
            <w:pStyle w:val="Obsah2"/>
            <w:tabs>
              <w:tab w:val="left" w:pos="660"/>
              <w:tab w:val="right" w:pos="9350"/>
            </w:tabs>
            <w:rPr>
              <w:rFonts w:eastAsiaTheme="minorEastAsia"/>
              <w:noProof/>
            </w:rPr>
          </w:pPr>
          <w:hyperlink w:anchor="_Toc90364548" w:history="1">
            <w:r w:rsidR="001B238D" w:rsidRPr="00952825">
              <w:rPr>
                <w:rStyle w:val="Hypertextovodkaz"/>
                <w:noProof/>
              </w:rPr>
              <w:t>5.</w:t>
            </w:r>
            <w:r w:rsidR="001B238D" w:rsidRPr="00EA0A6C">
              <w:rPr>
                <w:rFonts w:eastAsiaTheme="minorEastAsia"/>
                <w:noProof/>
              </w:rPr>
              <w:tab/>
            </w:r>
            <w:r w:rsidR="001B238D" w:rsidRPr="00952825">
              <w:rPr>
                <w:rStyle w:val="Hypertextovodkaz"/>
                <w:b/>
                <w:noProof/>
              </w:rPr>
              <w:t>Upřesnění metodiky a očekávaných cílů a výstupů projektu</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_Toc90364548 \h </w:instrText>
            </w:r>
            <w:r w:rsidR="001B238D" w:rsidRPr="00952825">
              <w:rPr>
                <w:noProof/>
                <w:webHidden/>
              </w:rPr>
            </w:r>
            <w:r w:rsidR="001B238D" w:rsidRPr="00EA0A6C">
              <w:rPr>
                <w:noProof/>
                <w:webHidden/>
              </w:rPr>
              <w:fldChar w:fldCharType="separate"/>
            </w:r>
            <w:r w:rsidR="00094E54">
              <w:rPr>
                <w:noProof/>
                <w:webHidden/>
              </w:rPr>
              <w:t>7</w:t>
            </w:r>
            <w:r w:rsidR="001B238D" w:rsidRPr="00952825">
              <w:rPr>
                <w:noProof/>
                <w:webHidden/>
              </w:rPr>
              <w:fldChar w:fldCharType="end"/>
            </w:r>
          </w:hyperlink>
        </w:p>
        <w:p w14:paraId="5E17F10E" w14:textId="6D33EBC0" w:rsidR="001B238D" w:rsidRPr="00EA0A6C" w:rsidRDefault="000244EF">
          <w:pPr>
            <w:pStyle w:val="Obsah3"/>
            <w:tabs>
              <w:tab w:val="left" w:pos="1100"/>
              <w:tab w:val="right" w:pos="9350"/>
            </w:tabs>
            <w:rPr>
              <w:rFonts w:eastAsiaTheme="minorEastAsia"/>
              <w:noProof/>
            </w:rPr>
          </w:pPr>
          <w:hyperlink w:anchor="_Toc90364549" w:history="1">
            <w:r w:rsidR="001B238D" w:rsidRPr="00952825">
              <w:rPr>
                <w:rStyle w:val="Hypertextovodkaz"/>
                <w:noProof/>
              </w:rPr>
              <w:t>5.1.</w:t>
            </w:r>
            <w:r w:rsidR="001B238D" w:rsidRPr="00EA0A6C">
              <w:rPr>
                <w:rFonts w:eastAsiaTheme="minorEastAsia"/>
                <w:noProof/>
              </w:rPr>
              <w:tab/>
            </w:r>
            <w:r w:rsidR="001B238D" w:rsidRPr="00952825">
              <w:rPr>
                <w:rStyle w:val="Hypertextovodkaz"/>
                <w:noProof/>
              </w:rPr>
              <w:t>Vstupní analýza</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_Toc90364549 \h </w:instrText>
            </w:r>
            <w:r w:rsidR="001B238D" w:rsidRPr="00952825">
              <w:rPr>
                <w:noProof/>
                <w:webHidden/>
              </w:rPr>
            </w:r>
            <w:r w:rsidR="001B238D" w:rsidRPr="00EA0A6C">
              <w:rPr>
                <w:noProof/>
                <w:webHidden/>
              </w:rPr>
              <w:fldChar w:fldCharType="separate"/>
            </w:r>
            <w:r w:rsidR="00094E54">
              <w:rPr>
                <w:noProof/>
                <w:webHidden/>
              </w:rPr>
              <w:t>7</w:t>
            </w:r>
            <w:r w:rsidR="001B238D" w:rsidRPr="00952825">
              <w:rPr>
                <w:noProof/>
                <w:webHidden/>
              </w:rPr>
              <w:fldChar w:fldCharType="end"/>
            </w:r>
          </w:hyperlink>
        </w:p>
        <w:p w14:paraId="57877CA1" w14:textId="10469FC6" w:rsidR="001B238D" w:rsidRPr="00EA0A6C" w:rsidRDefault="000244EF">
          <w:pPr>
            <w:pStyle w:val="Obsah3"/>
            <w:tabs>
              <w:tab w:val="left" w:pos="1100"/>
              <w:tab w:val="right" w:pos="9350"/>
            </w:tabs>
            <w:rPr>
              <w:rFonts w:eastAsiaTheme="minorEastAsia"/>
              <w:noProof/>
            </w:rPr>
          </w:pPr>
          <w:hyperlink w:anchor="_Toc90364550" w:history="1">
            <w:r w:rsidR="001B238D" w:rsidRPr="00952825">
              <w:rPr>
                <w:rStyle w:val="Hypertextovodkaz"/>
                <w:noProof/>
              </w:rPr>
              <w:t>5.2.</w:t>
            </w:r>
            <w:r w:rsidR="001B238D" w:rsidRPr="00EA0A6C">
              <w:rPr>
                <w:rFonts w:eastAsiaTheme="minorEastAsia"/>
                <w:noProof/>
              </w:rPr>
              <w:tab/>
            </w:r>
            <w:r w:rsidR="001B238D" w:rsidRPr="00952825">
              <w:rPr>
                <w:rStyle w:val="Hypertextovodkaz"/>
                <w:noProof/>
              </w:rPr>
              <w:t>Ex ante analýza</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_Toc90364550 \h </w:instrText>
            </w:r>
            <w:r w:rsidR="001B238D" w:rsidRPr="00952825">
              <w:rPr>
                <w:noProof/>
                <w:webHidden/>
              </w:rPr>
            </w:r>
            <w:r w:rsidR="001B238D" w:rsidRPr="00EA0A6C">
              <w:rPr>
                <w:noProof/>
                <w:webHidden/>
              </w:rPr>
              <w:fldChar w:fldCharType="separate"/>
            </w:r>
            <w:r w:rsidR="00094E54">
              <w:rPr>
                <w:noProof/>
                <w:webHidden/>
              </w:rPr>
              <w:t>8</w:t>
            </w:r>
            <w:r w:rsidR="001B238D" w:rsidRPr="00952825">
              <w:rPr>
                <w:noProof/>
                <w:webHidden/>
              </w:rPr>
              <w:fldChar w:fldCharType="end"/>
            </w:r>
          </w:hyperlink>
        </w:p>
        <w:p w14:paraId="03C4FE77" w14:textId="52959D3E" w:rsidR="001B238D" w:rsidRPr="00EA0A6C" w:rsidRDefault="000244EF">
          <w:pPr>
            <w:pStyle w:val="Obsah2"/>
            <w:tabs>
              <w:tab w:val="left" w:pos="660"/>
              <w:tab w:val="right" w:pos="9350"/>
            </w:tabs>
            <w:rPr>
              <w:rFonts w:eastAsiaTheme="minorEastAsia"/>
              <w:noProof/>
            </w:rPr>
          </w:pPr>
          <w:hyperlink w:anchor="_Toc90364551" w:history="1">
            <w:r w:rsidR="001B238D" w:rsidRPr="00952825">
              <w:rPr>
                <w:rStyle w:val="Hypertextovodkaz"/>
                <w:noProof/>
              </w:rPr>
              <w:t>6.</w:t>
            </w:r>
            <w:r w:rsidR="001B238D" w:rsidRPr="00EA0A6C">
              <w:rPr>
                <w:rFonts w:eastAsiaTheme="minorEastAsia"/>
                <w:noProof/>
              </w:rPr>
              <w:tab/>
            </w:r>
            <w:r w:rsidR="001B238D" w:rsidRPr="00952825">
              <w:rPr>
                <w:rStyle w:val="Hypertextovodkaz"/>
                <w:b/>
                <w:noProof/>
              </w:rPr>
              <w:t>Odsouhlasený harmonogram včetně hlavních milníků projektu</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_Toc90364551 \h </w:instrText>
            </w:r>
            <w:r w:rsidR="001B238D" w:rsidRPr="00952825">
              <w:rPr>
                <w:noProof/>
                <w:webHidden/>
              </w:rPr>
            </w:r>
            <w:r w:rsidR="001B238D" w:rsidRPr="00EA0A6C">
              <w:rPr>
                <w:noProof/>
                <w:webHidden/>
              </w:rPr>
              <w:fldChar w:fldCharType="separate"/>
            </w:r>
            <w:r w:rsidR="00094E54">
              <w:rPr>
                <w:noProof/>
                <w:webHidden/>
              </w:rPr>
              <w:t>10</w:t>
            </w:r>
            <w:r w:rsidR="001B238D" w:rsidRPr="00952825">
              <w:rPr>
                <w:noProof/>
                <w:webHidden/>
              </w:rPr>
              <w:fldChar w:fldCharType="end"/>
            </w:r>
          </w:hyperlink>
        </w:p>
        <w:p w14:paraId="3762C3C4" w14:textId="2A5AEBDF" w:rsidR="001B238D" w:rsidRPr="00EA0A6C" w:rsidRDefault="000244EF">
          <w:pPr>
            <w:pStyle w:val="Obsah2"/>
            <w:tabs>
              <w:tab w:val="left" w:pos="660"/>
              <w:tab w:val="right" w:pos="9350"/>
            </w:tabs>
            <w:rPr>
              <w:rFonts w:eastAsiaTheme="minorEastAsia"/>
              <w:noProof/>
            </w:rPr>
          </w:pPr>
          <w:hyperlink w:anchor="_Toc90364552" w:history="1">
            <w:r w:rsidR="001B238D" w:rsidRPr="00952825">
              <w:rPr>
                <w:rStyle w:val="Hypertextovodkaz"/>
                <w:noProof/>
              </w:rPr>
              <w:t>7.</w:t>
            </w:r>
            <w:r w:rsidR="001B238D" w:rsidRPr="00EA0A6C">
              <w:rPr>
                <w:rFonts w:eastAsiaTheme="minorEastAsia"/>
                <w:noProof/>
              </w:rPr>
              <w:tab/>
            </w:r>
            <w:r w:rsidR="001B238D" w:rsidRPr="00952825">
              <w:rPr>
                <w:rStyle w:val="Hypertextovodkaz"/>
                <w:b/>
                <w:noProof/>
              </w:rPr>
              <w:t>Odsouhlasený seznam informačních podk</w:t>
            </w:r>
            <w:r w:rsidR="001B238D" w:rsidRPr="00676862">
              <w:rPr>
                <w:rStyle w:val="Hypertextovodkaz"/>
                <w:b/>
                <w:noProof/>
              </w:rPr>
              <w:t>ladů a postupů pro sběr a analýzu dat pro další fázi</w:t>
            </w:r>
            <w:r w:rsidR="001B238D" w:rsidRPr="00676862">
              <w:rPr>
                <w:noProof/>
                <w:webHidden/>
              </w:rPr>
              <w:tab/>
            </w:r>
            <w:r w:rsidR="001B238D" w:rsidRPr="00952825">
              <w:rPr>
                <w:noProof/>
                <w:webHidden/>
              </w:rPr>
              <w:fldChar w:fldCharType="begin"/>
            </w:r>
            <w:r w:rsidR="001B238D" w:rsidRPr="00800799">
              <w:rPr>
                <w:noProof/>
                <w:webHidden/>
              </w:rPr>
              <w:instrText xml:space="preserve"> PAGEREF _Toc90364552 \h </w:instrText>
            </w:r>
            <w:r w:rsidR="001B238D" w:rsidRPr="00952825">
              <w:rPr>
                <w:noProof/>
                <w:webHidden/>
              </w:rPr>
            </w:r>
            <w:r w:rsidR="001B238D" w:rsidRPr="00EA0A6C">
              <w:rPr>
                <w:noProof/>
                <w:webHidden/>
              </w:rPr>
              <w:fldChar w:fldCharType="separate"/>
            </w:r>
            <w:r w:rsidR="00094E54">
              <w:rPr>
                <w:noProof/>
                <w:webHidden/>
              </w:rPr>
              <w:t>11</w:t>
            </w:r>
            <w:r w:rsidR="001B238D" w:rsidRPr="00952825">
              <w:rPr>
                <w:noProof/>
                <w:webHidden/>
              </w:rPr>
              <w:fldChar w:fldCharType="end"/>
            </w:r>
          </w:hyperlink>
        </w:p>
        <w:p w14:paraId="62FD1A4E" w14:textId="0D5AA65D" w:rsidR="001B238D" w:rsidRPr="00EA0A6C" w:rsidRDefault="000244EF">
          <w:pPr>
            <w:pStyle w:val="Obsah2"/>
            <w:tabs>
              <w:tab w:val="left" w:pos="660"/>
              <w:tab w:val="right" w:pos="9350"/>
            </w:tabs>
            <w:rPr>
              <w:rFonts w:eastAsiaTheme="minorEastAsia"/>
              <w:noProof/>
            </w:rPr>
          </w:pPr>
          <w:hyperlink w:anchor="_Toc90364553" w:history="1">
            <w:r w:rsidR="001B238D" w:rsidRPr="00952825">
              <w:rPr>
                <w:rStyle w:val="Hypertextovodkaz"/>
                <w:noProof/>
              </w:rPr>
              <w:t>8.</w:t>
            </w:r>
            <w:r w:rsidR="001B238D" w:rsidRPr="00EA0A6C">
              <w:rPr>
                <w:rFonts w:eastAsiaTheme="minorEastAsia"/>
                <w:noProof/>
              </w:rPr>
              <w:tab/>
            </w:r>
            <w:r w:rsidR="001B238D" w:rsidRPr="00952825">
              <w:rPr>
                <w:rStyle w:val="Hypertextovodkaz"/>
                <w:b/>
                <w:noProof/>
              </w:rPr>
              <w:t>Stručný přehled aktuálního stavu již fungujících relevantních FN</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_Toc90364553 \h </w:instrText>
            </w:r>
            <w:r w:rsidR="001B238D" w:rsidRPr="00952825">
              <w:rPr>
                <w:noProof/>
                <w:webHidden/>
              </w:rPr>
            </w:r>
            <w:r w:rsidR="001B238D" w:rsidRPr="00EA0A6C">
              <w:rPr>
                <w:noProof/>
                <w:webHidden/>
              </w:rPr>
              <w:fldChar w:fldCharType="separate"/>
            </w:r>
            <w:r w:rsidR="00094E54">
              <w:rPr>
                <w:noProof/>
                <w:webHidden/>
              </w:rPr>
              <w:t>15</w:t>
            </w:r>
            <w:r w:rsidR="001B238D" w:rsidRPr="00952825">
              <w:rPr>
                <w:noProof/>
                <w:webHidden/>
              </w:rPr>
              <w:fldChar w:fldCharType="end"/>
            </w:r>
          </w:hyperlink>
        </w:p>
        <w:p w14:paraId="22E715F4" w14:textId="2CB5D1BC" w:rsidR="001B238D" w:rsidRPr="00EA0A6C" w:rsidRDefault="000244EF">
          <w:pPr>
            <w:pStyle w:val="Obsah3"/>
            <w:tabs>
              <w:tab w:val="left" w:pos="1100"/>
              <w:tab w:val="right" w:pos="9350"/>
            </w:tabs>
            <w:rPr>
              <w:rFonts w:eastAsiaTheme="minorEastAsia"/>
              <w:noProof/>
            </w:rPr>
          </w:pPr>
          <w:hyperlink w:anchor="_Toc90364554" w:history="1">
            <w:r w:rsidR="001B238D" w:rsidRPr="00952825">
              <w:rPr>
                <w:rStyle w:val="Hypertextovodkaz"/>
                <w:noProof/>
              </w:rPr>
              <w:t>8.1.</w:t>
            </w:r>
            <w:r w:rsidR="001B238D" w:rsidRPr="00EA0A6C">
              <w:rPr>
                <w:rFonts w:eastAsiaTheme="minorEastAsia"/>
                <w:noProof/>
              </w:rPr>
              <w:tab/>
            </w:r>
            <w:r w:rsidR="001B238D" w:rsidRPr="00952825">
              <w:rPr>
                <w:rStyle w:val="Hypertextovodkaz"/>
                <w:noProof/>
              </w:rPr>
              <w:t>Expanze - úvěry</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_Toc90364554 \h </w:instrText>
            </w:r>
            <w:r w:rsidR="001B238D" w:rsidRPr="00952825">
              <w:rPr>
                <w:noProof/>
                <w:webHidden/>
              </w:rPr>
            </w:r>
            <w:r w:rsidR="001B238D" w:rsidRPr="00EA0A6C">
              <w:rPr>
                <w:noProof/>
                <w:webHidden/>
              </w:rPr>
              <w:fldChar w:fldCharType="separate"/>
            </w:r>
            <w:r w:rsidR="00094E54">
              <w:rPr>
                <w:noProof/>
                <w:webHidden/>
              </w:rPr>
              <w:t>15</w:t>
            </w:r>
            <w:r w:rsidR="001B238D" w:rsidRPr="00952825">
              <w:rPr>
                <w:noProof/>
                <w:webHidden/>
              </w:rPr>
              <w:fldChar w:fldCharType="end"/>
            </w:r>
          </w:hyperlink>
        </w:p>
        <w:p w14:paraId="1641EF89" w14:textId="52EBAE68" w:rsidR="001B238D" w:rsidRPr="00EA0A6C" w:rsidRDefault="000244EF">
          <w:pPr>
            <w:pStyle w:val="Obsah3"/>
            <w:tabs>
              <w:tab w:val="left" w:pos="1100"/>
              <w:tab w:val="right" w:pos="9350"/>
            </w:tabs>
            <w:rPr>
              <w:rFonts w:eastAsiaTheme="minorEastAsia"/>
              <w:noProof/>
            </w:rPr>
          </w:pPr>
          <w:hyperlink w:anchor="_Toc90364555" w:history="1">
            <w:r w:rsidR="001B238D" w:rsidRPr="00952825">
              <w:rPr>
                <w:rStyle w:val="Hypertextovodkaz"/>
                <w:noProof/>
              </w:rPr>
              <w:t>8.2.</w:t>
            </w:r>
            <w:r w:rsidR="001B238D" w:rsidRPr="00EA0A6C">
              <w:rPr>
                <w:rFonts w:eastAsiaTheme="minorEastAsia"/>
                <w:noProof/>
              </w:rPr>
              <w:tab/>
            </w:r>
            <w:r w:rsidR="001B238D" w:rsidRPr="00952825">
              <w:rPr>
                <w:rStyle w:val="Hypertextovodkaz"/>
                <w:noProof/>
              </w:rPr>
              <w:t>Expanze - záruky</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_Toc90364555 \h </w:instrText>
            </w:r>
            <w:r w:rsidR="001B238D" w:rsidRPr="00952825">
              <w:rPr>
                <w:noProof/>
                <w:webHidden/>
              </w:rPr>
            </w:r>
            <w:r w:rsidR="001B238D" w:rsidRPr="00EA0A6C">
              <w:rPr>
                <w:noProof/>
                <w:webHidden/>
              </w:rPr>
              <w:fldChar w:fldCharType="separate"/>
            </w:r>
            <w:r w:rsidR="00094E54">
              <w:rPr>
                <w:noProof/>
                <w:webHidden/>
              </w:rPr>
              <w:t>16</w:t>
            </w:r>
            <w:r w:rsidR="001B238D" w:rsidRPr="00952825">
              <w:rPr>
                <w:noProof/>
                <w:webHidden/>
              </w:rPr>
              <w:fldChar w:fldCharType="end"/>
            </w:r>
          </w:hyperlink>
        </w:p>
        <w:p w14:paraId="7A8F0F97" w14:textId="1A158F32" w:rsidR="001B238D" w:rsidRPr="00EA0A6C" w:rsidRDefault="000244EF">
          <w:pPr>
            <w:pStyle w:val="Obsah3"/>
            <w:tabs>
              <w:tab w:val="left" w:pos="1100"/>
              <w:tab w:val="right" w:pos="9350"/>
            </w:tabs>
            <w:rPr>
              <w:rFonts w:eastAsiaTheme="minorEastAsia"/>
              <w:noProof/>
            </w:rPr>
          </w:pPr>
          <w:hyperlink w:anchor="_Toc90364556" w:history="1">
            <w:r w:rsidR="001B238D" w:rsidRPr="00952825">
              <w:rPr>
                <w:rStyle w:val="Hypertextovodkaz"/>
                <w:noProof/>
              </w:rPr>
              <w:t>8.3.</w:t>
            </w:r>
            <w:r w:rsidR="001B238D" w:rsidRPr="00EA0A6C">
              <w:rPr>
                <w:rFonts w:eastAsiaTheme="minorEastAsia"/>
                <w:noProof/>
              </w:rPr>
              <w:tab/>
            </w:r>
            <w:r w:rsidR="001B238D" w:rsidRPr="00952825">
              <w:rPr>
                <w:rStyle w:val="Hypertextovodkaz"/>
                <w:noProof/>
              </w:rPr>
              <w:t>Rizikový kapitál – fond fondů</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_Toc90364556 \h </w:instrText>
            </w:r>
            <w:r w:rsidR="001B238D" w:rsidRPr="00952825">
              <w:rPr>
                <w:noProof/>
                <w:webHidden/>
              </w:rPr>
            </w:r>
            <w:r w:rsidR="001B238D" w:rsidRPr="00EA0A6C">
              <w:rPr>
                <w:noProof/>
                <w:webHidden/>
              </w:rPr>
              <w:fldChar w:fldCharType="separate"/>
            </w:r>
            <w:r w:rsidR="00094E54">
              <w:rPr>
                <w:noProof/>
                <w:webHidden/>
              </w:rPr>
              <w:t>17</w:t>
            </w:r>
            <w:r w:rsidR="001B238D" w:rsidRPr="00952825">
              <w:rPr>
                <w:noProof/>
                <w:webHidden/>
              </w:rPr>
              <w:fldChar w:fldCharType="end"/>
            </w:r>
          </w:hyperlink>
        </w:p>
        <w:p w14:paraId="5D56163B" w14:textId="07193B10" w:rsidR="001B238D" w:rsidRPr="00EA0A6C" w:rsidRDefault="000244EF">
          <w:pPr>
            <w:pStyle w:val="Obsah3"/>
            <w:tabs>
              <w:tab w:val="left" w:pos="1100"/>
              <w:tab w:val="right" w:pos="9350"/>
            </w:tabs>
            <w:rPr>
              <w:rFonts w:eastAsiaTheme="minorEastAsia"/>
              <w:noProof/>
            </w:rPr>
          </w:pPr>
          <w:hyperlink w:anchor="_Toc90364557" w:history="1">
            <w:r w:rsidR="001B238D" w:rsidRPr="00952825">
              <w:rPr>
                <w:rStyle w:val="Hypertextovodkaz"/>
                <w:noProof/>
              </w:rPr>
              <w:t>8.4.</w:t>
            </w:r>
            <w:r w:rsidR="001B238D" w:rsidRPr="00EA0A6C">
              <w:rPr>
                <w:rFonts w:eastAsiaTheme="minorEastAsia"/>
                <w:noProof/>
              </w:rPr>
              <w:tab/>
            </w:r>
            <w:r w:rsidR="001B238D" w:rsidRPr="00952825">
              <w:rPr>
                <w:rStyle w:val="Hypertextovodkaz"/>
                <w:noProof/>
              </w:rPr>
              <w:t>Rizikový kapitál – IPO fond</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_Toc90364557 \h </w:instrText>
            </w:r>
            <w:r w:rsidR="001B238D" w:rsidRPr="00952825">
              <w:rPr>
                <w:noProof/>
                <w:webHidden/>
              </w:rPr>
            </w:r>
            <w:r w:rsidR="001B238D" w:rsidRPr="00EA0A6C">
              <w:rPr>
                <w:noProof/>
                <w:webHidden/>
              </w:rPr>
              <w:fldChar w:fldCharType="separate"/>
            </w:r>
            <w:r w:rsidR="00094E54">
              <w:rPr>
                <w:noProof/>
                <w:webHidden/>
              </w:rPr>
              <w:t>18</w:t>
            </w:r>
            <w:r w:rsidR="001B238D" w:rsidRPr="00952825">
              <w:rPr>
                <w:noProof/>
                <w:webHidden/>
              </w:rPr>
              <w:fldChar w:fldCharType="end"/>
            </w:r>
          </w:hyperlink>
        </w:p>
        <w:p w14:paraId="4A9FB15F" w14:textId="687CAFF6" w:rsidR="001B238D" w:rsidRPr="00EA0A6C" w:rsidRDefault="000244EF">
          <w:pPr>
            <w:pStyle w:val="Obsah3"/>
            <w:tabs>
              <w:tab w:val="left" w:pos="1100"/>
              <w:tab w:val="right" w:pos="9350"/>
            </w:tabs>
            <w:rPr>
              <w:rFonts w:eastAsiaTheme="minorEastAsia"/>
              <w:noProof/>
            </w:rPr>
          </w:pPr>
          <w:hyperlink w:anchor="_Toc90364558" w:history="1">
            <w:r w:rsidR="001B238D" w:rsidRPr="00952825">
              <w:rPr>
                <w:rStyle w:val="Hypertextovodkaz"/>
                <w:noProof/>
              </w:rPr>
              <w:t>8.5.</w:t>
            </w:r>
            <w:r w:rsidR="001B238D" w:rsidRPr="00EA0A6C">
              <w:rPr>
                <w:rFonts w:eastAsiaTheme="minorEastAsia"/>
                <w:noProof/>
              </w:rPr>
              <w:tab/>
            </w:r>
            <w:r w:rsidR="001B238D" w:rsidRPr="00952825">
              <w:rPr>
                <w:rStyle w:val="Hypertextovodkaz"/>
                <w:noProof/>
              </w:rPr>
              <w:t>Fond fondů Nemovitosti – ITI Ostrava</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_Toc90364558 \h </w:instrText>
            </w:r>
            <w:r w:rsidR="001B238D" w:rsidRPr="00952825">
              <w:rPr>
                <w:noProof/>
                <w:webHidden/>
              </w:rPr>
            </w:r>
            <w:r w:rsidR="001B238D" w:rsidRPr="00EA0A6C">
              <w:rPr>
                <w:noProof/>
                <w:webHidden/>
              </w:rPr>
              <w:fldChar w:fldCharType="separate"/>
            </w:r>
            <w:r w:rsidR="00094E54">
              <w:rPr>
                <w:noProof/>
                <w:webHidden/>
              </w:rPr>
              <w:t>19</w:t>
            </w:r>
            <w:r w:rsidR="001B238D" w:rsidRPr="00952825">
              <w:rPr>
                <w:noProof/>
                <w:webHidden/>
              </w:rPr>
              <w:fldChar w:fldCharType="end"/>
            </w:r>
          </w:hyperlink>
        </w:p>
        <w:p w14:paraId="6B645E7A" w14:textId="0AB367E3" w:rsidR="001B238D" w:rsidRPr="00EA0A6C" w:rsidRDefault="000244EF">
          <w:pPr>
            <w:pStyle w:val="Obsah3"/>
            <w:tabs>
              <w:tab w:val="left" w:pos="1100"/>
              <w:tab w:val="right" w:pos="9350"/>
            </w:tabs>
            <w:rPr>
              <w:rFonts w:eastAsiaTheme="minorEastAsia"/>
              <w:noProof/>
            </w:rPr>
          </w:pPr>
          <w:hyperlink w:anchor="_Toc90364559" w:history="1">
            <w:r w:rsidR="001B238D" w:rsidRPr="00952825">
              <w:rPr>
                <w:rStyle w:val="Hypertextovodkaz"/>
                <w:noProof/>
              </w:rPr>
              <w:t>8.6.</w:t>
            </w:r>
            <w:r w:rsidR="001B238D" w:rsidRPr="00EA0A6C">
              <w:rPr>
                <w:rFonts w:eastAsiaTheme="minorEastAsia"/>
                <w:noProof/>
              </w:rPr>
              <w:tab/>
            </w:r>
            <w:r w:rsidR="001B238D" w:rsidRPr="00952825">
              <w:rPr>
                <w:rStyle w:val="Hypertextovodkaz"/>
                <w:noProof/>
              </w:rPr>
              <w:t>Úspory energie - úvěry</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_Toc90364559 \h </w:instrText>
            </w:r>
            <w:r w:rsidR="001B238D" w:rsidRPr="00952825">
              <w:rPr>
                <w:noProof/>
                <w:webHidden/>
              </w:rPr>
            </w:r>
            <w:r w:rsidR="001B238D" w:rsidRPr="00EA0A6C">
              <w:rPr>
                <w:noProof/>
                <w:webHidden/>
              </w:rPr>
              <w:fldChar w:fldCharType="separate"/>
            </w:r>
            <w:r w:rsidR="00094E54">
              <w:rPr>
                <w:noProof/>
                <w:webHidden/>
              </w:rPr>
              <w:t>20</w:t>
            </w:r>
            <w:r w:rsidR="001B238D" w:rsidRPr="00952825">
              <w:rPr>
                <w:noProof/>
                <w:webHidden/>
              </w:rPr>
              <w:fldChar w:fldCharType="end"/>
            </w:r>
          </w:hyperlink>
        </w:p>
        <w:p w14:paraId="04896DC7" w14:textId="1EDDF658" w:rsidR="001B238D" w:rsidRPr="00EA0A6C" w:rsidRDefault="000244EF">
          <w:pPr>
            <w:pStyle w:val="Obsah2"/>
            <w:tabs>
              <w:tab w:val="left" w:pos="660"/>
              <w:tab w:val="right" w:pos="9350"/>
            </w:tabs>
            <w:rPr>
              <w:rFonts w:eastAsiaTheme="minorEastAsia"/>
              <w:noProof/>
            </w:rPr>
          </w:pPr>
          <w:hyperlink w:anchor="_Toc90364560" w:history="1">
            <w:r w:rsidR="001B238D" w:rsidRPr="00952825">
              <w:rPr>
                <w:rStyle w:val="Hypertextovodkaz"/>
                <w:noProof/>
              </w:rPr>
              <w:t>1.</w:t>
            </w:r>
            <w:r w:rsidR="001B238D" w:rsidRPr="00EA0A6C">
              <w:rPr>
                <w:rFonts w:eastAsiaTheme="minorEastAsia"/>
                <w:noProof/>
              </w:rPr>
              <w:tab/>
            </w:r>
            <w:r w:rsidR="001B238D" w:rsidRPr="00952825">
              <w:rPr>
                <w:rStyle w:val="Hypertextovodkaz"/>
                <w:b/>
                <w:noProof/>
              </w:rPr>
              <w:t>Souhrn poznatků z dosavadních vstupů k jednotlivým FN</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_Toc90364560 \h </w:instrText>
            </w:r>
            <w:r w:rsidR="001B238D" w:rsidRPr="00952825">
              <w:rPr>
                <w:noProof/>
                <w:webHidden/>
              </w:rPr>
            </w:r>
            <w:r w:rsidR="001B238D" w:rsidRPr="00EA0A6C">
              <w:rPr>
                <w:noProof/>
                <w:webHidden/>
              </w:rPr>
              <w:fldChar w:fldCharType="separate"/>
            </w:r>
            <w:r w:rsidR="00094E54">
              <w:rPr>
                <w:noProof/>
                <w:webHidden/>
              </w:rPr>
              <w:t>21</w:t>
            </w:r>
            <w:r w:rsidR="001B238D" w:rsidRPr="00952825">
              <w:rPr>
                <w:noProof/>
                <w:webHidden/>
              </w:rPr>
              <w:fldChar w:fldCharType="end"/>
            </w:r>
          </w:hyperlink>
        </w:p>
        <w:p w14:paraId="27451DB9" w14:textId="71DBEFE9" w:rsidR="001B238D" w:rsidRPr="00EA0A6C" w:rsidRDefault="000244EF">
          <w:pPr>
            <w:pStyle w:val="Obsah3"/>
            <w:tabs>
              <w:tab w:val="left" w:pos="1100"/>
              <w:tab w:val="right" w:pos="9350"/>
            </w:tabs>
            <w:rPr>
              <w:rFonts w:eastAsiaTheme="minorEastAsia"/>
              <w:noProof/>
            </w:rPr>
          </w:pPr>
          <w:hyperlink w:anchor="_Toc90364561" w:history="1">
            <w:r w:rsidR="001B238D" w:rsidRPr="00952825">
              <w:rPr>
                <w:rStyle w:val="Hypertextovodkaz"/>
                <w:noProof/>
              </w:rPr>
              <w:t>1.1.</w:t>
            </w:r>
            <w:r w:rsidR="001B238D" w:rsidRPr="00EA0A6C">
              <w:rPr>
                <w:rFonts w:eastAsiaTheme="minorEastAsia"/>
                <w:noProof/>
              </w:rPr>
              <w:tab/>
            </w:r>
            <w:r w:rsidR="001B238D" w:rsidRPr="00952825">
              <w:rPr>
                <w:rStyle w:val="Hypertextovodkaz"/>
                <w:noProof/>
              </w:rPr>
              <w:t>Předchozí ex-ante analýza finančních nástrojů programu OP PIK (2015, aktualizace 2017 a 2019)</w:t>
            </w:r>
            <w:r w:rsidR="001B238D" w:rsidRPr="00676862">
              <w:rPr>
                <w:noProof/>
                <w:webHidden/>
              </w:rPr>
              <w:tab/>
            </w:r>
            <w:r w:rsidR="001B238D" w:rsidRPr="00952825">
              <w:rPr>
                <w:noProof/>
                <w:webHidden/>
              </w:rPr>
              <w:fldChar w:fldCharType="begin"/>
            </w:r>
            <w:r w:rsidR="001B238D" w:rsidRPr="00800799">
              <w:rPr>
                <w:noProof/>
                <w:webHidden/>
              </w:rPr>
              <w:instrText xml:space="preserve"> PAGEREF _Toc90364561 \h </w:instrText>
            </w:r>
            <w:r w:rsidR="001B238D" w:rsidRPr="00952825">
              <w:rPr>
                <w:noProof/>
                <w:webHidden/>
              </w:rPr>
            </w:r>
            <w:r w:rsidR="001B238D" w:rsidRPr="00EA0A6C">
              <w:rPr>
                <w:noProof/>
                <w:webHidden/>
              </w:rPr>
              <w:fldChar w:fldCharType="separate"/>
            </w:r>
            <w:r w:rsidR="00094E54">
              <w:rPr>
                <w:noProof/>
                <w:webHidden/>
              </w:rPr>
              <w:t>21</w:t>
            </w:r>
            <w:r w:rsidR="001B238D" w:rsidRPr="00952825">
              <w:rPr>
                <w:noProof/>
                <w:webHidden/>
              </w:rPr>
              <w:fldChar w:fldCharType="end"/>
            </w:r>
          </w:hyperlink>
        </w:p>
        <w:p w14:paraId="2191FF0D" w14:textId="2A067289" w:rsidR="001B238D" w:rsidRPr="00EA0A6C" w:rsidRDefault="000244EF">
          <w:pPr>
            <w:pStyle w:val="Obsah3"/>
            <w:tabs>
              <w:tab w:val="left" w:pos="1100"/>
              <w:tab w:val="right" w:pos="9350"/>
            </w:tabs>
            <w:rPr>
              <w:rFonts w:eastAsiaTheme="minorEastAsia"/>
              <w:noProof/>
            </w:rPr>
          </w:pPr>
          <w:hyperlink w:anchor="_Toc90364562" w:history="1">
            <w:r w:rsidR="001B238D" w:rsidRPr="00952825">
              <w:rPr>
                <w:rStyle w:val="Hypertextovodkaz"/>
                <w:noProof/>
              </w:rPr>
              <w:t>1.2.</w:t>
            </w:r>
            <w:r w:rsidR="001B238D" w:rsidRPr="00EA0A6C">
              <w:rPr>
                <w:rFonts w:eastAsiaTheme="minorEastAsia"/>
                <w:noProof/>
              </w:rPr>
              <w:tab/>
            </w:r>
            <w:r w:rsidR="001B238D" w:rsidRPr="00952825">
              <w:rPr>
                <w:rStyle w:val="Hypertextovodkaz"/>
                <w:noProof/>
              </w:rPr>
              <w:t>Výsledková evaluace OPPIK z roku 2019</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_Toc90364562 \h </w:instrText>
            </w:r>
            <w:r w:rsidR="001B238D" w:rsidRPr="00952825">
              <w:rPr>
                <w:noProof/>
                <w:webHidden/>
              </w:rPr>
            </w:r>
            <w:r w:rsidR="001B238D" w:rsidRPr="00EA0A6C">
              <w:rPr>
                <w:noProof/>
                <w:webHidden/>
              </w:rPr>
              <w:fldChar w:fldCharType="separate"/>
            </w:r>
            <w:r w:rsidR="00094E54">
              <w:rPr>
                <w:noProof/>
                <w:webHidden/>
              </w:rPr>
              <w:t>26</w:t>
            </w:r>
            <w:r w:rsidR="001B238D" w:rsidRPr="00952825">
              <w:rPr>
                <w:noProof/>
                <w:webHidden/>
              </w:rPr>
              <w:fldChar w:fldCharType="end"/>
            </w:r>
          </w:hyperlink>
        </w:p>
        <w:p w14:paraId="78F25C14" w14:textId="36FB72D7" w:rsidR="001B238D" w:rsidRPr="00EA0A6C" w:rsidRDefault="000244EF">
          <w:pPr>
            <w:pStyle w:val="Obsah3"/>
            <w:tabs>
              <w:tab w:val="left" w:pos="1100"/>
              <w:tab w:val="right" w:pos="9350"/>
            </w:tabs>
            <w:rPr>
              <w:rFonts w:eastAsiaTheme="minorEastAsia"/>
              <w:noProof/>
            </w:rPr>
          </w:pPr>
          <w:hyperlink w:anchor="_Toc90364563" w:history="1">
            <w:r w:rsidR="001B238D" w:rsidRPr="00952825">
              <w:rPr>
                <w:rStyle w:val="Hypertextovodkaz"/>
                <w:noProof/>
              </w:rPr>
              <w:t>1.3.</w:t>
            </w:r>
            <w:r w:rsidR="001B238D" w:rsidRPr="00EA0A6C">
              <w:rPr>
                <w:rFonts w:eastAsiaTheme="minorEastAsia"/>
                <w:noProof/>
              </w:rPr>
              <w:tab/>
            </w:r>
            <w:r w:rsidR="001B238D" w:rsidRPr="00952825">
              <w:rPr>
                <w:rStyle w:val="Hypertextovodkaz"/>
                <w:noProof/>
              </w:rPr>
              <w:t>Analýza absorpční kapacity OP TAK z roku 2020</w:t>
            </w:r>
            <w:r w:rsidR="001B238D" w:rsidRPr="00952825">
              <w:rPr>
                <w:noProof/>
                <w:webHidden/>
              </w:rPr>
              <w:tab/>
            </w:r>
            <w:r w:rsidR="001B238D" w:rsidRPr="00952825">
              <w:rPr>
                <w:noProof/>
                <w:webHidden/>
              </w:rPr>
              <w:fldChar w:fldCharType="begin"/>
            </w:r>
            <w:r w:rsidR="001B238D" w:rsidRPr="00800799">
              <w:rPr>
                <w:noProof/>
                <w:webHidden/>
              </w:rPr>
              <w:instrText xml:space="preserve"> PAGEREF _Toc90364563 \h </w:instrText>
            </w:r>
            <w:r w:rsidR="001B238D" w:rsidRPr="00952825">
              <w:rPr>
                <w:noProof/>
                <w:webHidden/>
              </w:rPr>
            </w:r>
            <w:r w:rsidR="001B238D" w:rsidRPr="00EA0A6C">
              <w:rPr>
                <w:noProof/>
                <w:webHidden/>
              </w:rPr>
              <w:fldChar w:fldCharType="separate"/>
            </w:r>
            <w:r w:rsidR="00094E54">
              <w:rPr>
                <w:noProof/>
                <w:webHidden/>
              </w:rPr>
              <w:t>28</w:t>
            </w:r>
            <w:r w:rsidR="001B238D" w:rsidRPr="00952825">
              <w:rPr>
                <w:noProof/>
                <w:webHidden/>
              </w:rPr>
              <w:fldChar w:fldCharType="end"/>
            </w:r>
          </w:hyperlink>
        </w:p>
        <w:p w14:paraId="04C35A9D" w14:textId="0695F122" w:rsidR="001B238D" w:rsidRPr="00EA0A6C" w:rsidRDefault="000244EF">
          <w:pPr>
            <w:pStyle w:val="Obsah3"/>
            <w:tabs>
              <w:tab w:val="left" w:pos="1100"/>
              <w:tab w:val="right" w:pos="9350"/>
            </w:tabs>
            <w:rPr>
              <w:rFonts w:eastAsiaTheme="minorEastAsia"/>
              <w:noProof/>
            </w:rPr>
          </w:pPr>
          <w:hyperlink w:anchor="_Toc90364564" w:history="1">
            <w:r w:rsidR="001B238D" w:rsidRPr="00952825">
              <w:rPr>
                <w:rStyle w:val="Hypertextovodkaz"/>
                <w:noProof/>
              </w:rPr>
              <w:t>1.4.</w:t>
            </w:r>
            <w:r w:rsidR="001B238D" w:rsidRPr="00EA0A6C">
              <w:rPr>
                <w:rFonts w:eastAsiaTheme="minorEastAsia"/>
                <w:noProof/>
              </w:rPr>
              <w:tab/>
            </w:r>
            <w:r w:rsidR="001B238D" w:rsidRPr="00952825">
              <w:rPr>
                <w:rStyle w:val="Hypertextovodkaz"/>
                <w:noProof/>
              </w:rPr>
              <w:t>Analýzy tržní situace v jednotlivých specifických cílech OP TAK z roku 2020</w:t>
            </w:r>
            <w:r w:rsidR="001B238D" w:rsidRPr="00676862">
              <w:rPr>
                <w:noProof/>
                <w:webHidden/>
              </w:rPr>
              <w:tab/>
            </w:r>
            <w:r w:rsidR="001B238D" w:rsidRPr="00952825">
              <w:rPr>
                <w:noProof/>
                <w:webHidden/>
              </w:rPr>
              <w:fldChar w:fldCharType="begin"/>
            </w:r>
            <w:r w:rsidR="001B238D" w:rsidRPr="00800799">
              <w:rPr>
                <w:noProof/>
                <w:webHidden/>
              </w:rPr>
              <w:instrText xml:space="preserve"> PAGEREF _Toc90364564 \h </w:instrText>
            </w:r>
            <w:r w:rsidR="001B238D" w:rsidRPr="00952825">
              <w:rPr>
                <w:noProof/>
                <w:webHidden/>
              </w:rPr>
            </w:r>
            <w:r w:rsidR="001B238D" w:rsidRPr="00EA0A6C">
              <w:rPr>
                <w:noProof/>
                <w:webHidden/>
              </w:rPr>
              <w:fldChar w:fldCharType="separate"/>
            </w:r>
            <w:r w:rsidR="00094E54">
              <w:rPr>
                <w:noProof/>
                <w:webHidden/>
              </w:rPr>
              <w:t>32</w:t>
            </w:r>
            <w:r w:rsidR="001B238D" w:rsidRPr="00952825">
              <w:rPr>
                <w:noProof/>
                <w:webHidden/>
              </w:rPr>
              <w:fldChar w:fldCharType="end"/>
            </w:r>
          </w:hyperlink>
        </w:p>
        <w:p w14:paraId="5577E983" w14:textId="44C553A9" w:rsidR="001B238D" w:rsidRPr="00EA0A6C" w:rsidRDefault="000244EF">
          <w:pPr>
            <w:pStyle w:val="Obsah3"/>
            <w:tabs>
              <w:tab w:val="left" w:pos="1100"/>
              <w:tab w:val="right" w:pos="9350"/>
            </w:tabs>
            <w:rPr>
              <w:rFonts w:eastAsiaTheme="minorEastAsia"/>
              <w:noProof/>
            </w:rPr>
          </w:pPr>
          <w:hyperlink w:anchor="_Toc90364565" w:history="1">
            <w:r w:rsidR="001B238D" w:rsidRPr="00952825">
              <w:rPr>
                <w:rStyle w:val="Hypertextovodkaz"/>
                <w:noProof/>
              </w:rPr>
              <w:t>1.5.</w:t>
            </w:r>
            <w:r w:rsidR="001B238D" w:rsidRPr="00EA0A6C">
              <w:rPr>
                <w:rFonts w:eastAsiaTheme="minorEastAsia"/>
                <w:noProof/>
              </w:rPr>
              <w:tab/>
            </w:r>
            <w:r w:rsidR="001B238D" w:rsidRPr="00952825">
              <w:rPr>
                <w:rStyle w:val="Hypertextovodkaz"/>
                <w:noProof/>
              </w:rPr>
              <w:t>Studie proveditelnosti finančního nástroje na podporu EPC projektů Evropské investiční banky z roku 2020</w:t>
            </w:r>
            <w:r w:rsidR="001B238D" w:rsidRPr="00676862">
              <w:rPr>
                <w:noProof/>
                <w:webHidden/>
              </w:rPr>
              <w:tab/>
            </w:r>
            <w:r w:rsidR="001B238D" w:rsidRPr="00952825">
              <w:rPr>
                <w:noProof/>
                <w:webHidden/>
              </w:rPr>
              <w:fldChar w:fldCharType="begin"/>
            </w:r>
            <w:r w:rsidR="001B238D" w:rsidRPr="00800799">
              <w:rPr>
                <w:noProof/>
                <w:webHidden/>
              </w:rPr>
              <w:instrText xml:space="preserve"> PAGEREF _Toc90364565 \h </w:instrText>
            </w:r>
            <w:r w:rsidR="001B238D" w:rsidRPr="00952825">
              <w:rPr>
                <w:noProof/>
                <w:webHidden/>
              </w:rPr>
            </w:r>
            <w:r w:rsidR="001B238D" w:rsidRPr="00EA0A6C">
              <w:rPr>
                <w:noProof/>
                <w:webHidden/>
              </w:rPr>
              <w:fldChar w:fldCharType="separate"/>
            </w:r>
            <w:r w:rsidR="00094E54">
              <w:rPr>
                <w:noProof/>
                <w:webHidden/>
              </w:rPr>
              <w:t>40</w:t>
            </w:r>
            <w:r w:rsidR="001B238D" w:rsidRPr="00952825">
              <w:rPr>
                <w:noProof/>
                <w:webHidden/>
              </w:rPr>
              <w:fldChar w:fldCharType="end"/>
            </w:r>
          </w:hyperlink>
        </w:p>
        <w:p w14:paraId="00000023" w14:textId="1512FCFC" w:rsidR="00054D27" w:rsidRPr="00800799" w:rsidRDefault="00AF622A">
          <w:r w:rsidRPr="00C77291">
            <w:fldChar w:fldCharType="end"/>
          </w:r>
        </w:p>
      </w:sdtContent>
    </w:sdt>
    <w:p w14:paraId="00000024" w14:textId="77777777" w:rsidR="00054D27" w:rsidRPr="00800799" w:rsidRDefault="00AF622A">
      <w:r w:rsidRPr="00800799">
        <w:br w:type="page"/>
      </w:r>
    </w:p>
    <w:p w14:paraId="00000025" w14:textId="77777777" w:rsidR="00054D27" w:rsidRPr="00952825" w:rsidRDefault="00AF622A">
      <w:pPr>
        <w:pStyle w:val="Nadpis2"/>
        <w:numPr>
          <w:ilvl w:val="0"/>
          <w:numId w:val="18"/>
        </w:numPr>
        <w:spacing w:after="0"/>
        <w:rPr>
          <w:b/>
          <w:color w:val="D04A02"/>
          <w:sz w:val="28"/>
          <w:szCs w:val="28"/>
        </w:rPr>
      </w:pPr>
      <w:bookmarkStart w:id="7" w:name="_Toc90364542"/>
      <w:bookmarkStart w:id="8" w:name="_Toc89232787"/>
      <w:bookmarkStart w:id="9" w:name="_Toc89067086"/>
      <w:r w:rsidRPr="00C77291">
        <w:rPr>
          <w:b/>
          <w:color w:val="D04A02"/>
          <w:sz w:val="28"/>
          <w:szCs w:val="28"/>
        </w:rPr>
        <w:lastRenderedPageBreak/>
        <w:t>Manažerské shrnutí</w:t>
      </w:r>
      <w:bookmarkEnd w:id="7"/>
      <w:bookmarkEnd w:id="8"/>
      <w:bookmarkEnd w:id="9"/>
      <w:r w:rsidRPr="00C77291">
        <w:rPr>
          <w:b/>
          <w:color w:val="D04A02"/>
          <w:sz w:val="28"/>
          <w:szCs w:val="28"/>
        </w:rPr>
        <w:t xml:space="preserve"> </w:t>
      </w:r>
    </w:p>
    <w:p w14:paraId="00000026" w14:textId="77777777" w:rsidR="00054D27" w:rsidRPr="00676862" w:rsidRDefault="00AF622A">
      <w:pPr>
        <w:spacing w:before="240" w:after="160"/>
        <w:jc w:val="both"/>
        <w:rPr>
          <w:color w:val="222222"/>
          <w:sz w:val="20"/>
          <w:szCs w:val="20"/>
        </w:rPr>
      </w:pPr>
      <w:r w:rsidRPr="00952825">
        <w:rPr>
          <w:color w:val="222222"/>
          <w:sz w:val="20"/>
          <w:szCs w:val="20"/>
        </w:rPr>
        <w:t xml:space="preserve">Cílem tohoto projektu je vypracování Předběžného posouzení finančních nástrojů Operačního programu Technologie a Aplikace pro konkurenceschopnost </w:t>
      </w:r>
      <w:proofErr w:type="gramStart"/>
      <w:r w:rsidRPr="00676862">
        <w:rPr>
          <w:color w:val="222222"/>
          <w:sz w:val="20"/>
          <w:szCs w:val="20"/>
        </w:rPr>
        <w:t>2021 – 2027</w:t>
      </w:r>
      <w:proofErr w:type="gramEnd"/>
      <w:r w:rsidRPr="00676862">
        <w:rPr>
          <w:color w:val="222222"/>
          <w:sz w:val="20"/>
          <w:szCs w:val="20"/>
        </w:rPr>
        <w:t xml:space="preserve"> (dále jen „OP TAK“).</w:t>
      </w:r>
    </w:p>
    <w:p w14:paraId="00000027" w14:textId="77777777" w:rsidR="00054D27" w:rsidRPr="00952825" w:rsidRDefault="00AF622A">
      <w:pPr>
        <w:spacing w:before="240" w:after="160"/>
        <w:jc w:val="both"/>
        <w:rPr>
          <w:color w:val="222222"/>
          <w:sz w:val="20"/>
          <w:szCs w:val="20"/>
        </w:rPr>
      </w:pPr>
      <w:r w:rsidRPr="00800799">
        <w:rPr>
          <w:color w:val="222222"/>
          <w:sz w:val="20"/>
          <w:szCs w:val="20"/>
        </w:rPr>
        <w:t>Finanční nařízení</w:t>
      </w:r>
      <w:r w:rsidRPr="00800799">
        <w:rPr>
          <w:color w:val="222222"/>
          <w:sz w:val="20"/>
          <w:szCs w:val="20"/>
          <w:vertAlign w:val="superscript"/>
        </w:rPr>
        <w:footnoteReference w:id="2"/>
      </w:r>
      <w:r w:rsidRPr="00800799">
        <w:rPr>
          <w:color w:val="222222"/>
          <w:sz w:val="20"/>
          <w:szCs w:val="20"/>
        </w:rPr>
        <w:t xml:space="preserve"> definuje finanční nástroj (dále také „FN“) v čl. 2 odst. 29 jako opatření finanční podpory Unie poskytovaná z rozpočtu na doplňkovém základě a zaměřená na plnění jednoho nebo více konkrétních politických </w:t>
      </w:r>
      <w:r w:rsidRPr="00C77291">
        <w:rPr>
          <w:color w:val="222222"/>
          <w:sz w:val="20"/>
          <w:szCs w:val="20"/>
        </w:rPr>
        <w:t>cílů Unie. Tyto nástroje mohou mít formu kapitálový</w:t>
      </w:r>
      <w:r w:rsidRPr="00952825">
        <w:rPr>
          <w:color w:val="222222"/>
          <w:sz w:val="20"/>
          <w:szCs w:val="20"/>
        </w:rPr>
        <w:t xml:space="preserve">ch či </w:t>
      </w:r>
      <w:proofErr w:type="spellStart"/>
      <w:r w:rsidRPr="00952825">
        <w:rPr>
          <w:color w:val="222222"/>
          <w:sz w:val="20"/>
          <w:szCs w:val="20"/>
        </w:rPr>
        <w:t>kvazikapitálových</w:t>
      </w:r>
      <w:proofErr w:type="spellEnd"/>
      <w:r w:rsidRPr="00952825">
        <w:rPr>
          <w:color w:val="222222"/>
          <w:sz w:val="20"/>
          <w:szCs w:val="20"/>
        </w:rPr>
        <w:t xml:space="preserve"> investic, půjček nebo záruk anebo jiných nástrojů ke sdílení rizik, a tam, kde je to vhodné, mohou být spojeny s granty.</w:t>
      </w:r>
    </w:p>
    <w:p w14:paraId="00000028" w14:textId="77777777" w:rsidR="00054D27" w:rsidRPr="00800799" w:rsidRDefault="00AF622A">
      <w:pPr>
        <w:spacing w:before="240" w:after="240"/>
        <w:jc w:val="both"/>
        <w:rPr>
          <w:color w:val="222222"/>
          <w:sz w:val="20"/>
          <w:szCs w:val="20"/>
        </w:rPr>
      </w:pPr>
      <w:r w:rsidRPr="00676862">
        <w:rPr>
          <w:color w:val="222222"/>
          <w:sz w:val="20"/>
          <w:szCs w:val="20"/>
        </w:rPr>
        <w:t>Finanční nástroje představují zvláštní kategorie výdajů Fondů EU a jejich úspěšný návrh a realizace závisí na s</w:t>
      </w:r>
      <w:r w:rsidRPr="00800799">
        <w:rPr>
          <w:color w:val="222222"/>
          <w:sz w:val="20"/>
          <w:szCs w:val="20"/>
        </w:rPr>
        <w:t xml:space="preserve">právném vyhodnocení mezer a potřeb trhu. Používají se na podporu projektů a investic, které budou podle očekávání finančně životaschopné a které nemohou získat dostatečné financování z tržních zdrojů. Po vzoru programového období 2014-2020 předpokládá i nová legislativa pro programové období </w:t>
      </w:r>
      <w:proofErr w:type="gramStart"/>
      <w:r w:rsidRPr="00800799">
        <w:rPr>
          <w:color w:val="222222"/>
          <w:sz w:val="20"/>
          <w:szCs w:val="20"/>
        </w:rPr>
        <w:t>2021 – 2027</w:t>
      </w:r>
      <w:proofErr w:type="gramEnd"/>
      <w:r w:rsidRPr="00800799">
        <w:rPr>
          <w:color w:val="222222"/>
          <w:sz w:val="20"/>
          <w:szCs w:val="20"/>
        </w:rPr>
        <w:t xml:space="preserve"> (právní předpis rušící a nahrazující tzv. „Obecné nařízení“) mj. ustanovení, ze kterého vyplývá povinnost provést předběžné posouzení FN před spuštěním finančního nástroje v rámci operačního programu.</w:t>
      </w:r>
    </w:p>
    <w:p w14:paraId="00000029" w14:textId="77777777" w:rsidR="00054D27" w:rsidRPr="00800799" w:rsidRDefault="00AF622A">
      <w:pPr>
        <w:spacing w:before="240" w:after="240"/>
        <w:jc w:val="both"/>
        <w:rPr>
          <w:color w:val="222222"/>
          <w:sz w:val="20"/>
          <w:szCs w:val="20"/>
        </w:rPr>
      </w:pPr>
      <w:r w:rsidRPr="00800799">
        <w:rPr>
          <w:color w:val="222222"/>
          <w:sz w:val="20"/>
          <w:szCs w:val="20"/>
        </w:rPr>
        <w:t xml:space="preserve">Cílem prací prováděných v rámci veřejné zakázky je vypracování předběžného posouzení FN v souladu s Obecným nařízením pro programové období </w:t>
      </w:r>
      <w:proofErr w:type="gramStart"/>
      <w:r w:rsidRPr="00800799">
        <w:rPr>
          <w:color w:val="222222"/>
          <w:sz w:val="20"/>
          <w:szCs w:val="20"/>
        </w:rPr>
        <w:t>2021 – 2027</w:t>
      </w:r>
      <w:proofErr w:type="gramEnd"/>
      <w:r w:rsidRPr="00800799">
        <w:rPr>
          <w:color w:val="222222"/>
          <w:sz w:val="20"/>
          <w:szCs w:val="20"/>
        </w:rPr>
        <w:t>.</w:t>
      </w:r>
    </w:p>
    <w:p w14:paraId="0000002A" w14:textId="77777777" w:rsidR="00054D27" w:rsidRPr="00800799" w:rsidRDefault="00AF622A">
      <w:pPr>
        <w:numPr>
          <w:ilvl w:val="0"/>
          <w:numId w:val="9"/>
        </w:numPr>
        <w:spacing w:before="240"/>
        <w:jc w:val="both"/>
        <w:rPr>
          <w:color w:val="222222"/>
          <w:sz w:val="20"/>
          <w:szCs w:val="20"/>
        </w:rPr>
      </w:pPr>
      <w:r w:rsidRPr="00800799">
        <w:rPr>
          <w:b/>
          <w:color w:val="222222"/>
          <w:sz w:val="20"/>
          <w:szCs w:val="20"/>
        </w:rPr>
        <w:t xml:space="preserve">Vypracování předběžného </w:t>
      </w:r>
      <w:proofErr w:type="gramStart"/>
      <w:r w:rsidRPr="00800799">
        <w:rPr>
          <w:b/>
          <w:color w:val="222222"/>
          <w:sz w:val="20"/>
          <w:szCs w:val="20"/>
        </w:rPr>
        <w:t>posouzení -</w:t>
      </w:r>
      <w:r w:rsidRPr="00800799">
        <w:rPr>
          <w:color w:val="222222"/>
          <w:sz w:val="20"/>
          <w:szCs w:val="20"/>
        </w:rPr>
        <w:t xml:space="preserve"> požadovat</w:t>
      </w:r>
      <w:proofErr w:type="gramEnd"/>
      <w:r w:rsidRPr="00800799">
        <w:rPr>
          <w:color w:val="222222"/>
          <w:sz w:val="20"/>
          <w:szCs w:val="20"/>
        </w:rPr>
        <w:t xml:space="preserve"> zpracování kompletního předběžného posouzení v rozsahu předpokládaném legislativou pro politiku soudržnosti 2021-2027.</w:t>
      </w:r>
    </w:p>
    <w:p w14:paraId="0000002B" w14:textId="77777777" w:rsidR="00054D27" w:rsidRPr="00800799" w:rsidRDefault="00AF622A">
      <w:pPr>
        <w:numPr>
          <w:ilvl w:val="0"/>
          <w:numId w:val="9"/>
        </w:numPr>
        <w:spacing w:after="240"/>
        <w:jc w:val="both"/>
        <w:rPr>
          <w:color w:val="222222"/>
          <w:sz w:val="20"/>
          <w:szCs w:val="20"/>
        </w:rPr>
      </w:pPr>
      <w:r w:rsidRPr="00800799">
        <w:rPr>
          <w:i/>
          <w:color w:val="222222"/>
          <w:sz w:val="20"/>
          <w:szCs w:val="20"/>
        </w:rPr>
        <w:t xml:space="preserve">(pouze v případě potřeby) </w:t>
      </w:r>
      <w:r w:rsidRPr="00800799">
        <w:rPr>
          <w:b/>
          <w:color w:val="222222"/>
          <w:sz w:val="20"/>
          <w:szCs w:val="20"/>
        </w:rPr>
        <w:t xml:space="preserve">Aktualizace předběžného posouzení </w:t>
      </w:r>
    </w:p>
    <w:p w14:paraId="0000002C" w14:textId="77777777" w:rsidR="00054D27" w:rsidRPr="00800799" w:rsidRDefault="00054D27">
      <w:pPr>
        <w:rPr>
          <w:sz w:val="20"/>
          <w:szCs w:val="20"/>
        </w:rPr>
      </w:pPr>
    </w:p>
    <w:p w14:paraId="0000002D" w14:textId="77777777" w:rsidR="00054D27" w:rsidRPr="00800799" w:rsidRDefault="00AF622A">
      <w:pPr>
        <w:rPr>
          <w:b/>
          <w:sz w:val="20"/>
          <w:szCs w:val="20"/>
        </w:rPr>
      </w:pPr>
      <w:r w:rsidRPr="00800799">
        <w:rPr>
          <w:b/>
          <w:sz w:val="20"/>
          <w:szCs w:val="20"/>
        </w:rPr>
        <w:t>Vstupní zpráva projektu zahrnuje:</w:t>
      </w:r>
    </w:p>
    <w:p w14:paraId="0000002E" w14:textId="77777777" w:rsidR="00054D27" w:rsidRPr="00800799" w:rsidRDefault="00054D27">
      <w:pPr>
        <w:rPr>
          <w:sz w:val="20"/>
          <w:szCs w:val="20"/>
        </w:rPr>
      </w:pPr>
    </w:p>
    <w:p w14:paraId="0000002F" w14:textId="77777777" w:rsidR="00054D27" w:rsidRPr="00800799" w:rsidRDefault="00AF622A">
      <w:pPr>
        <w:numPr>
          <w:ilvl w:val="0"/>
          <w:numId w:val="1"/>
        </w:numPr>
        <w:pBdr>
          <w:top w:val="nil"/>
          <w:left w:val="nil"/>
          <w:bottom w:val="nil"/>
          <w:right w:val="nil"/>
          <w:between w:val="nil"/>
        </w:pBdr>
        <w:spacing w:line="240" w:lineRule="auto"/>
        <w:rPr>
          <w:color w:val="000000"/>
          <w:sz w:val="20"/>
          <w:szCs w:val="20"/>
        </w:rPr>
      </w:pPr>
      <w:r w:rsidRPr="00800799">
        <w:rPr>
          <w:color w:val="000000"/>
          <w:sz w:val="20"/>
          <w:szCs w:val="20"/>
        </w:rPr>
        <w:t>upřesnění metodiky projektu</w:t>
      </w:r>
    </w:p>
    <w:p w14:paraId="00000030" w14:textId="77777777" w:rsidR="00054D27" w:rsidRPr="00800799" w:rsidRDefault="00AF622A">
      <w:pPr>
        <w:numPr>
          <w:ilvl w:val="0"/>
          <w:numId w:val="1"/>
        </w:numPr>
        <w:pBdr>
          <w:top w:val="nil"/>
          <w:left w:val="nil"/>
          <w:bottom w:val="nil"/>
          <w:right w:val="nil"/>
          <w:between w:val="nil"/>
        </w:pBdr>
        <w:spacing w:line="240" w:lineRule="auto"/>
        <w:rPr>
          <w:color w:val="000000"/>
          <w:sz w:val="20"/>
          <w:szCs w:val="20"/>
        </w:rPr>
      </w:pPr>
      <w:r w:rsidRPr="00800799">
        <w:rPr>
          <w:color w:val="000000"/>
          <w:sz w:val="20"/>
          <w:szCs w:val="20"/>
        </w:rPr>
        <w:t>projektový tým, požadavky na vstupní data, harmonogram</w:t>
      </w:r>
    </w:p>
    <w:p w14:paraId="00000031" w14:textId="77777777" w:rsidR="00054D27" w:rsidRPr="00800799" w:rsidRDefault="00AF622A">
      <w:pPr>
        <w:numPr>
          <w:ilvl w:val="0"/>
          <w:numId w:val="1"/>
        </w:numPr>
        <w:pBdr>
          <w:top w:val="nil"/>
          <w:left w:val="nil"/>
          <w:bottom w:val="nil"/>
          <w:right w:val="nil"/>
          <w:between w:val="nil"/>
        </w:pBdr>
        <w:spacing w:line="240" w:lineRule="auto"/>
        <w:rPr>
          <w:color w:val="000000"/>
          <w:sz w:val="20"/>
          <w:szCs w:val="20"/>
        </w:rPr>
      </w:pPr>
      <w:r w:rsidRPr="00800799">
        <w:rPr>
          <w:color w:val="000000"/>
          <w:sz w:val="20"/>
          <w:szCs w:val="20"/>
        </w:rPr>
        <w:t>zřízení monitorovacích a komunikačních kanálů, nastavení komunikace</w:t>
      </w:r>
    </w:p>
    <w:p w14:paraId="00000032" w14:textId="77777777" w:rsidR="00054D27" w:rsidRPr="00800799" w:rsidRDefault="00AF622A">
      <w:pPr>
        <w:numPr>
          <w:ilvl w:val="0"/>
          <w:numId w:val="1"/>
        </w:numPr>
        <w:pBdr>
          <w:top w:val="nil"/>
          <w:left w:val="nil"/>
          <w:bottom w:val="nil"/>
          <w:right w:val="nil"/>
          <w:between w:val="nil"/>
        </w:pBdr>
        <w:spacing w:line="240" w:lineRule="auto"/>
        <w:rPr>
          <w:color w:val="000000"/>
          <w:sz w:val="20"/>
          <w:szCs w:val="20"/>
        </w:rPr>
      </w:pPr>
      <w:r w:rsidRPr="00800799">
        <w:rPr>
          <w:color w:val="000000"/>
          <w:sz w:val="20"/>
          <w:szCs w:val="20"/>
        </w:rPr>
        <w:t>ověření platnosti závěrů studií provedených v minulosti</w:t>
      </w:r>
    </w:p>
    <w:p w14:paraId="00000033" w14:textId="77777777" w:rsidR="00054D27" w:rsidRPr="00800799" w:rsidRDefault="00AF622A">
      <w:pPr>
        <w:numPr>
          <w:ilvl w:val="0"/>
          <w:numId w:val="1"/>
        </w:numPr>
        <w:pBdr>
          <w:top w:val="nil"/>
          <w:left w:val="nil"/>
          <w:bottom w:val="nil"/>
          <w:right w:val="nil"/>
          <w:between w:val="nil"/>
        </w:pBdr>
        <w:spacing w:line="240" w:lineRule="auto"/>
        <w:rPr>
          <w:color w:val="000000"/>
          <w:sz w:val="20"/>
          <w:szCs w:val="20"/>
        </w:rPr>
      </w:pPr>
      <w:r w:rsidRPr="00800799">
        <w:rPr>
          <w:color w:val="000000"/>
          <w:sz w:val="20"/>
          <w:szCs w:val="20"/>
        </w:rPr>
        <w:t>další kroky (témata pro strukturované rozhovory a dotazníková šetření).</w:t>
      </w:r>
    </w:p>
    <w:p w14:paraId="00000034" w14:textId="77777777" w:rsidR="00054D27" w:rsidRPr="00800799" w:rsidRDefault="00054D27">
      <w:pPr>
        <w:rPr>
          <w:sz w:val="20"/>
          <w:szCs w:val="20"/>
        </w:rPr>
      </w:pPr>
    </w:p>
    <w:p w14:paraId="00000035" w14:textId="02F922F9" w:rsidR="00054D27" w:rsidRPr="00800799" w:rsidRDefault="00AF622A">
      <w:pPr>
        <w:rPr>
          <w:sz w:val="20"/>
          <w:szCs w:val="20"/>
        </w:rPr>
      </w:pPr>
      <w:r w:rsidRPr="00800799">
        <w:rPr>
          <w:sz w:val="20"/>
          <w:szCs w:val="20"/>
        </w:rPr>
        <w:t>K datu odevzdání zprávy bylo osloveno přes 20 subjektů s žádostí o provedení strukturovaného rozhovoru. Byly též provedeny tři schůzky projektového týmu včetně úvodní schůzky.</w:t>
      </w:r>
    </w:p>
    <w:p w14:paraId="00000036" w14:textId="77777777" w:rsidR="00054D27" w:rsidRPr="00C77291" w:rsidRDefault="00054D27">
      <w:pPr>
        <w:rPr>
          <w:sz w:val="20"/>
          <w:szCs w:val="20"/>
        </w:rPr>
      </w:pPr>
    </w:p>
    <w:p w14:paraId="00000037" w14:textId="77777777" w:rsidR="00054D27" w:rsidRPr="00800799" w:rsidRDefault="00AF622A">
      <w:pPr>
        <w:rPr>
          <w:sz w:val="20"/>
          <w:szCs w:val="20"/>
        </w:rPr>
      </w:pPr>
      <w:r w:rsidRPr="00952825">
        <w:rPr>
          <w:sz w:val="20"/>
          <w:szCs w:val="20"/>
        </w:rPr>
        <w:t xml:space="preserve">Závěry dosud provedených studií </w:t>
      </w:r>
      <w:r w:rsidRPr="00676862">
        <w:rPr>
          <w:sz w:val="20"/>
          <w:szCs w:val="20"/>
        </w:rPr>
        <w:t>prokázaly ve většině oblastí svou platnost.</w:t>
      </w:r>
      <w:r w:rsidRPr="00800799">
        <w:rPr>
          <w:b/>
          <w:sz w:val="20"/>
          <w:szCs w:val="20"/>
        </w:rPr>
        <w:t xml:space="preserve"> Zvláštní pozornost bude </w:t>
      </w:r>
      <w:proofErr w:type="spellStart"/>
      <w:r w:rsidRPr="00800799">
        <w:rPr>
          <w:b/>
          <w:sz w:val="20"/>
          <w:szCs w:val="20"/>
        </w:rPr>
        <w:t>PwC</w:t>
      </w:r>
      <w:proofErr w:type="spellEnd"/>
      <w:r w:rsidRPr="00800799">
        <w:rPr>
          <w:b/>
          <w:sz w:val="20"/>
          <w:szCs w:val="20"/>
        </w:rPr>
        <w:t xml:space="preserve"> v dalším průběhu projektu věnovat:</w:t>
      </w:r>
    </w:p>
    <w:p w14:paraId="00000038" w14:textId="77777777" w:rsidR="00054D27" w:rsidRPr="00800799" w:rsidRDefault="00054D27">
      <w:pPr>
        <w:rPr>
          <w:sz w:val="20"/>
          <w:szCs w:val="20"/>
        </w:rPr>
      </w:pPr>
    </w:p>
    <w:p w14:paraId="00000039" w14:textId="77777777" w:rsidR="00054D27" w:rsidRPr="00800799" w:rsidRDefault="00AF622A">
      <w:pPr>
        <w:numPr>
          <w:ilvl w:val="0"/>
          <w:numId w:val="3"/>
        </w:numPr>
        <w:pBdr>
          <w:top w:val="nil"/>
          <w:left w:val="nil"/>
          <w:bottom w:val="nil"/>
          <w:right w:val="nil"/>
          <w:between w:val="nil"/>
        </w:pBdr>
        <w:rPr>
          <w:color w:val="000000"/>
          <w:sz w:val="20"/>
          <w:szCs w:val="20"/>
        </w:rPr>
      </w:pPr>
      <w:r w:rsidRPr="00800799">
        <w:rPr>
          <w:color w:val="000000"/>
          <w:sz w:val="20"/>
          <w:szCs w:val="20"/>
        </w:rPr>
        <w:t xml:space="preserve">novým tématům pro finanční nástroje (digitalizace podnikání, </w:t>
      </w:r>
      <w:proofErr w:type="spellStart"/>
      <w:r w:rsidRPr="00800799">
        <w:rPr>
          <w:color w:val="000000"/>
          <w:sz w:val="20"/>
          <w:szCs w:val="20"/>
        </w:rPr>
        <w:t>elektromobilita</w:t>
      </w:r>
      <w:proofErr w:type="spellEnd"/>
      <w:r w:rsidRPr="00800799">
        <w:rPr>
          <w:color w:val="000000"/>
          <w:sz w:val="20"/>
          <w:szCs w:val="20"/>
        </w:rPr>
        <w:t>, hospodaření s vodou)</w:t>
      </w:r>
    </w:p>
    <w:p w14:paraId="0000003A" w14:textId="77777777" w:rsidR="00054D27" w:rsidRPr="00800799" w:rsidRDefault="00AF622A">
      <w:pPr>
        <w:numPr>
          <w:ilvl w:val="0"/>
          <w:numId w:val="3"/>
        </w:numPr>
        <w:pBdr>
          <w:top w:val="nil"/>
          <w:left w:val="nil"/>
          <w:bottom w:val="nil"/>
          <w:right w:val="nil"/>
          <w:between w:val="nil"/>
        </w:pBdr>
        <w:rPr>
          <w:color w:val="000000"/>
          <w:sz w:val="20"/>
          <w:szCs w:val="20"/>
        </w:rPr>
      </w:pPr>
      <w:r w:rsidRPr="00800799">
        <w:rPr>
          <w:color w:val="000000"/>
          <w:sz w:val="20"/>
          <w:szCs w:val="20"/>
        </w:rPr>
        <w:t>vhodnému nastavení kombinace finančního nástroje a dotace</w:t>
      </w:r>
    </w:p>
    <w:p w14:paraId="0000003B" w14:textId="77777777" w:rsidR="00054D27" w:rsidRPr="00800799" w:rsidRDefault="00AF622A">
      <w:pPr>
        <w:numPr>
          <w:ilvl w:val="0"/>
          <w:numId w:val="3"/>
        </w:numPr>
        <w:pBdr>
          <w:top w:val="nil"/>
          <w:left w:val="nil"/>
          <w:bottom w:val="nil"/>
          <w:right w:val="nil"/>
          <w:between w:val="nil"/>
        </w:pBdr>
        <w:rPr>
          <w:color w:val="000000"/>
          <w:sz w:val="20"/>
          <w:szCs w:val="20"/>
        </w:rPr>
      </w:pPr>
      <w:r w:rsidRPr="00800799">
        <w:rPr>
          <w:color w:val="000000"/>
          <w:sz w:val="20"/>
          <w:szCs w:val="20"/>
        </w:rPr>
        <w:t>ověření funkčnosti pilotních finančních nástrojů (IPO fond, Nemovitosti)</w:t>
      </w:r>
    </w:p>
    <w:p w14:paraId="0000003C" w14:textId="77777777" w:rsidR="00054D27" w:rsidRPr="00800799" w:rsidRDefault="00AF622A">
      <w:pPr>
        <w:numPr>
          <w:ilvl w:val="0"/>
          <w:numId w:val="3"/>
        </w:numPr>
        <w:pBdr>
          <w:top w:val="nil"/>
          <w:left w:val="nil"/>
          <w:bottom w:val="nil"/>
          <w:right w:val="nil"/>
          <w:between w:val="nil"/>
        </w:pBdr>
        <w:rPr>
          <w:color w:val="000000"/>
          <w:sz w:val="20"/>
          <w:szCs w:val="20"/>
        </w:rPr>
      </w:pPr>
      <w:r w:rsidRPr="00800799">
        <w:rPr>
          <w:color w:val="000000"/>
          <w:sz w:val="20"/>
          <w:szCs w:val="20"/>
        </w:rPr>
        <w:lastRenderedPageBreak/>
        <w:t>opatření pro zvýšení absorpční kapacity včetně propagace (Úspory energie, zvláštní podporované aktivity)</w:t>
      </w:r>
    </w:p>
    <w:p w14:paraId="0000003D" w14:textId="76ADE2F2" w:rsidR="00054D27" w:rsidRPr="00800799" w:rsidRDefault="00AF622A">
      <w:pPr>
        <w:numPr>
          <w:ilvl w:val="0"/>
          <w:numId w:val="3"/>
        </w:numPr>
        <w:pBdr>
          <w:top w:val="nil"/>
          <w:left w:val="nil"/>
          <w:bottom w:val="nil"/>
          <w:right w:val="nil"/>
          <w:between w:val="nil"/>
        </w:pBdr>
        <w:rPr>
          <w:color w:val="000000"/>
          <w:sz w:val="20"/>
          <w:szCs w:val="20"/>
        </w:rPr>
      </w:pPr>
      <w:r w:rsidRPr="00800799">
        <w:rPr>
          <w:color w:val="000000"/>
          <w:sz w:val="20"/>
          <w:szCs w:val="20"/>
        </w:rPr>
        <w:t>nastavení komplementarit s dalšími finančními nástroji</w:t>
      </w:r>
      <w:r w:rsidR="00E06D92" w:rsidRPr="00800799">
        <w:rPr>
          <w:color w:val="000000"/>
          <w:sz w:val="20"/>
          <w:szCs w:val="20"/>
        </w:rPr>
        <w:t xml:space="preserve">, </w:t>
      </w:r>
      <w:r w:rsidRPr="00800799">
        <w:rPr>
          <w:color w:val="000000"/>
          <w:sz w:val="20"/>
          <w:szCs w:val="20"/>
        </w:rPr>
        <w:t xml:space="preserve">zejména Národní plán obnovy – komponenta 1.4 </w:t>
      </w:r>
      <w:r w:rsidR="00E06D92" w:rsidRPr="00800799">
        <w:rPr>
          <w:color w:val="000000"/>
          <w:sz w:val="20"/>
          <w:szCs w:val="20"/>
        </w:rPr>
        <w:t>v</w:t>
      </w:r>
      <w:r w:rsidRPr="00800799">
        <w:rPr>
          <w:color w:val="000000"/>
          <w:sz w:val="20"/>
          <w:szCs w:val="20"/>
        </w:rPr>
        <w:t xml:space="preserve"> případě Rizikového kapitálu</w:t>
      </w:r>
      <w:r w:rsidR="00E06D92" w:rsidRPr="00800799">
        <w:rPr>
          <w:color w:val="000000"/>
          <w:sz w:val="20"/>
          <w:szCs w:val="20"/>
        </w:rPr>
        <w:t>,</w:t>
      </w:r>
      <w:r w:rsidRPr="00800799">
        <w:rPr>
          <w:color w:val="000000"/>
          <w:sz w:val="20"/>
          <w:szCs w:val="20"/>
        </w:rPr>
        <w:t xml:space="preserve"> komponenta </w:t>
      </w:r>
      <w:r w:rsidR="00E06D92" w:rsidRPr="00800799">
        <w:rPr>
          <w:color w:val="000000"/>
          <w:sz w:val="20"/>
          <w:szCs w:val="20"/>
        </w:rPr>
        <w:t>2</w:t>
      </w:r>
      <w:r w:rsidRPr="00800799">
        <w:rPr>
          <w:color w:val="000000"/>
          <w:sz w:val="20"/>
          <w:szCs w:val="20"/>
        </w:rPr>
        <w:t>.</w:t>
      </w:r>
      <w:r w:rsidR="00E06D92" w:rsidRPr="00800799">
        <w:rPr>
          <w:color w:val="000000"/>
          <w:sz w:val="20"/>
          <w:szCs w:val="20"/>
        </w:rPr>
        <w:t>3</w:t>
      </w:r>
      <w:r w:rsidRPr="00800799">
        <w:rPr>
          <w:color w:val="000000"/>
          <w:sz w:val="20"/>
          <w:szCs w:val="20"/>
        </w:rPr>
        <w:t xml:space="preserve"> v případě Úspor energie</w:t>
      </w:r>
      <w:r w:rsidR="00E06D92" w:rsidRPr="00800799">
        <w:rPr>
          <w:color w:val="000000"/>
          <w:sz w:val="20"/>
          <w:szCs w:val="20"/>
        </w:rPr>
        <w:t>,</w:t>
      </w:r>
      <w:r w:rsidR="00E06D92" w:rsidRPr="00800799">
        <w:t xml:space="preserve"> </w:t>
      </w:r>
      <w:r w:rsidR="00E06D92" w:rsidRPr="00800799">
        <w:rPr>
          <w:color w:val="000000"/>
          <w:sz w:val="20"/>
          <w:szCs w:val="20"/>
        </w:rPr>
        <w:t xml:space="preserve">komponenta 2.4 zaměřená na čistou mobilitu, komponenta 4.2 - tzv. „zelený </w:t>
      </w:r>
      <w:proofErr w:type="spellStart"/>
      <w:r w:rsidR="00E06D92" w:rsidRPr="00800799">
        <w:rPr>
          <w:color w:val="000000"/>
          <w:sz w:val="20"/>
          <w:szCs w:val="20"/>
        </w:rPr>
        <w:t>mezzanine</w:t>
      </w:r>
      <w:proofErr w:type="spellEnd"/>
      <w:r w:rsidR="00E06D92" w:rsidRPr="00800799">
        <w:rPr>
          <w:color w:val="000000"/>
          <w:sz w:val="20"/>
          <w:szCs w:val="20"/>
        </w:rPr>
        <w:t>“ pro MSP; dále budeme brát v úvahu též využití obrátkových prostředků OPPIK, ze kterých mohou být rovněž vytvářeny z hlediska alokace významné finanční nástroje ve stejném časovém období jako finanční nástroje OP TAK</w:t>
      </w:r>
    </w:p>
    <w:p w14:paraId="0000003E" w14:textId="77777777" w:rsidR="00054D27" w:rsidRPr="00800799" w:rsidRDefault="00AF622A">
      <w:pPr>
        <w:rPr>
          <w:b/>
          <w:color w:val="D04A02"/>
          <w:sz w:val="28"/>
          <w:szCs w:val="28"/>
        </w:rPr>
      </w:pPr>
      <w:r w:rsidRPr="00800799">
        <w:br w:type="page"/>
      </w:r>
      <w:bookmarkStart w:id="10" w:name="_y5pck3j56sco"/>
      <w:bookmarkStart w:id="11" w:name="_hyr8dk86s05a"/>
      <w:bookmarkStart w:id="12" w:name="_Toc89067087"/>
      <w:bookmarkEnd w:id="10"/>
      <w:bookmarkEnd w:id="11"/>
      <w:r w:rsidRPr="00800799">
        <w:rPr>
          <w:b/>
          <w:color w:val="D04A02"/>
          <w:sz w:val="28"/>
          <w:szCs w:val="28"/>
        </w:rPr>
        <w:lastRenderedPageBreak/>
        <w:t>Ustanovení týmu včetně specifikace zastupitelnosti</w:t>
      </w:r>
      <w:bookmarkEnd w:id="12"/>
    </w:p>
    <w:p w14:paraId="0000003F" w14:textId="77777777" w:rsidR="00054D27" w:rsidRPr="00800799" w:rsidRDefault="00AF622A">
      <w:pPr>
        <w:pStyle w:val="Nadpis3"/>
        <w:numPr>
          <w:ilvl w:val="1"/>
          <w:numId w:val="18"/>
        </w:numPr>
        <w:rPr>
          <w:color w:val="D04A02"/>
          <w:sz w:val="24"/>
          <w:szCs w:val="24"/>
        </w:rPr>
      </w:pPr>
      <w:bookmarkStart w:id="13" w:name="_9kbwgn4v50uk"/>
      <w:bookmarkStart w:id="14" w:name="_Toc90364543"/>
      <w:bookmarkStart w:id="15" w:name="_Toc89232788"/>
      <w:bookmarkStart w:id="16" w:name="_Toc89067088"/>
      <w:bookmarkEnd w:id="13"/>
      <w:r w:rsidRPr="00800799">
        <w:rPr>
          <w:color w:val="D04A02"/>
          <w:sz w:val="24"/>
          <w:szCs w:val="24"/>
        </w:rPr>
        <w:t>na straně Dodavatele</w:t>
      </w:r>
      <w:bookmarkEnd w:id="14"/>
      <w:bookmarkEnd w:id="15"/>
      <w:bookmarkEnd w:id="16"/>
    </w:p>
    <w:tbl>
      <w:tblPr>
        <w:tblStyle w:val="af"/>
        <w:tblW w:w="9420" w:type="dxa"/>
        <w:tblBorders>
          <w:top w:val="nil"/>
          <w:left w:val="nil"/>
          <w:bottom w:val="nil"/>
          <w:right w:val="nil"/>
          <w:insideH w:val="nil"/>
          <w:insideV w:val="nil"/>
        </w:tblBorders>
        <w:tblLayout w:type="fixed"/>
        <w:tblLook w:val="0600" w:firstRow="0" w:lastRow="0" w:firstColumn="0" w:lastColumn="0" w:noHBand="1" w:noVBand="1"/>
      </w:tblPr>
      <w:tblGrid>
        <w:gridCol w:w="1185"/>
        <w:gridCol w:w="1455"/>
        <w:gridCol w:w="1290"/>
        <w:gridCol w:w="1425"/>
        <w:gridCol w:w="1620"/>
        <w:gridCol w:w="1200"/>
        <w:gridCol w:w="1245"/>
      </w:tblGrid>
      <w:tr w:rsidR="00054D27" w:rsidRPr="00800799" w14:paraId="5554AE40" w14:textId="77777777">
        <w:trPr>
          <w:trHeight w:val="390"/>
        </w:trPr>
        <w:tc>
          <w:tcPr>
            <w:tcW w:w="1185" w:type="dxa"/>
            <w:tcBorders>
              <w:top w:val="nil"/>
              <w:left w:val="nil"/>
              <w:bottom w:val="single" w:sz="12" w:space="0" w:color="000000"/>
              <w:right w:val="nil"/>
            </w:tcBorders>
            <w:tcMar>
              <w:top w:w="0" w:type="dxa"/>
              <w:left w:w="40" w:type="dxa"/>
              <w:bottom w:w="0" w:type="dxa"/>
              <w:right w:w="40" w:type="dxa"/>
            </w:tcMar>
            <w:vAlign w:val="center"/>
          </w:tcPr>
          <w:p w14:paraId="00000040" w14:textId="77777777" w:rsidR="00054D27" w:rsidRPr="00800799" w:rsidRDefault="00AF622A">
            <w:pPr>
              <w:widowControl w:val="0"/>
              <w:rPr>
                <w:rFonts w:ascii="Arial" w:eastAsia="Arial" w:hAnsi="Arial" w:cs="Arial"/>
                <w:sz w:val="18"/>
                <w:szCs w:val="18"/>
              </w:rPr>
            </w:pPr>
            <w:proofErr w:type="spellStart"/>
            <w:r w:rsidRPr="00800799">
              <w:rPr>
                <w:b/>
                <w:sz w:val="24"/>
                <w:szCs w:val="24"/>
              </w:rPr>
              <w:t>PwC</w:t>
            </w:r>
            <w:proofErr w:type="spellEnd"/>
          </w:p>
        </w:tc>
        <w:tc>
          <w:tcPr>
            <w:tcW w:w="1455" w:type="dxa"/>
            <w:tcBorders>
              <w:top w:val="nil"/>
              <w:left w:val="nil"/>
              <w:bottom w:val="nil"/>
              <w:right w:val="nil"/>
            </w:tcBorders>
            <w:tcMar>
              <w:top w:w="0" w:type="dxa"/>
              <w:left w:w="40" w:type="dxa"/>
              <w:bottom w:w="0" w:type="dxa"/>
              <w:right w:w="40" w:type="dxa"/>
            </w:tcMar>
            <w:vAlign w:val="center"/>
          </w:tcPr>
          <w:p w14:paraId="00000041" w14:textId="77777777" w:rsidR="00054D27" w:rsidRPr="00800799" w:rsidRDefault="00054D27">
            <w:pPr>
              <w:widowControl w:val="0"/>
              <w:rPr>
                <w:rFonts w:ascii="Arial" w:eastAsia="Arial" w:hAnsi="Arial" w:cs="Arial"/>
                <w:sz w:val="18"/>
                <w:szCs w:val="18"/>
              </w:rPr>
            </w:pPr>
          </w:p>
        </w:tc>
        <w:tc>
          <w:tcPr>
            <w:tcW w:w="1290" w:type="dxa"/>
            <w:tcBorders>
              <w:top w:val="nil"/>
              <w:left w:val="nil"/>
              <w:bottom w:val="nil"/>
              <w:right w:val="nil"/>
            </w:tcBorders>
            <w:tcMar>
              <w:top w:w="0" w:type="dxa"/>
              <w:left w:w="40" w:type="dxa"/>
              <w:bottom w:w="0" w:type="dxa"/>
              <w:right w:w="40" w:type="dxa"/>
            </w:tcMar>
            <w:vAlign w:val="center"/>
          </w:tcPr>
          <w:p w14:paraId="00000042" w14:textId="77777777" w:rsidR="00054D27" w:rsidRPr="00800799" w:rsidRDefault="00054D27">
            <w:pPr>
              <w:widowControl w:val="0"/>
              <w:rPr>
                <w:rFonts w:ascii="Arial" w:eastAsia="Arial" w:hAnsi="Arial" w:cs="Arial"/>
                <w:sz w:val="18"/>
                <w:szCs w:val="18"/>
              </w:rPr>
            </w:pPr>
          </w:p>
        </w:tc>
        <w:tc>
          <w:tcPr>
            <w:tcW w:w="1425" w:type="dxa"/>
            <w:tcBorders>
              <w:top w:val="nil"/>
              <w:left w:val="nil"/>
              <w:bottom w:val="nil"/>
              <w:right w:val="nil"/>
            </w:tcBorders>
            <w:tcMar>
              <w:top w:w="0" w:type="dxa"/>
              <w:left w:w="40" w:type="dxa"/>
              <w:bottom w:w="0" w:type="dxa"/>
              <w:right w:w="40" w:type="dxa"/>
            </w:tcMar>
            <w:vAlign w:val="center"/>
          </w:tcPr>
          <w:p w14:paraId="00000043" w14:textId="77777777" w:rsidR="00054D27" w:rsidRPr="00800799" w:rsidRDefault="00054D27">
            <w:pPr>
              <w:widowControl w:val="0"/>
              <w:rPr>
                <w:rFonts w:ascii="Arial" w:eastAsia="Arial" w:hAnsi="Arial" w:cs="Arial"/>
                <w:sz w:val="18"/>
                <w:szCs w:val="18"/>
              </w:rPr>
            </w:pPr>
          </w:p>
        </w:tc>
        <w:tc>
          <w:tcPr>
            <w:tcW w:w="1620" w:type="dxa"/>
            <w:tcBorders>
              <w:top w:val="nil"/>
              <w:left w:val="nil"/>
              <w:bottom w:val="nil"/>
              <w:right w:val="nil"/>
            </w:tcBorders>
            <w:tcMar>
              <w:top w:w="0" w:type="dxa"/>
              <w:left w:w="40" w:type="dxa"/>
              <w:bottom w:w="0" w:type="dxa"/>
              <w:right w:w="40" w:type="dxa"/>
            </w:tcMar>
            <w:vAlign w:val="center"/>
          </w:tcPr>
          <w:p w14:paraId="00000044" w14:textId="77777777" w:rsidR="00054D27" w:rsidRPr="00800799" w:rsidRDefault="00054D27">
            <w:pPr>
              <w:widowControl w:val="0"/>
              <w:rPr>
                <w:rFonts w:ascii="Arial" w:eastAsia="Arial" w:hAnsi="Arial" w:cs="Arial"/>
                <w:sz w:val="18"/>
                <w:szCs w:val="18"/>
              </w:rPr>
            </w:pPr>
          </w:p>
        </w:tc>
        <w:tc>
          <w:tcPr>
            <w:tcW w:w="1200" w:type="dxa"/>
            <w:tcBorders>
              <w:top w:val="nil"/>
              <w:left w:val="nil"/>
              <w:bottom w:val="nil"/>
              <w:right w:val="nil"/>
            </w:tcBorders>
            <w:tcMar>
              <w:top w:w="0" w:type="dxa"/>
              <w:left w:w="40" w:type="dxa"/>
              <w:bottom w:w="0" w:type="dxa"/>
              <w:right w:w="40" w:type="dxa"/>
            </w:tcMar>
            <w:vAlign w:val="center"/>
          </w:tcPr>
          <w:p w14:paraId="00000045" w14:textId="77777777" w:rsidR="00054D27" w:rsidRPr="00800799" w:rsidRDefault="00054D27">
            <w:pPr>
              <w:widowControl w:val="0"/>
              <w:rPr>
                <w:rFonts w:ascii="Arial" w:eastAsia="Arial" w:hAnsi="Arial" w:cs="Arial"/>
                <w:sz w:val="18"/>
                <w:szCs w:val="18"/>
              </w:rPr>
            </w:pPr>
          </w:p>
        </w:tc>
        <w:tc>
          <w:tcPr>
            <w:tcW w:w="1245" w:type="dxa"/>
            <w:tcBorders>
              <w:top w:val="nil"/>
              <w:left w:val="nil"/>
              <w:bottom w:val="nil"/>
              <w:right w:val="nil"/>
            </w:tcBorders>
            <w:tcMar>
              <w:top w:w="0" w:type="dxa"/>
              <w:left w:w="40" w:type="dxa"/>
              <w:bottom w:w="0" w:type="dxa"/>
              <w:right w:w="40" w:type="dxa"/>
            </w:tcMar>
            <w:vAlign w:val="center"/>
          </w:tcPr>
          <w:p w14:paraId="00000046" w14:textId="77777777" w:rsidR="00054D27" w:rsidRPr="00800799" w:rsidRDefault="00054D27">
            <w:pPr>
              <w:widowControl w:val="0"/>
              <w:rPr>
                <w:rFonts w:ascii="Arial" w:eastAsia="Arial" w:hAnsi="Arial" w:cs="Arial"/>
                <w:sz w:val="18"/>
                <w:szCs w:val="18"/>
              </w:rPr>
            </w:pPr>
          </w:p>
        </w:tc>
      </w:tr>
      <w:tr w:rsidR="00054D27" w:rsidRPr="00800799" w14:paraId="2CAD9E66" w14:textId="77777777">
        <w:trPr>
          <w:trHeight w:val="300"/>
        </w:trPr>
        <w:tc>
          <w:tcPr>
            <w:tcW w:w="1185" w:type="dxa"/>
            <w:tcBorders>
              <w:top w:val="single" w:sz="12" w:space="0" w:color="000000"/>
              <w:left w:val="nil"/>
              <w:bottom w:val="single" w:sz="6" w:space="0" w:color="000000"/>
              <w:right w:val="nil"/>
            </w:tcBorders>
            <w:tcMar>
              <w:top w:w="0" w:type="dxa"/>
              <w:left w:w="40" w:type="dxa"/>
              <w:bottom w:w="0" w:type="dxa"/>
              <w:right w:w="40" w:type="dxa"/>
            </w:tcMar>
            <w:vAlign w:val="bottom"/>
          </w:tcPr>
          <w:p w14:paraId="00000047" w14:textId="77777777" w:rsidR="00054D27" w:rsidRPr="00800799" w:rsidRDefault="00054D27">
            <w:pPr>
              <w:widowControl w:val="0"/>
              <w:rPr>
                <w:rFonts w:ascii="Arial" w:eastAsia="Arial" w:hAnsi="Arial" w:cs="Arial"/>
                <w:sz w:val="18"/>
                <w:szCs w:val="18"/>
              </w:rPr>
            </w:pPr>
          </w:p>
        </w:tc>
        <w:tc>
          <w:tcPr>
            <w:tcW w:w="1455" w:type="dxa"/>
            <w:tcBorders>
              <w:top w:val="nil"/>
              <w:left w:val="nil"/>
              <w:bottom w:val="single" w:sz="6" w:space="0" w:color="000000"/>
              <w:right w:val="nil"/>
            </w:tcBorders>
            <w:tcMar>
              <w:top w:w="0" w:type="dxa"/>
              <w:left w:w="40" w:type="dxa"/>
              <w:bottom w:w="0" w:type="dxa"/>
              <w:right w:w="40" w:type="dxa"/>
            </w:tcMar>
            <w:vAlign w:val="center"/>
          </w:tcPr>
          <w:p w14:paraId="00000048" w14:textId="77777777" w:rsidR="00054D27" w:rsidRPr="00800799" w:rsidRDefault="00054D27">
            <w:pPr>
              <w:widowControl w:val="0"/>
              <w:rPr>
                <w:rFonts w:ascii="Arial" w:eastAsia="Arial" w:hAnsi="Arial" w:cs="Arial"/>
                <w:sz w:val="18"/>
                <w:szCs w:val="18"/>
              </w:rPr>
            </w:pPr>
          </w:p>
        </w:tc>
        <w:tc>
          <w:tcPr>
            <w:tcW w:w="1290" w:type="dxa"/>
            <w:tcBorders>
              <w:top w:val="nil"/>
              <w:left w:val="nil"/>
              <w:bottom w:val="single" w:sz="6" w:space="0" w:color="000000"/>
              <w:right w:val="nil"/>
            </w:tcBorders>
            <w:tcMar>
              <w:top w:w="0" w:type="dxa"/>
              <w:left w:w="40" w:type="dxa"/>
              <w:bottom w:w="0" w:type="dxa"/>
              <w:right w:w="40" w:type="dxa"/>
            </w:tcMar>
            <w:vAlign w:val="center"/>
          </w:tcPr>
          <w:p w14:paraId="00000049" w14:textId="77777777" w:rsidR="00054D27" w:rsidRPr="00800799" w:rsidRDefault="00054D27">
            <w:pPr>
              <w:widowControl w:val="0"/>
              <w:rPr>
                <w:rFonts w:ascii="Arial" w:eastAsia="Arial" w:hAnsi="Arial" w:cs="Arial"/>
                <w:sz w:val="18"/>
                <w:szCs w:val="18"/>
              </w:rPr>
            </w:pPr>
          </w:p>
        </w:tc>
        <w:tc>
          <w:tcPr>
            <w:tcW w:w="1425" w:type="dxa"/>
            <w:tcBorders>
              <w:top w:val="nil"/>
              <w:left w:val="nil"/>
              <w:bottom w:val="single" w:sz="6" w:space="0" w:color="000000"/>
              <w:right w:val="nil"/>
            </w:tcBorders>
            <w:tcMar>
              <w:top w:w="0" w:type="dxa"/>
              <w:left w:w="40" w:type="dxa"/>
              <w:bottom w:w="0" w:type="dxa"/>
              <w:right w:w="40" w:type="dxa"/>
            </w:tcMar>
            <w:vAlign w:val="center"/>
          </w:tcPr>
          <w:p w14:paraId="0000004A" w14:textId="77777777" w:rsidR="00054D27" w:rsidRPr="00800799" w:rsidRDefault="00054D27">
            <w:pPr>
              <w:widowControl w:val="0"/>
              <w:rPr>
                <w:rFonts w:ascii="Arial" w:eastAsia="Arial" w:hAnsi="Arial" w:cs="Arial"/>
                <w:sz w:val="18"/>
                <w:szCs w:val="18"/>
              </w:rPr>
            </w:pPr>
          </w:p>
        </w:tc>
        <w:tc>
          <w:tcPr>
            <w:tcW w:w="1620" w:type="dxa"/>
            <w:tcBorders>
              <w:top w:val="nil"/>
              <w:left w:val="nil"/>
              <w:bottom w:val="single" w:sz="6" w:space="0" w:color="000000"/>
              <w:right w:val="nil"/>
            </w:tcBorders>
            <w:tcMar>
              <w:top w:w="0" w:type="dxa"/>
              <w:left w:w="40" w:type="dxa"/>
              <w:bottom w:w="0" w:type="dxa"/>
              <w:right w:w="40" w:type="dxa"/>
            </w:tcMar>
            <w:vAlign w:val="center"/>
          </w:tcPr>
          <w:p w14:paraId="0000004B" w14:textId="77777777" w:rsidR="00054D27" w:rsidRPr="00800799" w:rsidRDefault="00054D27">
            <w:pPr>
              <w:widowControl w:val="0"/>
              <w:rPr>
                <w:rFonts w:ascii="Arial" w:eastAsia="Arial" w:hAnsi="Arial" w:cs="Arial"/>
                <w:sz w:val="18"/>
                <w:szCs w:val="18"/>
              </w:rPr>
            </w:pPr>
          </w:p>
        </w:tc>
        <w:tc>
          <w:tcPr>
            <w:tcW w:w="1200" w:type="dxa"/>
            <w:tcBorders>
              <w:top w:val="nil"/>
              <w:left w:val="nil"/>
              <w:bottom w:val="single" w:sz="6" w:space="0" w:color="000000"/>
              <w:right w:val="nil"/>
            </w:tcBorders>
            <w:tcMar>
              <w:top w:w="0" w:type="dxa"/>
              <w:left w:w="40" w:type="dxa"/>
              <w:bottom w:w="0" w:type="dxa"/>
              <w:right w:w="40" w:type="dxa"/>
            </w:tcMar>
            <w:vAlign w:val="center"/>
          </w:tcPr>
          <w:p w14:paraId="0000004C" w14:textId="77777777" w:rsidR="00054D27" w:rsidRPr="00800799" w:rsidRDefault="00054D27">
            <w:pPr>
              <w:widowControl w:val="0"/>
              <w:rPr>
                <w:rFonts w:ascii="Arial" w:eastAsia="Arial" w:hAnsi="Arial" w:cs="Arial"/>
                <w:sz w:val="18"/>
                <w:szCs w:val="18"/>
              </w:rPr>
            </w:pPr>
          </w:p>
        </w:tc>
        <w:tc>
          <w:tcPr>
            <w:tcW w:w="1245" w:type="dxa"/>
            <w:tcBorders>
              <w:top w:val="nil"/>
              <w:left w:val="nil"/>
              <w:bottom w:val="single" w:sz="6" w:space="0" w:color="000000"/>
              <w:right w:val="nil"/>
            </w:tcBorders>
            <w:tcMar>
              <w:top w:w="0" w:type="dxa"/>
              <w:left w:w="40" w:type="dxa"/>
              <w:bottom w:w="0" w:type="dxa"/>
              <w:right w:w="40" w:type="dxa"/>
            </w:tcMar>
            <w:vAlign w:val="center"/>
          </w:tcPr>
          <w:p w14:paraId="0000004D" w14:textId="77777777" w:rsidR="00054D27" w:rsidRPr="00800799" w:rsidRDefault="00054D27">
            <w:pPr>
              <w:widowControl w:val="0"/>
              <w:rPr>
                <w:rFonts w:ascii="Arial" w:eastAsia="Arial" w:hAnsi="Arial" w:cs="Arial"/>
                <w:sz w:val="18"/>
                <w:szCs w:val="18"/>
              </w:rPr>
            </w:pPr>
          </w:p>
        </w:tc>
      </w:tr>
      <w:tr w:rsidR="00054D27" w:rsidRPr="00800799" w14:paraId="1BA27E08" w14:textId="77777777">
        <w:trPr>
          <w:trHeight w:val="300"/>
        </w:trPr>
        <w:tc>
          <w:tcPr>
            <w:tcW w:w="1185" w:type="dxa"/>
            <w:tcBorders>
              <w:top w:val="single" w:sz="6" w:space="0" w:color="000000"/>
              <w:left w:val="single" w:sz="6" w:space="0" w:color="000000"/>
              <w:bottom w:val="single" w:sz="6" w:space="0" w:color="222222"/>
              <w:right w:val="single" w:sz="6" w:space="0" w:color="000000"/>
            </w:tcBorders>
            <w:shd w:val="clear" w:color="auto" w:fill="602320"/>
            <w:tcMar>
              <w:top w:w="0" w:type="dxa"/>
              <w:left w:w="40" w:type="dxa"/>
              <w:bottom w:w="0" w:type="dxa"/>
              <w:right w:w="40" w:type="dxa"/>
            </w:tcMar>
            <w:vAlign w:val="center"/>
          </w:tcPr>
          <w:p w14:paraId="0000004E" w14:textId="77777777" w:rsidR="00054D27" w:rsidRPr="00800799" w:rsidRDefault="00AF622A">
            <w:pPr>
              <w:widowControl w:val="0"/>
              <w:rPr>
                <w:rFonts w:ascii="Arial" w:eastAsia="Arial" w:hAnsi="Arial" w:cs="Arial"/>
                <w:sz w:val="18"/>
                <w:szCs w:val="18"/>
              </w:rPr>
            </w:pPr>
            <w:r w:rsidRPr="00800799">
              <w:rPr>
                <w:b/>
                <w:color w:val="FFFFFF"/>
                <w:sz w:val="18"/>
                <w:szCs w:val="18"/>
              </w:rPr>
              <w:t>Jméno</w:t>
            </w:r>
          </w:p>
        </w:tc>
        <w:tc>
          <w:tcPr>
            <w:tcW w:w="1455" w:type="dxa"/>
            <w:tcBorders>
              <w:top w:val="single" w:sz="6" w:space="0" w:color="000000"/>
              <w:left w:val="single" w:sz="6" w:space="0" w:color="000000"/>
              <w:bottom w:val="single" w:sz="6" w:space="0" w:color="222222"/>
              <w:right w:val="single" w:sz="6" w:space="0" w:color="000000"/>
            </w:tcBorders>
            <w:shd w:val="clear" w:color="auto" w:fill="602320"/>
            <w:tcMar>
              <w:top w:w="0" w:type="dxa"/>
              <w:left w:w="40" w:type="dxa"/>
              <w:bottom w:w="0" w:type="dxa"/>
              <w:right w:w="40" w:type="dxa"/>
            </w:tcMar>
            <w:vAlign w:val="center"/>
          </w:tcPr>
          <w:p w14:paraId="0000004F" w14:textId="77777777" w:rsidR="00054D27" w:rsidRPr="00800799" w:rsidRDefault="00AF622A">
            <w:pPr>
              <w:widowControl w:val="0"/>
              <w:rPr>
                <w:rFonts w:ascii="Arial" w:eastAsia="Arial" w:hAnsi="Arial" w:cs="Arial"/>
                <w:sz w:val="18"/>
                <w:szCs w:val="18"/>
              </w:rPr>
            </w:pPr>
            <w:r w:rsidRPr="00800799">
              <w:rPr>
                <w:b/>
                <w:color w:val="FFFFFF"/>
                <w:sz w:val="18"/>
                <w:szCs w:val="18"/>
              </w:rPr>
              <w:t xml:space="preserve">Pozice v </w:t>
            </w:r>
            <w:proofErr w:type="spellStart"/>
            <w:r w:rsidRPr="00800799">
              <w:rPr>
                <w:b/>
                <w:color w:val="FFFFFF"/>
                <w:sz w:val="18"/>
                <w:szCs w:val="18"/>
              </w:rPr>
              <w:t>PwC</w:t>
            </w:r>
            <w:proofErr w:type="spellEnd"/>
          </w:p>
        </w:tc>
        <w:tc>
          <w:tcPr>
            <w:tcW w:w="1290" w:type="dxa"/>
            <w:tcBorders>
              <w:top w:val="single" w:sz="6" w:space="0" w:color="000000"/>
              <w:left w:val="single" w:sz="6" w:space="0" w:color="000000"/>
              <w:bottom w:val="single" w:sz="6" w:space="0" w:color="222222"/>
              <w:right w:val="single" w:sz="6" w:space="0" w:color="000000"/>
            </w:tcBorders>
            <w:shd w:val="clear" w:color="auto" w:fill="602320"/>
            <w:tcMar>
              <w:top w:w="0" w:type="dxa"/>
              <w:left w:w="40" w:type="dxa"/>
              <w:bottom w:w="0" w:type="dxa"/>
              <w:right w:w="40" w:type="dxa"/>
            </w:tcMar>
            <w:vAlign w:val="center"/>
          </w:tcPr>
          <w:p w14:paraId="00000050" w14:textId="77777777" w:rsidR="00054D27" w:rsidRPr="00800799" w:rsidRDefault="00054D27">
            <w:pPr>
              <w:widowControl w:val="0"/>
              <w:rPr>
                <w:rFonts w:ascii="Arial" w:eastAsia="Arial" w:hAnsi="Arial" w:cs="Arial"/>
                <w:sz w:val="18"/>
                <w:szCs w:val="18"/>
              </w:rPr>
            </w:pPr>
          </w:p>
        </w:tc>
        <w:tc>
          <w:tcPr>
            <w:tcW w:w="1425" w:type="dxa"/>
            <w:tcBorders>
              <w:top w:val="single" w:sz="6" w:space="0" w:color="000000"/>
              <w:left w:val="single" w:sz="6" w:space="0" w:color="000000"/>
              <w:bottom w:val="single" w:sz="6" w:space="0" w:color="222222"/>
              <w:right w:val="single" w:sz="6" w:space="0" w:color="000000"/>
            </w:tcBorders>
            <w:shd w:val="clear" w:color="auto" w:fill="602320"/>
            <w:tcMar>
              <w:top w:w="0" w:type="dxa"/>
              <w:left w:w="40" w:type="dxa"/>
              <w:bottom w:w="0" w:type="dxa"/>
              <w:right w:w="40" w:type="dxa"/>
            </w:tcMar>
            <w:vAlign w:val="center"/>
          </w:tcPr>
          <w:p w14:paraId="00000051" w14:textId="77777777" w:rsidR="00054D27" w:rsidRPr="00800799" w:rsidRDefault="00AF622A">
            <w:pPr>
              <w:widowControl w:val="0"/>
              <w:rPr>
                <w:rFonts w:ascii="Arial" w:eastAsia="Arial" w:hAnsi="Arial" w:cs="Arial"/>
                <w:sz w:val="18"/>
                <w:szCs w:val="18"/>
              </w:rPr>
            </w:pPr>
            <w:r w:rsidRPr="00800799">
              <w:rPr>
                <w:b/>
                <w:color w:val="FFFFFF"/>
                <w:sz w:val="18"/>
                <w:szCs w:val="18"/>
              </w:rPr>
              <w:t>Telefonní kontakt</w:t>
            </w:r>
          </w:p>
        </w:tc>
        <w:tc>
          <w:tcPr>
            <w:tcW w:w="1620" w:type="dxa"/>
            <w:tcBorders>
              <w:top w:val="single" w:sz="6" w:space="0" w:color="000000"/>
              <w:left w:val="single" w:sz="6" w:space="0" w:color="000000"/>
              <w:bottom w:val="single" w:sz="6" w:space="0" w:color="222222"/>
              <w:right w:val="single" w:sz="6" w:space="0" w:color="000000"/>
            </w:tcBorders>
            <w:shd w:val="clear" w:color="auto" w:fill="602320"/>
            <w:tcMar>
              <w:top w:w="0" w:type="dxa"/>
              <w:left w:w="40" w:type="dxa"/>
              <w:bottom w:w="0" w:type="dxa"/>
              <w:right w:w="40" w:type="dxa"/>
            </w:tcMar>
            <w:vAlign w:val="center"/>
          </w:tcPr>
          <w:p w14:paraId="00000052" w14:textId="77777777" w:rsidR="00054D27" w:rsidRPr="00800799" w:rsidRDefault="00AF622A">
            <w:pPr>
              <w:widowControl w:val="0"/>
              <w:rPr>
                <w:rFonts w:ascii="Arial" w:eastAsia="Arial" w:hAnsi="Arial" w:cs="Arial"/>
                <w:sz w:val="18"/>
                <w:szCs w:val="18"/>
              </w:rPr>
            </w:pPr>
            <w:r w:rsidRPr="00800799">
              <w:rPr>
                <w:b/>
                <w:color w:val="FFFFFF"/>
                <w:sz w:val="18"/>
                <w:szCs w:val="18"/>
              </w:rPr>
              <w:t>E-mail</w:t>
            </w:r>
          </w:p>
        </w:tc>
        <w:tc>
          <w:tcPr>
            <w:tcW w:w="1200" w:type="dxa"/>
            <w:tcBorders>
              <w:top w:val="single" w:sz="6" w:space="0" w:color="000000"/>
              <w:left w:val="single" w:sz="6" w:space="0" w:color="000000"/>
              <w:bottom w:val="single" w:sz="6" w:space="0" w:color="222222"/>
              <w:right w:val="single" w:sz="6" w:space="0" w:color="000000"/>
            </w:tcBorders>
            <w:shd w:val="clear" w:color="auto" w:fill="C55853"/>
            <w:tcMar>
              <w:top w:w="0" w:type="dxa"/>
              <w:left w:w="40" w:type="dxa"/>
              <w:bottom w:w="0" w:type="dxa"/>
              <w:right w:w="40" w:type="dxa"/>
            </w:tcMar>
            <w:vAlign w:val="center"/>
          </w:tcPr>
          <w:p w14:paraId="00000053" w14:textId="77777777" w:rsidR="00054D27" w:rsidRPr="00800799" w:rsidRDefault="00AF622A">
            <w:pPr>
              <w:widowControl w:val="0"/>
              <w:rPr>
                <w:rFonts w:ascii="Arial" w:eastAsia="Arial" w:hAnsi="Arial" w:cs="Arial"/>
                <w:sz w:val="18"/>
                <w:szCs w:val="18"/>
              </w:rPr>
            </w:pPr>
            <w:r w:rsidRPr="00800799">
              <w:rPr>
                <w:b/>
                <w:color w:val="FFFFFF"/>
                <w:sz w:val="18"/>
                <w:szCs w:val="18"/>
              </w:rPr>
              <w:t>Projektový team</w:t>
            </w:r>
          </w:p>
        </w:tc>
        <w:tc>
          <w:tcPr>
            <w:tcW w:w="1245" w:type="dxa"/>
            <w:tcBorders>
              <w:top w:val="single" w:sz="6" w:space="0" w:color="000000"/>
              <w:left w:val="single" w:sz="6" w:space="0" w:color="000000"/>
              <w:bottom w:val="single" w:sz="6" w:space="0" w:color="222222"/>
              <w:right w:val="single" w:sz="6" w:space="0" w:color="000000"/>
            </w:tcBorders>
            <w:shd w:val="clear" w:color="auto" w:fill="C55853"/>
            <w:tcMar>
              <w:top w:w="0" w:type="dxa"/>
              <w:left w:w="40" w:type="dxa"/>
              <w:bottom w:w="0" w:type="dxa"/>
              <w:right w:w="40" w:type="dxa"/>
            </w:tcMar>
            <w:vAlign w:val="center"/>
          </w:tcPr>
          <w:p w14:paraId="00000054" w14:textId="77777777" w:rsidR="00054D27" w:rsidRPr="00800799" w:rsidRDefault="00AF622A">
            <w:pPr>
              <w:widowControl w:val="0"/>
              <w:rPr>
                <w:rFonts w:ascii="Arial" w:eastAsia="Arial" w:hAnsi="Arial" w:cs="Arial"/>
                <w:sz w:val="18"/>
                <w:szCs w:val="18"/>
              </w:rPr>
            </w:pPr>
            <w:r w:rsidRPr="00800799">
              <w:rPr>
                <w:b/>
                <w:color w:val="FFFFFF"/>
                <w:sz w:val="18"/>
                <w:szCs w:val="18"/>
              </w:rPr>
              <w:t>Řídící výbor</w:t>
            </w:r>
          </w:p>
        </w:tc>
      </w:tr>
      <w:tr w:rsidR="00054D27" w:rsidRPr="00800799" w14:paraId="43C9BD9E" w14:textId="77777777">
        <w:trPr>
          <w:trHeight w:val="495"/>
        </w:trPr>
        <w:tc>
          <w:tcPr>
            <w:tcW w:w="1185"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55" w14:textId="77777777" w:rsidR="00054D27" w:rsidRPr="00800799" w:rsidRDefault="00AF622A">
            <w:pPr>
              <w:widowControl w:val="0"/>
              <w:rPr>
                <w:rFonts w:ascii="Arial" w:eastAsia="Arial" w:hAnsi="Arial" w:cs="Arial"/>
                <w:b/>
                <w:sz w:val="18"/>
                <w:szCs w:val="18"/>
              </w:rPr>
            </w:pPr>
            <w:r w:rsidRPr="00800799">
              <w:rPr>
                <w:b/>
                <w:sz w:val="18"/>
                <w:szCs w:val="18"/>
              </w:rPr>
              <w:t xml:space="preserve">Jan </w:t>
            </w:r>
            <w:proofErr w:type="spellStart"/>
            <w:r w:rsidRPr="00800799">
              <w:rPr>
                <w:b/>
                <w:sz w:val="18"/>
                <w:szCs w:val="18"/>
              </w:rPr>
              <w:t>Bráza</w:t>
            </w:r>
            <w:proofErr w:type="spellEnd"/>
          </w:p>
        </w:tc>
        <w:tc>
          <w:tcPr>
            <w:tcW w:w="1455"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56" w14:textId="77777777" w:rsidR="00054D27" w:rsidRPr="00800799" w:rsidRDefault="00AF622A">
            <w:pPr>
              <w:widowControl w:val="0"/>
              <w:rPr>
                <w:rFonts w:ascii="Arial" w:eastAsia="Arial" w:hAnsi="Arial" w:cs="Arial"/>
                <w:sz w:val="18"/>
                <w:szCs w:val="18"/>
              </w:rPr>
            </w:pPr>
            <w:r w:rsidRPr="00800799">
              <w:rPr>
                <w:sz w:val="18"/>
                <w:szCs w:val="18"/>
              </w:rPr>
              <w:t xml:space="preserve">Partner </w:t>
            </w:r>
            <w:proofErr w:type="spellStart"/>
            <w:r w:rsidRPr="00800799">
              <w:rPr>
                <w:sz w:val="18"/>
                <w:szCs w:val="18"/>
              </w:rPr>
              <w:t>PwC</w:t>
            </w:r>
            <w:proofErr w:type="spellEnd"/>
          </w:p>
        </w:tc>
        <w:tc>
          <w:tcPr>
            <w:tcW w:w="1290"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57" w14:textId="77777777" w:rsidR="00054D27" w:rsidRPr="00800799" w:rsidRDefault="00AF622A">
            <w:pPr>
              <w:widowControl w:val="0"/>
              <w:rPr>
                <w:rFonts w:ascii="Arial" w:eastAsia="Arial" w:hAnsi="Arial" w:cs="Arial"/>
                <w:sz w:val="18"/>
                <w:szCs w:val="18"/>
              </w:rPr>
            </w:pPr>
            <w:r w:rsidRPr="00800799">
              <w:rPr>
                <w:sz w:val="18"/>
                <w:szCs w:val="18"/>
              </w:rPr>
              <w:t>Odpovědný za plnění zakázky, řízení kvality a rizik</w:t>
            </w:r>
          </w:p>
        </w:tc>
        <w:tc>
          <w:tcPr>
            <w:tcW w:w="1425"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58" w14:textId="77777777" w:rsidR="00054D27" w:rsidRPr="00800799" w:rsidRDefault="00AF622A">
            <w:pPr>
              <w:widowControl w:val="0"/>
              <w:jc w:val="center"/>
              <w:rPr>
                <w:rFonts w:ascii="Arial" w:eastAsia="Arial" w:hAnsi="Arial" w:cs="Arial"/>
                <w:sz w:val="18"/>
                <w:szCs w:val="18"/>
              </w:rPr>
            </w:pPr>
            <w:r w:rsidRPr="00800799">
              <w:rPr>
                <w:sz w:val="18"/>
                <w:szCs w:val="18"/>
              </w:rPr>
              <w:t>731 635 035</w:t>
            </w:r>
          </w:p>
        </w:tc>
        <w:tc>
          <w:tcPr>
            <w:tcW w:w="1620"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59" w14:textId="77777777" w:rsidR="00054D27" w:rsidRPr="00800799" w:rsidRDefault="00AF622A">
            <w:pPr>
              <w:widowControl w:val="0"/>
              <w:rPr>
                <w:rFonts w:ascii="Arial" w:eastAsia="Arial" w:hAnsi="Arial" w:cs="Arial"/>
                <w:color w:val="A32020"/>
                <w:sz w:val="18"/>
                <w:szCs w:val="18"/>
                <w:u w:val="single"/>
              </w:rPr>
            </w:pPr>
            <w:r w:rsidRPr="00800799">
              <w:rPr>
                <w:color w:val="A32020"/>
                <w:sz w:val="18"/>
                <w:szCs w:val="18"/>
                <w:u w:val="single"/>
              </w:rPr>
              <w:t>jan.brazda@pwc.com</w:t>
            </w:r>
          </w:p>
        </w:tc>
        <w:tc>
          <w:tcPr>
            <w:tcW w:w="1200"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5A" w14:textId="77777777" w:rsidR="00054D27" w:rsidRPr="00800799" w:rsidRDefault="00054D27">
            <w:pPr>
              <w:widowControl w:val="0"/>
              <w:rPr>
                <w:rFonts w:ascii="Arial" w:eastAsia="Arial" w:hAnsi="Arial" w:cs="Arial"/>
                <w:b/>
                <w:sz w:val="18"/>
                <w:szCs w:val="18"/>
              </w:rPr>
            </w:pPr>
          </w:p>
        </w:tc>
        <w:tc>
          <w:tcPr>
            <w:tcW w:w="1245"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5B" w14:textId="77777777" w:rsidR="00054D27" w:rsidRPr="00800799" w:rsidRDefault="00AF622A">
            <w:pPr>
              <w:widowControl w:val="0"/>
              <w:rPr>
                <w:rFonts w:ascii="Arial" w:eastAsia="Arial" w:hAnsi="Arial" w:cs="Arial"/>
                <w:b/>
                <w:sz w:val="18"/>
                <w:szCs w:val="18"/>
              </w:rPr>
            </w:pPr>
            <w:r w:rsidRPr="00800799">
              <w:rPr>
                <w:b/>
                <w:sz w:val="18"/>
                <w:szCs w:val="18"/>
              </w:rPr>
              <w:t>Garant projektu</w:t>
            </w:r>
          </w:p>
        </w:tc>
      </w:tr>
      <w:tr w:rsidR="00054D27" w:rsidRPr="00800799" w14:paraId="2D7C1F88" w14:textId="77777777">
        <w:trPr>
          <w:trHeight w:val="495"/>
        </w:trPr>
        <w:tc>
          <w:tcPr>
            <w:tcW w:w="1185"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5C" w14:textId="77777777" w:rsidR="00054D27" w:rsidRPr="00800799" w:rsidRDefault="00AF622A">
            <w:pPr>
              <w:widowControl w:val="0"/>
              <w:rPr>
                <w:rFonts w:ascii="Arial" w:eastAsia="Arial" w:hAnsi="Arial" w:cs="Arial"/>
                <w:sz w:val="18"/>
                <w:szCs w:val="18"/>
              </w:rPr>
            </w:pPr>
            <w:r w:rsidRPr="00800799">
              <w:rPr>
                <w:b/>
                <w:sz w:val="18"/>
                <w:szCs w:val="18"/>
              </w:rPr>
              <w:t>Ondřej Ptáček</w:t>
            </w:r>
          </w:p>
        </w:tc>
        <w:tc>
          <w:tcPr>
            <w:tcW w:w="1455"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5D" w14:textId="77777777" w:rsidR="00054D27" w:rsidRPr="00800799" w:rsidRDefault="00AF622A">
            <w:pPr>
              <w:widowControl w:val="0"/>
              <w:rPr>
                <w:rFonts w:ascii="Arial" w:eastAsia="Arial" w:hAnsi="Arial" w:cs="Arial"/>
                <w:sz w:val="18"/>
                <w:szCs w:val="18"/>
              </w:rPr>
            </w:pPr>
            <w:proofErr w:type="spellStart"/>
            <w:r w:rsidRPr="00800799">
              <w:rPr>
                <w:sz w:val="18"/>
                <w:szCs w:val="18"/>
              </w:rPr>
              <w:t>seniorní</w:t>
            </w:r>
            <w:proofErr w:type="spellEnd"/>
            <w:r w:rsidRPr="00800799">
              <w:rPr>
                <w:sz w:val="18"/>
                <w:szCs w:val="18"/>
              </w:rPr>
              <w:t xml:space="preserve"> manažer oddělení veřejného sektoru </w:t>
            </w:r>
            <w:proofErr w:type="spellStart"/>
            <w:r w:rsidRPr="00800799">
              <w:rPr>
                <w:sz w:val="18"/>
                <w:szCs w:val="18"/>
              </w:rPr>
              <w:t>PwC</w:t>
            </w:r>
            <w:proofErr w:type="spellEnd"/>
          </w:p>
        </w:tc>
        <w:tc>
          <w:tcPr>
            <w:tcW w:w="1290"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5E" w14:textId="77777777" w:rsidR="00054D27" w:rsidRPr="00800799" w:rsidRDefault="00AF622A">
            <w:pPr>
              <w:widowControl w:val="0"/>
              <w:rPr>
                <w:rFonts w:ascii="Arial" w:eastAsia="Arial" w:hAnsi="Arial" w:cs="Arial"/>
                <w:sz w:val="18"/>
                <w:szCs w:val="18"/>
              </w:rPr>
            </w:pPr>
            <w:r w:rsidRPr="00800799">
              <w:rPr>
                <w:sz w:val="18"/>
                <w:szCs w:val="18"/>
              </w:rPr>
              <w:t xml:space="preserve">Hlavní expert </w:t>
            </w:r>
            <w:proofErr w:type="spellStart"/>
            <w:r w:rsidRPr="00800799">
              <w:rPr>
                <w:sz w:val="18"/>
                <w:szCs w:val="18"/>
              </w:rPr>
              <w:t>PwC</w:t>
            </w:r>
            <w:proofErr w:type="spellEnd"/>
            <w:r w:rsidRPr="00800799">
              <w:rPr>
                <w:sz w:val="18"/>
                <w:szCs w:val="18"/>
              </w:rPr>
              <w:t xml:space="preserve"> pro finanční nástroje</w:t>
            </w:r>
          </w:p>
        </w:tc>
        <w:tc>
          <w:tcPr>
            <w:tcW w:w="1425"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5F" w14:textId="77777777" w:rsidR="00054D27" w:rsidRPr="00800799" w:rsidRDefault="00AF622A">
            <w:pPr>
              <w:widowControl w:val="0"/>
              <w:jc w:val="center"/>
              <w:rPr>
                <w:rFonts w:ascii="Arial" w:eastAsia="Arial" w:hAnsi="Arial" w:cs="Arial"/>
                <w:sz w:val="18"/>
                <w:szCs w:val="18"/>
              </w:rPr>
            </w:pPr>
            <w:r w:rsidRPr="00800799">
              <w:rPr>
                <w:sz w:val="18"/>
                <w:szCs w:val="18"/>
              </w:rPr>
              <w:t>770 104 795</w:t>
            </w:r>
          </w:p>
        </w:tc>
        <w:tc>
          <w:tcPr>
            <w:tcW w:w="1620"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0" w14:textId="77777777" w:rsidR="00054D27" w:rsidRPr="00800799" w:rsidRDefault="00AF622A">
            <w:pPr>
              <w:widowControl w:val="0"/>
              <w:rPr>
                <w:rFonts w:ascii="Arial" w:eastAsia="Arial" w:hAnsi="Arial" w:cs="Arial"/>
                <w:sz w:val="18"/>
                <w:szCs w:val="18"/>
              </w:rPr>
            </w:pPr>
            <w:r w:rsidRPr="00800799">
              <w:rPr>
                <w:color w:val="A32020"/>
                <w:sz w:val="18"/>
                <w:szCs w:val="18"/>
                <w:u w:val="single"/>
              </w:rPr>
              <w:t>ondrej.ptacek@pwc.com</w:t>
            </w:r>
          </w:p>
        </w:tc>
        <w:tc>
          <w:tcPr>
            <w:tcW w:w="1200"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1" w14:textId="77777777" w:rsidR="00054D27" w:rsidRPr="00800799" w:rsidRDefault="00AF622A">
            <w:pPr>
              <w:widowControl w:val="0"/>
              <w:rPr>
                <w:rFonts w:ascii="Arial" w:eastAsia="Arial" w:hAnsi="Arial" w:cs="Arial"/>
                <w:sz w:val="18"/>
                <w:szCs w:val="18"/>
              </w:rPr>
            </w:pPr>
            <w:r w:rsidRPr="00800799">
              <w:rPr>
                <w:b/>
                <w:sz w:val="18"/>
                <w:szCs w:val="18"/>
              </w:rPr>
              <w:t>Hlavní expert</w:t>
            </w:r>
          </w:p>
        </w:tc>
        <w:tc>
          <w:tcPr>
            <w:tcW w:w="1245"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2" w14:textId="77777777" w:rsidR="00054D27" w:rsidRPr="00800799" w:rsidRDefault="00AF622A">
            <w:pPr>
              <w:widowControl w:val="0"/>
              <w:rPr>
                <w:rFonts w:ascii="Arial" w:eastAsia="Arial" w:hAnsi="Arial" w:cs="Arial"/>
                <w:sz w:val="18"/>
                <w:szCs w:val="18"/>
              </w:rPr>
            </w:pPr>
            <w:r w:rsidRPr="00800799">
              <w:rPr>
                <w:b/>
                <w:sz w:val="18"/>
                <w:szCs w:val="18"/>
              </w:rPr>
              <w:t>Hlavní expert</w:t>
            </w:r>
          </w:p>
        </w:tc>
      </w:tr>
      <w:tr w:rsidR="00054D27" w:rsidRPr="00800799" w14:paraId="0DD262AD" w14:textId="77777777">
        <w:trPr>
          <w:trHeight w:val="495"/>
        </w:trPr>
        <w:tc>
          <w:tcPr>
            <w:tcW w:w="118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3" w14:textId="77777777" w:rsidR="00054D27" w:rsidRPr="00800799" w:rsidRDefault="00AF622A">
            <w:pPr>
              <w:widowControl w:val="0"/>
              <w:rPr>
                <w:rFonts w:ascii="Arial" w:eastAsia="Arial" w:hAnsi="Arial" w:cs="Arial"/>
                <w:sz w:val="18"/>
                <w:szCs w:val="18"/>
              </w:rPr>
            </w:pPr>
            <w:r w:rsidRPr="00800799">
              <w:rPr>
                <w:b/>
                <w:sz w:val="18"/>
                <w:szCs w:val="18"/>
              </w:rPr>
              <w:t>Miroslav Regent</w:t>
            </w:r>
          </w:p>
        </w:tc>
        <w:tc>
          <w:tcPr>
            <w:tcW w:w="145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4" w14:textId="77777777" w:rsidR="00054D27" w:rsidRPr="00800799" w:rsidRDefault="00AF622A">
            <w:pPr>
              <w:widowControl w:val="0"/>
              <w:rPr>
                <w:rFonts w:ascii="Arial" w:eastAsia="Arial" w:hAnsi="Arial" w:cs="Arial"/>
                <w:sz w:val="18"/>
                <w:szCs w:val="18"/>
              </w:rPr>
            </w:pPr>
            <w:r w:rsidRPr="00800799">
              <w:rPr>
                <w:sz w:val="18"/>
                <w:szCs w:val="18"/>
              </w:rPr>
              <w:t>manažer v oddělení veřejného sektoru</w:t>
            </w:r>
          </w:p>
        </w:tc>
        <w:tc>
          <w:tcPr>
            <w:tcW w:w="129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5" w14:textId="77777777" w:rsidR="00054D27" w:rsidRPr="00800799" w:rsidRDefault="00AF622A">
            <w:pPr>
              <w:widowControl w:val="0"/>
              <w:rPr>
                <w:rFonts w:ascii="Arial" w:eastAsia="Arial" w:hAnsi="Arial" w:cs="Arial"/>
                <w:sz w:val="18"/>
                <w:szCs w:val="18"/>
              </w:rPr>
            </w:pPr>
            <w:r w:rsidRPr="00800799">
              <w:rPr>
                <w:sz w:val="18"/>
                <w:szCs w:val="18"/>
              </w:rPr>
              <w:t xml:space="preserve">Projektový manažer za </w:t>
            </w:r>
            <w:proofErr w:type="spellStart"/>
            <w:r w:rsidRPr="00800799">
              <w:rPr>
                <w:sz w:val="18"/>
                <w:szCs w:val="18"/>
              </w:rPr>
              <w:t>PwC</w:t>
            </w:r>
            <w:proofErr w:type="spellEnd"/>
          </w:p>
        </w:tc>
        <w:tc>
          <w:tcPr>
            <w:tcW w:w="142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6" w14:textId="77777777" w:rsidR="00054D27" w:rsidRPr="00800799" w:rsidRDefault="00AF622A">
            <w:pPr>
              <w:widowControl w:val="0"/>
              <w:jc w:val="center"/>
              <w:rPr>
                <w:rFonts w:ascii="Arial" w:eastAsia="Arial" w:hAnsi="Arial" w:cs="Arial"/>
                <w:sz w:val="18"/>
                <w:szCs w:val="18"/>
              </w:rPr>
            </w:pPr>
            <w:r w:rsidRPr="00800799">
              <w:rPr>
                <w:sz w:val="18"/>
                <w:szCs w:val="18"/>
              </w:rPr>
              <w:t>602 585 232</w:t>
            </w:r>
          </w:p>
        </w:tc>
        <w:tc>
          <w:tcPr>
            <w:tcW w:w="162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7" w14:textId="77777777" w:rsidR="00054D27" w:rsidRPr="00800799" w:rsidRDefault="00AF622A">
            <w:pPr>
              <w:widowControl w:val="0"/>
              <w:rPr>
                <w:rFonts w:ascii="Arial" w:eastAsia="Arial" w:hAnsi="Arial" w:cs="Arial"/>
                <w:sz w:val="18"/>
                <w:szCs w:val="18"/>
              </w:rPr>
            </w:pPr>
            <w:r w:rsidRPr="00800799">
              <w:rPr>
                <w:color w:val="A32020"/>
                <w:sz w:val="18"/>
                <w:szCs w:val="18"/>
                <w:u w:val="single"/>
              </w:rPr>
              <w:t>miroslav.regent@pwc.com</w:t>
            </w:r>
          </w:p>
        </w:tc>
        <w:tc>
          <w:tcPr>
            <w:tcW w:w="120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8" w14:textId="77777777" w:rsidR="00054D27" w:rsidRPr="00800799" w:rsidRDefault="00AF622A">
            <w:pPr>
              <w:widowControl w:val="0"/>
              <w:rPr>
                <w:rFonts w:ascii="Arial" w:eastAsia="Arial" w:hAnsi="Arial" w:cs="Arial"/>
                <w:sz w:val="18"/>
                <w:szCs w:val="18"/>
              </w:rPr>
            </w:pPr>
            <w:r w:rsidRPr="00800799">
              <w:rPr>
                <w:b/>
                <w:sz w:val="18"/>
                <w:szCs w:val="18"/>
              </w:rPr>
              <w:t>Projektový manažer dodavatele</w:t>
            </w:r>
          </w:p>
        </w:tc>
        <w:tc>
          <w:tcPr>
            <w:tcW w:w="124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9" w14:textId="77777777" w:rsidR="00054D27" w:rsidRPr="00800799" w:rsidRDefault="00AF622A">
            <w:pPr>
              <w:widowControl w:val="0"/>
              <w:rPr>
                <w:rFonts w:ascii="Arial" w:eastAsia="Arial" w:hAnsi="Arial" w:cs="Arial"/>
                <w:sz w:val="18"/>
                <w:szCs w:val="18"/>
              </w:rPr>
            </w:pPr>
            <w:r w:rsidRPr="00800799">
              <w:rPr>
                <w:b/>
                <w:sz w:val="18"/>
                <w:szCs w:val="18"/>
              </w:rPr>
              <w:t>Projektový manažer dodavatele</w:t>
            </w:r>
          </w:p>
        </w:tc>
      </w:tr>
      <w:tr w:rsidR="00054D27" w:rsidRPr="00800799" w14:paraId="5B203826" w14:textId="77777777">
        <w:trPr>
          <w:trHeight w:val="735"/>
        </w:trPr>
        <w:tc>
          <w:tcPr>
            <w:tcW w:w="118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A" w14:textId="77777777" w:rsidR="00054D27" w:rsidRPr="00800799" w:rsidRDefault="00AF622A">
            <w:pPr>
              <w:widowControl w:val="0"/>
              <w:rPr>
                <w:rFonts w:ascii="Arial" w:eastAsia="Arial" w:hAnsi="Arial" w:cs="Arial"/>
                <w:sz w:val="18"/>
                <w:szCs w:val="18"/>
              </w:rPr>
            </w:pPr>
            <w:r w:rsidRPr="00800799">
              <w:rPr>
                <w:b/>
                <w:sz w:val="18"/>
                <w:szCs w:val="18"/>
              </w:rPr>
              <w:t xml:space="preserve">Jan </w:t>
            </w:r>
            <w:proofErr w:type="spellStart"/>
            <w:r w:rsidRPr="00800799">
              <w:rPr>
                <w:b/>
                <w:sz w:val="18"/>
                <w:szCs w:val="18"/>
              </w:rPr>
              <w:t>Ornst</w:t>
            </w:r>
            <w:proofErr w:type="spellEnd"/>
          </w:p>
        </w:tc>
        <w:tc>
          <w:tcPr>
            <w:tcW w:w="145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B" w14:textId="77777777" w:rsidR="00054D27" w:rsidRPr="00800799" w:rsidRDefault="00AF622A">
            <w:pPr>
              <w:widowControl w:val="0"/>
              <w:rPr>
                <w:rFonts w:ascii="Arial" w:eastAsia="Arial" w:hAnsi="Arial" w:cs="Arial"/>
                <w:sz w:val="18"/>
                <w:szCs w:val="18"/>
              </w:rPr>
            </w:pPr>
            <w:r w:rsidRPr="00800799">
              <w:rPr>
                <w:sz w:val="18"/>
                <w:szCs w:val="18"/>
              </w:rPr>
              <w:t>manažer v týmu CP&amp;I</w:t>
            </w:r>
          </w:p>
        </w:tc>
        <w:tc>
          <w:tcPr>
            <w:tcW w:w="129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C" w14:textId="77777777" w:rsidR="00054D27" w:rsidRPr="00800799" w:rsidRDefault="00AF622A">
            <w:pPr>
              <w:widowControl w:val="0"/>
              <w:rPr>
                <w:rFonts w:ascii="Arial" w:eastAsia="Arial" w:hAnsi="Arial" w:cs="Arial"/>
                <w:sz w:val="18"/>
                <w:szCs w:val="18"/>
              </w:rPr>
            </w:pPr>
            <w:r w:rsidRPr="00800799">
              <w:rPr>
                <w:sz w:val="18"/>
                <w:szCs w:val="18"/>
              </w:rPr>
              <w:t>Specialista v oblasti strukturování financování a finanční modelování</w:t>
            </w:r>
          </w:p>
        </w:tc>
        <w:tc>
          <w:tcPr>
            <w:tcW w:w="142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D" w14:textId="77777777" w:rsidR="00054D27" w:rsidRPr="00800799" w:rsidRDefault="00AF622A">
            <w:pPr>
              <w:widowControl w:val="0"/>
              <w:jc w:val="center"/>
              <w:rPr>
                <w:rFonts w:ascii="Arial" w:eastAsia="Arial" w:hAnsi="Arial" w:cs="Arial"/>
                <w:sz w:val="18"/>
                <w:szCs w:val="18"/>
              </w:rPr>
            </w:pPr>
            <w:r w:rsidRPr="00800799">
              <w:rPr>
                <w:sz w:val="18"/>
                <w:szCs w:val="18"/>
              </w:rPr>
              <w:t xml:space="preserve">735 793 535 </w:t>
            </w:r>
          </w:p>
        </w:tc>
        <w:tc>
          <w:tcPr>
            <w:tcW w:w="162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E" w14:textId="77777777" w:rsidR="00054D27" w:rsidRPr="00800799" w:rsidRDefault="00AF622A">
            <w:pPr>
              <w:widowControl w:val="0"/>
              <w:rPr>
                <w:rFonts w:ascii="Arial" w:eastAsia="Arial" w:hAnsi="Arial" w:cs="Arial"/>
                <w:sz w:val="18"/>
                <w:szCs w:val="18"/>
              </w:rPr>
            </w:pPr>
            <w:r w:rsidRPr="00800799">
              <w:rPr>
                <w:color w:val="A32020"/>
                <w:sz w:val="18"/>
                <w:szCs w:val="18"/>
                <w:u w:val="single"/>
              </w:rPr>
              <w:t>jan.ornst@pwc.com</w:t>
            </w:r>
          </w:p>
        </w:tc>
        <w:tc>
          <w:tcPr>
            <w:tcW w:w="120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6F" w14:textId="77777777" w:rsidR="00054D27" w:rsidRPr="00800799" w:rsidRDefault="00054D27">
            <w:pPr>
              <w:widowControl w:val="0"/>
              <w:rPr>
                <w:rFonts w:ascii="Arial" w:eastAsia="Arial" w:hAnsi="Arial" w:cs="Arial"/>
                <w:sz w:val="18"/>
                <w:szCs w:val="18"/>
              </w:rPr>
            </w:pPr>
          </w:p>
        </w:tc>
        <w:tc>
          <w:tcPr>
            <w:tcW w:w="124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70" w14:textId="77777777" w:rsidR="00054D27" w:rsidRPr="00800799" w:rsidRDefault="00054D27">
            <w:pPr>
              <w:widowControl w:val="0"/>
              <w:rPr>
                <w:rFonts w:ascii="Arial" w:eastAsia="Arial" w:hAnsi="Arial" w:cs="Arial"/>
                <w:sz w:val="18"/>
                <w:szCs w:val="18"/>
              </w:rPr>
            </w:pPr>
          </w:p>
        </w:tc>
      </w:tr>
      <w:tr w:rsidR="00054D27" w:rsidRPr="00800799" w14:paraId="7E16F792" w14:textId="77777777">
        <w:trPr>
          <w:trHeight w:val="735"/>
        </w:trPr>
        <w:tc>
          <w:tcPr>
            <w:tcW w:w="118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71" w14:textId="77777777" w:rsidR="00054D27" w:rsidRPr="00800799" w:rsidRDefault="00AF622A">
            <w:pPr>
              <w:widowControl w:val="0"/>
              <w:rPr>
                <w:rFonts w:ascii="Arial" w:eastAsia="Arial" w:hAnsi="Arial" w:cs="Arial"/>
                <w:sz w:val="18"/>
                <w:szCs w:val="18"/>
              </w:rPr>
            </w:pPr>
            <w:proofErr w:type="spellStart"/>
            <w:r w:rsidRPr="00800799">
              <w:rPr>
                <w:b/>
                <w:sz w:val="18"/>
                <w:szCs w:val="18"/>
              </w:rPr>
              <w:t>Strahinja</w:t>
            </w:r>
            <w:proofErr w:type="spellEnd"/>
            <w:r w:rsidRPr="00800799">
              <w:rPr>
                <w:b/>
                <w:sz w:val="18"/>
                <w:szCs w:val="18"/>
              </w:rPr>
              <w:t xml:space="preserve"> </w:t>
            </w:r>
            <w:proofErr w:type="spellStart"/>
            <w:r w:rsidRPr="00800799">
              <w:rPr>
                <w:b/>
                <w:sz w:val="18"/>
                <w:szCs w:val="18"/>
              </w:rPr>
              <w:t>Mladenović</w:t>
            </w:r>
            <w:proofErr w:type="spellEnd"/>
          </w:p>
        </w:tc>
        <w:tc>
          <w:tcPr>
            <w:tcW w:w="145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72" w14:textId="77777777" w:rsidR="00054D27" w:rsidRPr="00800799" w:rsidRDefault="00AF622A">
            <w:pPr>
              <w:widowControl w:val="0"/>
              <w:rPr>
                <w:rFonts w:ascii="Arial" w:eastAsia="Arial" w:hAnsi="Arial" w:cs="Arial"/>
                <w:sz w:val="18"/>
                <w:szCs w:val="18"/>
              </w:rPr>
            </w:pPr>
            <w:r w:rsidRPr="00800799">
              <w:rPr>
                <w:sz w:val="18"/>
                <w:szCs w:val="18"/>
              </w:rPr>
              <w:t>manažer v oddělení veřejného sektoru</w:t>
            </w:r>
          </w:p>
        </w:tc>
        <w:tc>
          <w:tcPr>
            <w:tcW w:w="129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73" w14:textId="77777777" w:rsidR="00054D27" w:rsidRPr="00800799" w:rsidRDefault="00AF622A">
            <w:pPr>
              <w:widowControl w:val="0"/>
              <w:rPr>
                <w:rFonts w:ascii="Arial" w:eastAsia="Arial" w:hAnsi="Arial" w:cs="Arial"/>
                <w:sz w:val="18"/>
                <w:szCs w:val="18"/>
              </w:rPr>
            </w:pPr>
            <w:r w:rsidRPr="00800799">
              <w:rPr>
                <w:sz w:val="18"/>
                <w:szCs w:val="18"/>
              </w:rPr>
              <w:t>Expert v oblasti energetiky, čisté mobility a vodohospodářství</w:t>
            </w:r>
          </w:p>
        </w:tc>
        <w:tc>
          <w:tcPr>
            <w:tcW w:w="142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74" w14:textId="77777777" w:rsidR="00054D27" w:rsidRPr="00800799" w:rsidRDefault="00AF622A">
            <w:pPr>
              <w:widowControl w:val="0"/>
              <w:jc w:val="center"/>
              <w:rPr>
                <w:rFonts w:ascii="Arial" w:eastAsia="Arial" w:hAnsi="Arial" w:cs="Arial"/>
                <w:sz w:val="18"/>
                <w:szCs w:val="18"/>
              </w:rPr>
            </w:pPr>
            <w:r w:rsidRPr="00800799">
              <w:rPr>
                <w:sz w:val="18"/>
                <w:szCs w:val="18"/>
              </w:rPr>
              <w:t>734 353 838</w:t>
            </w:r>
          </w:p>
        </w:tc>
        <w:tc>
          <w:tcPr>
            <w:tcW w:w="162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75" w14:textId="77777777" w:rsidR="00054D27" w:rsidRPr="00800799" w:rsidRDefault="00AF622A">
            <w:pPr>
              <w:widowControl w:val="0"/>
              <w:rPr>
                <w:rFonts w:ascii="Arial" w:eastAsia="Arial" w:hAnsi="Arial" w:cs="Arial"/>
                <w:sz w:val="18"/>
                <w:szCs w:val="18"/>
              </w:rPr>
            </w:pPr>
            <w:r w:rsidRPr="00800799">
              <w:rPr>
                <w:color w:val="A32020"/>
                <w:sz w:val="18"/>
                <w:szCs w:val="18"/>
                <w:u w:val="single"/>
              </w:rPr>
              <w:t>strahinja.mladenovic@pwc.com</w:t>
            </w:r>
          </w:p>
        </w:tc>
        <w:tc>
          <w:tcPr>
            <w:tcW w:w="120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76" w14:textId="77777777" w:rsidR="00054D27" w:rsidRPr="00800799" w:rsidRDefault="00054D27">
            <w:pPr>
              <w:widowControl w:val="0"/>
              <w:rPr>
                <w:rFonts w:ascii="Arial" w:eastAsia="Arial" w:hAnsi="Arial" w:cs="Arial"/>
                <w:sz w:val="18"/>
                <w:szCs w:val="18"/>
              </w:rPr>
            </w:pPr>
          </w:p>
        </w:tc>
        <w:tc>
          <w:tcPr>
            <w:tcW w:w="124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77" w14:textId="77777777" w:rsidR="00054D27" w:rsidRPr="00800799" w:rsidRDefault="00054D27">
            <w:pPr>
              <w:widowControl w:val="0"/>
              <w:rPr>
                <w:rFonts w:ascii="Arial" w:eastAsia="Arial" w:hAnsi="Arial" w:cs="Arial"/>
                <w:sz w:val="18"/>
                <w:szCs w:val="18"/>
              </w:rPr>
            </w:pPr>
          </w:p>
        </w:tc>
      </w:tr>
      <w:tr w:rsidR="00054D27" w:rsidRPr="00800799" w14:paraId="5224A036" w14:textId="77777777">
        <w:trPr>
          <w:trHeight w:val="735"/>
        </w:trPr>
        <w:tc>
          <w:tcPr>
            <w:tcW w:w="1185" w:type="dxa"/>
            <w:tcBorders>
              <w:top w:val="single" w:sz="6" w:space="0" w:color="7F7F7F"/>
              <w:left w:val="single" w:sz="6" w:space="0" w:color="000000"/>
              <w:bottom w:val="single" w:sz="6" w:space="0" w:color="222222"/>
              <w:right w:val="single" w:sz="6" w:space="0" w:color="000000"/>
            </w:tcBorders>
            <w:shd w:val="clear" w:color="auto" w:fill="FFFFFF"/>
            <w:tcMar>
              <w:top w:w="0" w:type="dxa"/>
              <w:left w:w="40" w:type="dxa"/>
              <w:bottom w:w="0" w:type="dxa"/>
              <w:right w:w="40" w:type="dxa"/>
            </w:tcMar>
            <w:vAlign w:val="center"/>
          </w:tcPr>
          <w:p w14:paraId="00000078" w14:textId="77777777" w:rsidR="00054D27" w:rsidRPr="00800799" w:rsidRDefault="00AF622A">
            <w:pPr>
              <w:widowControl w:val="0"/>
              <w:rPr>
                <w:rFonts w:ascii="Arial" w:eastAsia="Arial" w:hAnsi="Arial" w:cs="Arial"/>
                <w:sz w:val="18"/>
                <w:szCs w:val="18"/>
              </w:rPr>
            </w:pPr>
            <w:r w:rsidRPr="00800799">
              <w:rPr>
                <w:b/>
                <w:sz w:val="18"/>
                <w:szCs w:val="18"/>
              </w:rPr>
              <w:t>Matěj Vácha</w:t>
            </w:r>
          </w:p>
        </w:tc>
        <w:tc>
          <w:tcPr>
            <w:tcW w:w="145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79" w14:textId="77777777" w:rsidR="00054D27" w:rsidRPr="00800799" w:rsidRDefault="00AF622A">
            <w:pPr>
              <w:widowControl w:val="0"/>
              <w:rPr>
                <w:rFonts w:ascii="Arial" w:eastAsia="Arial" w:hAnsi="Arial" w:cs="Arial"/>
                <w:sz w:val="18"/>
                <w:szCs w:val="18"/>
              </w:rPr>
            </w:pPr>
            <w:r w:rsidRPr="00800799">
              <w:rPr>
                <w:sz w:val="18"/>
                <w:szCs w:val="18"/>
              </w:rPr>
              <w:t>právník a společník advokátní kanceláře Pelikán, Krofta Kohoutek</w:t>
            </w:r>
          </w:p>
        </w:tc>
        <w:tc>
          <w:tcPr>
            <w:tcW w:w="129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7A" w14:textId="77777777" w:rsidR="00054D27" w:rsidRPr="00800799" w:rsidRDefault="00AF622A">
            <w:pPr>
              <w:widowControl w:val="0"/>
              <w:rPr>
                <w:rFonts w:ascii="Arial" w:eastAsia="Arial" w:hAnsi="Arial" w:cs="Arial"/>
                <w:sz w:val="18"/>
                <w:szCs w:val="18"/>
              </w:rPr>
            </w:pPr>
            <w:r w:rsidRPr="00800799">
              <w:rPr>
                <w:sz w:val="18"/>
                <w:szCs w:val="18"/>
              </w:rPr>
              <w:t>Expert na právní poradenství pro inovativní finanční nástroje</w:t>
            </w:r>
          </w:p>
        </w:tc>
        <w:tc>
          <w:tcPr>
            <w:tcW w:w="142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7B" w14:textId="77777777" w:rsidR="00054D27" w:rsidRPr="00800799" w:rsidRDefault="00AF622A">
            <w:pPr>
              <w:widowControl w:val="0"/>
              <w:jc w:val="center"/>
              <w:rPr>
                <w:rFonts w:ascii="Arial" w:eastAsia="Arial" w:hAnsi="Arial" w:cs="Arial"/>
                <w:sz w:val="18"/>
                <w:szCs w:val="18"/>
              </w:rPr>
            </w:pPr>
            <w:r w:rsidRPr="00800799">
              <w:rPr>
                <w:sz w:val="18"/>
                <w:szCs w:val="18"/>
              </w:rPr>
              <w:t>604 586 711</w:t>
            </w:r>
          </w:p>
        </w:tc>
        <w:tc>
          <w:tcPr>
            <w:tcW w:w="1620" w:type="dxa"/>
            <w:tcBorders>
              <w:top w:val="single" w:sz="6" w:space="0" w:color="7F7F7F"/>
              <w:left w:val="single" w:sz="6" w:space="0" w:color="000000"/>
              <w:bottom w:val="single" w:sz="6" w:space="0" w:color="7F7F7F"/>
              <w:right w:val="single" w:sz="6" w:space="0" w:color="000000"/>
            </w:tcBorders>
            <w:tcMar>
              <w:top w:w="0" w:type="dxa"/>
              <w:left w:w="40" w:type="dxa"/>
              <w:bottom w:w="0" w:type="dxa"/>
              <w:right w:w="40" w:type="dxa"/>
            </w:tcMar>
            <w:vAlign w:val="center"/>
          </w:tcPr>
          <w:p w14:paraId="0000007C" w14:textId="77777777" w:rsidR="00054D27" w:rsidRPr="00800799" w:rsidRDefault="00AF622A">
            <w:pPr>
              <w:widowControl w:val="0"/>
              <w:rPr>
                <w:rFonts w:ascii="Arial" w:eastAsia="Arial" w:hAnsi="Arial" w:cs="Arial"/>
                <w:sz w:val="18"/>
                <w:szCs w:val="18"/>
              </w:rPr>
            </w:pPr>
            <w:r w:rsidRPr="00800799">
              <w:rPr>
                <w:color w:val="A32020"/>
                <w:sz w:val="18"/>
                <w:szCs w:val="18"/>
                <w:u w:val="single"/>
              </w:rPr>
              <w:t>matej.vacha@ak-pkk.cz</w:t>
            </w:r>
          </w:p>
        </w:tc>
        <w:tc>
          <w:tcPr>
            <w:tcW w:w="120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7D" w14:textId="77777777" w:rsidR="00054D27" w:rsidRPr="00800799" w:rsidRDefault="00054D27">
            <w:pPr>
              <w:widowControl w:val="0"/>
              <w:rPr>
                <w:rFonts w:ascii="Arial" w:eastAsia="Arial" w:hAnsi="Arial" w:cs="Arial"/>
                <w:sz w:val="18"/>
                <w:szCs w:val="18"/>
              </w:rPr>
            </w:pPr>
          </w:p>
        </w:tc>
        <w:tc>
          <w:tcPr>
            <w:tcW w:w="124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7E" w14:textId="77777777" w:rsidR="00054D27" w:rsidRPr="00800799" w:rsidRDefault="00054D27">
            <w:pPr>
              <w:widowControl w:val="0"/>
              <w:rPr>
                <w:rFonts w:ascii="Arial" w:eastAsia="Arial" w:hAnsi="Arial" w:cs="Arial"/>
                <w:sz w:val="18"/>
                <w:szCs w:val="18"/>
              </w:rPr>
            </w:pPr>
          </w:p>
        </w:tc>
      </w:tr>
      <w:tr w:rsidR="00054D27" w:rsidRPr="00800799" w14:paraId="62232157" w14:textId="77777777">
        <w:trPr>
          <w:trHeight w:val="495"/>
        </w:trPr>
        <w:tc>
          <w:tcPr>
            <w:tcW w:w="1185"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7F" w14:textId="77777777" w:rsidR="00054D27" w:rsidRPr="00800799" w:rsidRDefault="00AF622A">
            <w:pPr>
              <w:widowControl w:val="0"/>
              <w:rPr>
                <w:rFonts w:ascii="Arial" w:eastAsia="Arial" w:hAnsi="Arial" w:cs="Arial"/>
                <w:b/>
                <w:sz w:val="18"/>
                <w:szCs w:val="18"/>
              </w:rPr>
            </w:pPr>
            <w:r w:rsidRPr="00800799">
              <w:rPr>
                <w:b/>
                <w:sz w:val="18"/>
                <w:szCs w:val="18"/>
              </w:rPr>
              <w:t xml:space="preserve">Ondřej </w:t>
            </w:r>
            <w:proofErr w:type="spellStart"/>
            <w:r w:rsidRPr="00800799">
              <w:rPr>
                <w:b/>
                <w:sz w:val="18"/>
                <w:szCs w:val="18"/>
              </w:rPr>
              <w:t>Štec</w:t>
            </w:r>
            <w:proofErr w:type="spellEnd"/>
          </w:p>
        </w:tc>
        <w:tc>
          <w:tcPr>
            <w:tcW w:w="1455" w:type="dxa"/>
            <w:tcBorders>
              <w:top w:val="single" w:sz="6" w:space="0" w:color="7F7F7F"/>
              <w:left w:val="single" w:sz="6" w:space="0" w:color="222222"/>
              <w:bottom w:val="single" w:sz="6" w:space="0" w:color="7F7F7F"/>
              <w:right w:val="single" w:sz="6" w:space="0" w:color="000000"/>
            </w:tcBorders>
            <w:shd w:val="clear" w:color="auto" w:fill="FFFFFF"/>
            <w:tcMar>
              <w:top w:w="0" w:type="dxa"/>
              <w:left w:w="40" w:type="dxa"/>
              <w:bottom w:w="0" w:type="dxa"/>
              <w:right w:w="40" w:type="dxa"/>
            </w:tcMar>
            <w:vAlign w:val="center"/>
          </w:tcPr>
          <w:p w14:paraId="00000080" w14:textId="77777777" w:rsidR="00054D27" w:rsidRPr="00800799" w:rsidRDefault="00AF622A">
            <w:pPr>
              <w:widowControl w:val="0"/>
              <w:rPr>
                <w:rFonts w:ascii="Arial" w:eastAsia="Arial" w:hAnsi="Arial" w:cs="Arial"/>
                <w:sz w:val="18"/>
                <w:szCs w:val="18"/>
              </w:rPr>
            </w:pPr>
            <w:r w:rsidRPr="00800799">
              <w:rPr>
                <w:sz w:val="18"/>
                <w:szCs w:val="18"/>
              </w:rPr>
              <w:t>konzultant oddělení veřejného sektoru</w:t>
            </w:r>
          </w:p>
        </w:tc>
        <w:tc>
          <w:tcPr>
            <w:tcW w:w="1290" w:type="dxa"/>
            <w:tcBorders>
              <w:top w:val="single" w:sz="6" w:space="0" w:color="7F7F7F"/>
              <w:left w:val="single" w:sz="6" w:space="0" w:color="000000"/>
              <w:bottom w:val="single" w:sz="6" w:space="0" w:color="7F7F7F"/>
              <w:right w:val="single" w:sz="6" w:space="0" w:color="000000"/>
            </w:tcBorders>
            <w:tcMar>
              <w:top w:w="0" w:type="dxa"/>
              <w:left w:w="40" w:type="dxa"/>
              <w:bottom w:w="0" w:type="dxa"/>
              <w:right w:w="40" w:type="dxa"/>
            </w:tcMar>
            <w:vAlign w:val="center"/>
          </w:tcPr>
          <w:p w14:paraId="00000081" w14:textId="77777777" w:rsidR="00054D27" w:rsidRPr="00800799" w:rsidRDefault="00054D27">
            <w:pPr>
              <w:widowControl w:val="0"/>
              <w:rPr>
                <w:rFonts w:ascii="Arial" w:eastAsia="Arial" w:hAnsi="Arial" w:cs="Arial"/>
                <w:sz w:val="18"/>
                <w:szCs w:val="18"/>
              </w:rPr>
            </w:pPr>
          </w:p>
        </w:tc>
        <w:tc>
          <w:tcPr>
            <w:tcW w:w="142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82" w14:textId="77777777" w:rsidR="00054D27" w:rsidRPr="00800799" w:rsidRDefault="00AF622A">
            <w:pPr>
              <w:widowControl w:val="0"/>
              <w:jc w:val="center"/>
              <w:rPr>
                <w:rFonts w:ascii="Arial" w:eastAsia="Arial" w:hAnsi="Arial" w:cs="Arial"/>
                <w:sz w:val="18"/>
                <w:szCs w:val="18"/>
              </w:rPr>
            </w:pPr>
            <w:r w:rsidRPr="00800799">
              <w:rPr>
                <w:sz w:val="18"/>
                <w:szCs w:val="18"/>
              </w:rPr>
              <w:t>733 627 962</w:t>
            </w:r>
          </w:p>
        </w:tc>
        <w:tc>
          <w:tcPr>
            <w:tcW w:w="162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83" w14:textId="77777777" w:rsidR="00054D27" w:rsidRPr="00800799" w:rsidRDefault="00AF622A">
            <w:pPr>
              <w:widowControl w:val="0"/>
              <w:rPr>
                <w:rFonts w:ascii="Arial" w:eastAsia="Arial" w:hAnsi="Arial" w:cs="Arial"/>
                <w:sz w:val="18"/>
                <w:szCs w:val="18"/>
              </w:rPr>
            </w:pPr>
            <w:r w:rsidRPr="00800799">
              <w:rPr>
                <w:color w:val="A32020"/>
                <w:sz w:val="18"/>
                <w:szCs w:val="18"/>
                <w:u w:val="single"/>
              </w:rPr>
              <w:t>ondrej.stec@pwc.com</w:t>
            </w:r>
          </w:p>
        </w:tc>
        <w:tc>
          <w:tcPr>
            <w:tcW w:w="120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84" w14:textId="77777777" w:rsidR="00054D27" w:rsidRPr="00800799" w:rsidRDefault="00054D27">
            <w:pPr>
              <w:widowControl w:val="0"/>
              <w:rPr>
                <w:rFonts w:ascii="Arial" w:eastAsia="Arial" w:hAnsi="Arial" w:cs="Arial"/>
                <w:sz w:val="18"/>
                <w:szCs w:val="18"/>
              </w:rPr>
            </w:pPr>
          </w:p>
        </w:tc>
        <w:tc>
          <w:tcPr>
            <w:tcW w:w="124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85" w14:textId="77777777" w:rsidR="00054D27" w:rsidRPr="00800799" w:rsidRDefault="00054D27">
            <w:pPr>
              <w:widowControl w:val="0"/>
              <w:rPr>
                <w:rFonts w:ascii="Arial" w:eastAsia="Arial" w:hAnsi="Arial" w:cs="Arial"/>
                <w:sz w:val="18"/>
                <w:szCs w:val="18"/>
              </w:rPr>
            </w:pPr>
          </w:p>
        </w:tc>
      </w:tr>
      <w:tr w:rsidR="00054D27" w:rsidRPr="00800799" w14:paraId="78C2EBC1" w14:textId="77777777">
        <w:trPr>
          <w:trHeight w:val="495"/>
        </w:trPr>
        <w:tc>
          <w:tcPr>
            <w:tcW w:w="1185"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86" w14:textId="77777777" w:rsidR="00054D27" w:rsidRPr="00800799" w:rsidRDefault="00AF622A">
            <w:pPr>
              <w:widowControl w:val="0"/>
              <w:rPr>
                <w:rFonts w:ascii="Arial" w:eastAsia="Arial" w:hAnsi="Arial" w:cs="Arial"/>
                <w:sz w:val="18"/>
                <w:szCs w:val="18"/>
              </w:rPr>
            </w:pPr>
            <w:r w:rsidRPr="00800799">
              <w:rPr>
                <w:b/>
                <w:sz w:val="18"/>
                <w:szCs w:val="18"/>
              </w:rPr>
              <w:t>Lucie Martincová</w:t>
            </w:r>
          </w:p>
        </w:tc>
        <w:tc>
          <w:tcPr>
            <w:tcW w:w="145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87" w14:textId="77777777" w:rsidR="00054D27" w:rsidRPr="00800799" w:rsidRDefault="00AF622A">
            <w:pPr>
              <w:widowControl w:val="0"/>
              <w:rPr>
                <w:rFonts w:ascii="Arial" w:eastAsia="Arial" w:hAnsi="Arial" w:cs="Arial"/>
                <w:sz w:val="18"/>
                <w:szCs w:val="18"/>
              </w:rPr>
            </w:pPr>
            <w:r w:rsidRPr="00800799">
              <w:rPr>
                <w:sz w:val="18"/>
                <w:szCs w:val="18"/>
              </w:rPr>
              <w:t>konzultant oddělení veřejného sektoru</w:t>
            </w:r>
          </w:p>
        </w:tc>
        <w:tc>
          <w:tcPr>
            <w:tcW w:w="129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88" w14:textId="77777777" w:rsidR="00054D27" w:rsidRPr="00800799" w:rsidRDefault="00054D27">
            <w:pPr>
              <w:widowControl w:val="0"/>
              <w:rPr>
                <w:rFonts w:ascii="Arial" w:eastAsia="Arial" w:hAnsi="Arial" w:cs="Arial"/>
                <w:sz w:val="18"/>
                <w:szCs w:val="18"/>
              </w:rPr>
            </w:pPr>
          </w:p>
        </w:tc>
        <w:tc>
          <w:tcPr>
            <w:tcW w:w="142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89" w14:textId="77777777" w:rsidR="00054D27" w:rsidRPr="00800799" w:rsidRDefault="00AF622A">
            <w:pPr>
              <w:widowControl w:val="0"/>
              <w:jc w:val="center"/>
              <w:rPr>
                <w:rFonts w:ascii="Arial" w:eastAsia="Arial" w:hAnsi="Arial" w:cs="Arial"/>
                <w:sz w:val="18"/>
                <w:szCs w:val="18"/>
              </w:rPr>
            </w:pPr>
            <w:r w:rsidRPr="00800799">
              <w:rPr>
                <w:sz w:val="18"/>
                <w:szCs w:val="18"/>
              </w:rPr>
              <w:t>733 627 718</w:t>
            </w:r>
          </w:p>
        </w:tc>
        <w:tc>
          <w:tcPr>
            <w:tcW w:w="162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8A" w14:textId="77777777" w:rsidR="00054D27" w:rsidRPr="00800799" w:rsidRDefault="00AF622A">
            <w:pPr>
              <w:widowControl w:val="0"/>
              <w:rPr>
                <w:rFonts w:ascii="Arial" w:eastAsia="Arial" w:hAnsi="Arial" w:cs="Arial"/>
                <w:sz w:val="18"/>
                <w:szCs w:val="18"/>
              </w:rPr>
            </w:pPr>
            <w:r w:rsidRPr="00800799">
              <w:rPr>
                <w:color w:val="A32020"/>
                <w:sz w:val="18"/>
                <w:szCs w:val="18"/>
                <w:u w:val="single"/>
              </w:rPr>
              <w:t>lucie.martincova@pwc.com</w:t>
            </w:r>
          </w:p>
        </w:tc>
        <w:tc>
          <w:tcPr>
            <w:tcW w:w="120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8B" w14:textId="77777777" w:rsidR="00054D27" w:rsidRPr="00800799" w:rsidRDefault="00054D27">
            <w:pPr>
              <w:widowControl w:val="0"/>
              <w:rPr>
                <w:rFonts w:ascii="Arial" w:eastAsia="Arial" w:hAnsi="Arial" w:cs="Arial"/>
                <w:sz w:val="18"/>
                <w:szCs w:val="18"/>
              </w:rPr>
            </w:pPr>
          </w:p>
        </w:tc>
        <w:tc>
          <w:tcPr>
            <w:tcW w:w="124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8C" w14:textId="77777777" w:rsidR="00054D27" w:rsidRPr="00800799" w:rsidRDefault="00054D27">
            <w:pPr>
              <w:widowControl w:val="0"/>
              <w:rPr>
                <w:rFonts w:ascii="Arial" w:eastAsia="Arial" w:hAnsi="Arial" w:cs="Arial"/>
                <w:sz w:val="18"/>
                <w:szCs w:val="18"/>
              </w:rPr>
            </w:pPr>
          </w:p>
        </w:tc>
      </w:tr>
      <w:tr w:rsidR="00054D27" w:rsidRPr="00800799" w14:paraId="68DB538E" w14:textId="77777777">
        <w:trPr>
          <w:trHeight w:val="495"/>
        </w:trPr>
        <w:tc>
          <w:tcPr>
            <w:tcW w:w="1185" w:type="dxa"/>
            <w:tcBorders>
              <w:top w:val="single" w:sz="6" w:space="0" w:color="222222"/>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8D" w14:textId="77777777" w:rsidR="00054D27" w:rsidRPr="00800799" w:rsidRDefault="00AF622A">
            <w:pPr>
              <w:widowControl w:val="0"/>
              <w:rPr>
                <w:rFonts w:ascii="Arial" w:eastAsia="Arial" w:hAnsi="Arial" w:cs="Arial"/>
                <w:b/>
                <w:sz w:val="18"/>
                <w:szCs w:val="18"/>
              </w:rPr>
            </w:pPr>
            <w:proofErr w:type="spellStart"/>
            <w:r w:rsidRPr="00800799">
              <w:rPr>
                <w:b/>
                <w:sz w:val="18"/>
                <w:szCs w:val="18"/>
              </w:rPr>
              <w:t>Timea</w:t>
            </w:r>
            <w:proofErr w:type="spellEnd"/>
            <w:r w:rsidRPr="00800799">
              <w:rPr>
                <w:b/>
                <w:sz w:val="18"/>
                <w:szCs w:val="18"/>
              </w:rPr>
              <w:t xml:space="preserve"> </w:t>
            </w:r>
            <w:proofErr w:type="spellStart"/>
            <w:r w:rsidRPr="00800799">
              <w:rPr>
                <w:b/>
                <w:sz w:val="18"/>
                <w:szCs w:val="18"/>
              </w:rPr>
              <w:t>Križová</w:t>
            </w:r>
            <w:proofErr w:type="spellEnd"/>
          </w:p>
        </w:tc>
        <w:tc>
          <w:tcPr>
            <w:tcW w:w="145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8E" w14:textId="77777777" w:rsidR="00054D27" w:rsidRPr="00800799" w:rsidRDefault="00AF622A">
            <w:pPr>
              <w:widowControl w:val="0"/>
              <w:rPr>
                <w:rFonts w:ascii="Arial" w:eastAsia="Arial" w:hAnsi="Arial" w:cs="Arial"/>
                <w:sz w:val="18"/>
                <w:szCs w:val="18"/>
              </w:rPr>
            </w:pPr>
            <w:r w:rsidRPr="00800799">
              <w:rPr>
                <w:sz w:val="18"/>
                <w:szCs w:val="18"/>
              </w:rPr>
              <w:t>konzultant oddělení veřejného sektoru</w:t>
            </w:r>
          </w:p>
        </w:tc>
        <w:tc>
          <w:tcPr>
            <w:tcW w:w="129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8F" w14:textId="77777777" w:rsidR="00054D27" w:rsidRPr="00800799" w:rsidRDefault="00054D27">
            <w:pPr>
              <w:widowControl w:val="0"/>
              <w:rPr>
                <w:rFonts w:ascii="Arial" w:eastAsia="Arial" w:hAnsi="Arial" w:cs="Arial"/>
                <w:sz w:val="18"/>
                <w:szCs w:val="18"/>
              </w:rPr>
            </w:pPr>
          </w:p>
        </w:tc>
        <w:tc>
          <w:tcPr>
            <w:tcW w:w="142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90" w14:textId="77777777" w:rsidR="00054D27" w:rsidRPr="00800799" w:rsidRDefault="00AF622A">
            <w:pPr>
              <w:widowControl w:val="0"/>
              <w:jc w:val="center"/>
              <w:rPr>
                <w:rFonts w:ascii="Arial" w:eastAsia="Arial" w:hAnsi="Arial" w:cs="Arial"/>
                <w:sz w:val="18"/>
                <w:szCs w:val="18"/>
              </w:rPr>
            </w:pPr>
            <w:r w:rsidRPr="00800799">
              <w:rPr>
                <w:sz w:val="18"/>
                <w:szCs w:val="18"/>
              </w:rPr>
              <w:t>731 553 962</w:t>
            </w:r>
          </w:p>
        </w:tc>
        <w:tc>
          <w:tcPr>
            <w:tcW w:w="162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91" w14:textId="77777777" w:rsidR="00054D27" w:rsidRPr="00800799" w:rsidRDefault="00AF622A">
            <w:pPr>
              <w:widowControl w:val="0"/>
              <w:rPr>
                <w:rFonts w:ascii="Arial" w:eastAsia="Arial" w:hAnsi="Arial" w:cs="Arial"/>
                <w:color w:val="A32020"/>
                <w:sz w:val="18"/>
                <w:szCs w:val="18"/>
                <w:u w:val="single"/>
              </w:rPr>
            </w:pPr>
            <w:r w:rsidRPr="00800799">
              <w:rPr>
                <w:color w:val="A32020"/>
                <w:sz w:val="18"/>
                <w:szCs w:val="18"/>
                <w:u w:val="single"/>
              </w:rPr>
              <w:t>timea.krizova@pwc.com</w:t>
            </w:r>
          </w:p>
        </w:tc>
        <w:tc>
          <w:tcPr>
            <w:tcW w:w="1200"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92" w14:textId="77777777" w:rsidR="00054D27" w:rsidRPr="00800799" w:rsidRDefault="00054D27">
            <w:pPr>
              <w:widowControl w:val="0"/>
              <w:rPr>
                <w:rFonts w:ascii="Arial" w:eastAsia="Arial" w:hAnsi="Arial" w:cs="Arial"/>
                <w:sz w:val="18"/>
                <w:szCs w:val="18"/>
              </w:rPr>
            </w:pPr>
          </w:p>
        </w:tc>
        <w:tc>
          <w:tcPr>
            <w:tcW w:w="1245" w:type="dxa"/>
            <w:tcBorders>
              <w:top w:val="single" w:sz="6" w:space="0" w:color="7F7F7F"/>
              <w:left w:val="single" w:sz="6" w:space="0" w:color="000000"/>
              <w:bottom w:val="single" w:sz="6" w:space="0" w:color="7F7F7F"/>
              <w:right w:val="single" w:sz="6" w:space="0" w:color="000000"/>
            </w:tcBorders>
            <w:shd w:val="clear" w:color="auto" w:fill="FFFFFF"/>
            <w:tcMar>
              <w:top w:w="0" w:type="dxa"/>
              <w:left w:w="40" w:type="dxa"/>
              <w:bottom w:w="0" w:type="dxa"/>
              <w:right w:w="40" w:type="dxa"/>
            </w:tcMar>
            <w:vAlign w:val="center"/>
          </w:tcPr>
          <w:p w14:paraId="00000093" w14:textId="77777777" w:rsidR="00054D27" w:rsidRPr="00800799" w:rsidRDefault="00054D27">
            <w:pPr>
              <w:widowControl w:val="0"/>
              <w:rPr>
                <w:rFonts w:ascii="Arial" w:eastAsia="Arial" w:hAnsi="Arial" w:cs="Arial"/>
                <w:sz w:val="18"/>
                <w:szCs w:val="18"/>
              </w:rPr>
            </w:pPr>
          </w:p>
        </w:tc>
      </w:tr>
    </w:tbl>
    <w:p w14:paraId="00000094" w14:textId="7BF1BBA3" w:rsidR="00054D27" w:rsidRPr="00800799" w:rsidRDefault="00AF622A">
      <w:pPr>
        <w:pStyle w:val="Nadpis3"/>
        <w:numPr>
          <w:ilvl w:val="1"/>
          <w:numId w:val="18"/>
        </w:numPr>
        <w:rPr>
          <w:color w:val="D04A02"/>
          <w:sz w:val="24"/>
          <w:szCs w:val="24"/>
        </w:rPr>
      </w:pPr>
      <w:bookmarkStart w:id="17" w:name="_4ic4ine740y1"/>
      <w:bookmarkStart w:id="18" w:name="_Toc90364544"/>
      <w:bookmarkStart w:id="19" w:name="_Toc89232789"/>
      <w:bookmarkStart w:id="20" w:name="_Toc89067089"/>
      <w:bookmarkEnd w:id="17"/>
      <w:r w:rsidRPr="00800799">
        <w:rPr>
          <w:color w:val="D04A02"/>
          <w:sz w:val="24"/>
          <w:szCs w:val="24"/>
        </w:rPr>
        <w:t>na straně Zadavatele</w:t>
      </w:r>
      <w:bookmarkEnd w:id="18"/>
      <w:bookmarkEnd w:id="19"/>
      <w:bookmarkEnd w:id="20"/>
    </w:p>
    <w:tbl>
      <w:tblPr>
        <w:tblStyle w:val="af0"/>
        <w:tblW w:w="9359" w:type="dxa"/>
        <w:tblBorders>
          <w:top w:val="nil"/>
          <w:left w:val="nil"/>
          <w:bottom w:val="nil"/>
          <w:right w:val="nil"/>
          <w:insideH w:val="nil"/>
          <w:insideV w:val="nil"/>
        </w:tblBorders>
        <w:tblLayout w:type="fixed"/>
        <w:tblLook w:val="0600" w:firstRow="0" w:lastRow="0" w:firstColumn="0" w:lastColumn="0" w:noHBand="1" w:noVBand="1"/>
      </w:tblPr>
      <w:tblGrid>
        <w:gridCol w:w="1225"/>
        <w:gridCol w:w="1342"/>
        <w:gridCol w:w="1379"/>
        <w:gridCol w:w="1305"/>
        <w:gridCol w:w="1695"/>
        <w:gridCol w:w="1181"/>
        <w:gridCol w:w="1232"/>
      </w:tblGrid>
      <w:tr w:rsidR="00054D27" w:rsidRPr="00800799" w14:paraId="412165F2" w14:textId="77777777">
        <w:trPr>
          <w:trHeight w:val="390"/>
        </w:trPr>
        <w:tc>
          <w:tcPr>
            <w:tcW w:w="1225" w:type="dxa"/>
            <w:tcBorders>
              <w:top w:val="nil"/>
              <w:left w:val="nil"/>
              <w:bottom w:val="single" w:sz="12" w:space="0" w:color="222222"/>
              <w:right w:val="nil"/>
            </w:tcBorders>
            <w:tcMar>
              <w:top w:w="0" w:type="dxa"/>
              <w:left w:w="40" w:type="dxa"/>
              <w:bottom w:w="0" w:type="dxa"/>
              <w:right w:w="40" w:type="dxa"/>
            </w:tcMar>
            <w:vAlign w:val="center"/>
          </w:tcPr>
          <w:p w14:paraId="00000095" w14:textId="77777777" w:rsidR="00054D27" w:rsidRPr="00EA0A6C" w:rsidRDefault="00054D27">
            <w:pPr>
              <w:widowControl w:val="0"/>
              <w:rPr>
                <w:rFonts w:ascii="Arial" w:hAnsi="Arial" w:cs="Arial"/>
                <w:b/>
                <w:sz w:val="24"/>
                <w:szCs w:val="24"/>
              </w:rPr>
            </w:pPr>
          </w:p>
          <w:p w14:paraId="00000096" w14:textId="77777777" w:rsidR="00054D27" w:rsidRPr="00800799" w:rsidRDefault="00AF622A">
            <w:pPr>
              <w:widowControl w:val="0"/>
              <w:rPr>
                <w:rFonts w:ascii="Arial" w:eastAsia="Arial" w:hAnsi="Arial" w:cs="Arial"/>
                <w:sz w:val="18"/>
                <w:szCs w:val="18"/>
              </w:rPr>
            </w:pPr>
            <w:r w:rsidRPr="00800799">
              <w:rPr>
                <w:rFonts w:ascii="Arial" w:eastAsia="Arial" w:hAnsi="Arial" w:cs="Arial"/>
                <w:b/>
                <w:sz w:val="24"/>
                <w:szCs w:val="24"/>
              </w:rPr>
              <w:t>MPO</w:t>
            </w:r>
          </w:p>
        </w:tc>
        <w:tc>
          <w:tcPr>
            <w:tcW w:w="1342" w:type="dxa"/>
            <w:tcBorders>
              <w:top w:val="nil"/>
              <w:left w:val="nil"/>
              <w:bottom w:val="nil"/>
              <w:right w:val="nil"/>
            </w:tcBorders>
            <w:tcMar>
              <w:top w:w="0" w:type="dxa"/>
              <w:left w:w="40" w:type="dxa"/>
              <w:bottom w:w="0" w:type="dxa"/>
              <w:right w:w="40" w:type="dxa"/>
            </w:tcMar>
            <w:vAlign w:val="center"/>
          </w:tcPr>
          <w:p w14:paraId="00000097" w14:textId="77777777" w:rsidR="00054D27" w:rsidRPr="00EA0A6C" w:rsidRDefault="00054D27">
            <w:pPr>
              <w:widowControl w:val="0"/>
              <w:rPr>
                <w:rFonts w:ascii="Arial" w:hAnsi="Arial" w:cs="Arial"/>
                <w:sz w:val="18"/>
                <w:szCs w:val="18"/>
              </w:rPr>
            </w:pPr>
          </w:p>
        </w:tc>
        <w:tc>
          <w:tcPr>
            <w:tcW w:w="1379" w:type="dxa"/>
            <w:tcBorders>
              <w:top w:val="nil"/>
              <w:left w:val="nil"/>
              <w:bottom w:val="nil"/>
              <w:right w:val="nil"/>
            </w:tcBorders>
            <w:tcMar>
              <w:top w:w="0" w:type="dxa"/>
              <w:left w:w="40" w:type="dxa"/>
              <w:bottom w:w="0" w:type="dxa"/>
              <w:right w:w="40" w:type="dxa"/>
            </w:tcMar>
            <w:vAlign w:val="center"/>
          </w:tcPr>
          <w:p w14:paraId="00000098" w14:textId="77777777" w:rsidR="00054D27" w:rsidRPr="00EA0A6C" w:rsidRDefault="00054D27">
            <w:pPr>
              <w:widowControl w:val="0"/>
              <w:rPr>
                <w:rFonts w:ascii="Arial" w:hAnsi="Arial" w:cs="Arial"/>
                <w:sz w:val="18"/>
                <w:szCs w:val="18"/>
              </w:rPr>
            </w:pPr>
          </w:p>
        </w:tc>
        <w:tc>
          <w:tcPr>
            <w:tcW w:w="1305" w:type="dxa"/>
            <w:tcBorders>
              <w:top w:val="nil"/>
              <w:left w:val="nil"/>
              <w:bottom w:val="nil"/>
              <w:right w:val="nil"/>
            </w:tcBorders>
            <w:tcMar>
              <w:top w:w="0" w:type="dxa"/>
              <w:left w:w="40" w:type="dxa"/>
              <w:bottom w:w="0" w:type="dxa"/>
              <w:right w:w="40" w:type="dxa"/>
            </w:tcMar>
            <w:vAlign w:val="center"/>
          </w:tcPr>
          <w:p w14:paraId="00000099" w14:textId="77777777" w:rsidR="00054D27" w:rsidRPr="00EA0A6C" w:rsidRDefault="00054D27">
            <w:pPr>
              <w:widowControl w:val="0"/>
              <w:rPr>
                <w:rFonts w:ascii="Arial" w:hAnsi="Arial" w:cs="Arial"/>
                <w:sz w:val="18"/>
                <w:szCs w:val="18"/>
              </w:rPr>
            </w:pPr>
          </w:p>
        </w:tc>
        <w:tc>
          <w:tcPr>
            <w:tcW w:w="1695" w:type="dxa"/>
            <w:tcBorders>
              <w:top w:val="nil"/>
              <w:left w:val="nil"/>
              <w:bottom w:val="nil"/>
              <w:right w:val="nil"/>
            </w:tcBorders>
            <w:tcMar>
              <w:top w:w="0" w:type="dxa"/>
              <w:left w:w="40" w:type="dxa"/>
              <w:bottom w:w="0" w:type="dxa"/>
              <w:right w:w="40" w:type="dxa"/>
            </w:tcMar>
            <w:vAlign w:val="center"/>
          </w:tcPr>
          <w:p w14:paraId="0000009A" w14:textId="77777777" w:rsidR="00054D27" w:rsidRPr="00EA0A6C" w:rsidRDefault="00054D27">
            <w:pPr>
              <w:widowControl w:val="0"/>
              <w:rPr>
                <w:rFonts w:ascii="Arial" w:hAnsi="Arial" w:cs="Arial"/>
                <w:sz w:val="18"/>
                <w:szCs w:val="18"/>
              </w:rPr>
            </w:pPr>
          </w:p>
        </w:tc>
        <w:tc>
          <w:tcPr>
            <w:tcW w:w="1181" w:type="dxa"/>
            <w:tcBorders>
              <w:top w:val="nil"/>
              <w:left w:val="nil"/>
              <w:bottom w:val="nil"/>
              <w:right w:val="nil"/>
            </w:tcBorders>
            <w:tcMar>
              <w:top w:w="0" w:type="dxa"/>
              <w:left w:w="40" w:type="dxa"/>
              <w:bottom w:w="0" w:type="dxa"/>
              <w:right w:w="40" w:type="dxa"/>
            </w:tcMar>
            <w:vAlign w:val="center"/>
          </w:tcPr>
          <w:p w14:paraId="0000009B" w14:textId="77777777" w:rsidR="00054D27" w:rsidRPr="00EA0A6C" w:rsidRDefault="00054D27">
            <w:pPr>
              <w:widowControl w:val="0"/>
              <w:rPr>
                <w:rFonts w:ascii="Arial" w:hAnsi="Arial" w:cs="Arial"/>
                <w:sz w:val="18"/>
                <w:szCs w:val="18"/>
              </w:rPr>
            </w:pPr>
          </w:p>
        </w:tc>
        <w:tc>
          <w:tcPr>
            <w:tcW w:w="1232" w:type="dxa"/>
            <w:tcBorders>
              <w:top w:val="nil"/>
              <w:left w:val="nil"/>
              <w:bottom w:val="nil"/>
              <w:right w:val="nil"/>
            </w:tcBorders>
            <w:tcMar>
              <w:top w:w="0" w:type="dxa"/>
              <w:left w:w="40" w:type="dxa"/>
              <w:bottom w:w="0" w:type="dxa"/>
              <w:right w:w="40" w:type="dxa"/>
            </w:tcMar>
            <w:vAlign w:val="center"/>
          </w:tcPr>
          <w:p w14:paraId="0000009C" w14:textId="77777777" w:rsidR="00054D27" w:rsidRPr="00EA0A6C" w:rsidRDefault="00054D27">
            <w:pPr>
              <w:widowControl w:val="0"/>
              <w:rPr>
                <w:rFonts w:ascii="Arial" w:hAnsi="Arial" w:cs="Arial"/>
                <w:sz w:val="18"/>
                <w:szCs w:val="18"/>
              </w:rPr>
            </w:pPr>
          </w:p>
        </w:tc>
      </w:tr>
      <w:tr w:rsidR="00054D27" w:rsidRPr="00800799" w14:paraId="3950DC51" w14:textId="77777777">
        <w:trPr>
          <w:trHeight w:val="300"/>
        </w:trPr>
        <w:tc>
          <w:tcPr>
            <w:tcW w:w="1225" w:type="dxa"/>
            <w:tcBorders>
              <w:top w:val="single" w:sz="12" w:space="0" w:color="222222"/>
              <w:left w:val="nil"/>
              <w:bottom w:val="single" w:sz="6" w:space="0" w:color="000000"/>
              <w:right w:val="nil"/>
            </w:tcBorders>
            <w:tcMar>
              <w:top w:w="0" w:type="dxa"/>
              <w:left w:w="40" w:type="dxa"/>
              <w:bottom w:w="0" w:type="dxa"/>
              <w:right w:w="40" w:type="dxa"/>
            </w:tcMar>
            <w:vAlign w:val="bottom"/>
          </w:tcPr>
          <w:p w14:paraId="0000009D" w14:textId="77777777" w:rsidR="00054D27" w:rsidRPr="00EA0A6C" w:rsidRDefault="00054D27">
            <w:pPr>
              <w:widowControl w:val="0"/>
              <w:rPr>
                <w:rFonts w:ascii="Arial" w:hAnsi="Arial" w:cs="Arial"/>
                <w:sz w:val="18"/>
                <w:szCs w:val="18"/>
              </w:rPr>
            </w:pPr>
          </w:p>
        </w:tc>
        <w:tc>
          <w:tcPr>
            <w:tcW w:w="1342" w:type="dxa"/>
            <w:tcBorders>
              <w:top w:val="nil"/>
              <w:left w:val="nil"/>
              <w:bottom w:val="single" w:sz="6" w:space="0" w:color="000000"/>
              <w:right w:val="nil"/>
            </w:tcBorders>
            <w:tcMar>
              <w:top w:w="0" w:type="dxa"/>
              <w:left w:w="40" w:type="dxa"/>
              <w:bottom w:w="0" w:type="dxa"/>
              <w:right w:w="40" w:type="dxa"/>
            </w:tcMar>
            <w:vAlign w:val="center"/>
          </w:tcPr>
          <w:p w14:paraId="0000009E" w14:textId="77777777" w:rsidR="00054D27" w:rsidRPr="00EA0A6C" w:rsidRDefault="00054D27">
            <w:pPr>
              <w:widowControl w:val="0"/>
              <w:rPr>
                <w:rFonts w:ascii="Arial" w:hAnsi="Arial" w:cs="Arial"/>
                <w:sz w:val="18"/>
                <w:szCs w:val="18"/>
              </w:rPr>
            </w:pPr>
          </w:p>
        </w:tc>
        <w:tc>
          <w:tcPr>
            <w:tcW w:w="1379" w:type="dxa"/>
            <w:tcBorders>
              <w:top w:val="nil"/>
              <w:left w:val="nil"/>
              <w:bottom w:val="single" w:sz="6" w:space="0" w:color="000000"/>
              <w:right w:val="nil"/>
            </w:tcBorders>
            <w:tcMar>
              <w:top w:w="0" w:type="dxa"/>
              <w:left w:w="40" w:type="dxa"/>
              <w:bottom w:w="0" w:type="dxa"/>
              <w:right w:w="40" w:type="dxa"/>
            </w:tcMar>
            <w:vAlign w:val="center"/>
          </w:tcPr>
          <w:p w14:paraId="0000009F" w14:textId="77777777" w:rsidR="00054D27" w:rsidRPr="00EA0A6C" w:rsidRDefault="00054D27">
            <w:pPr>
              <w:widowControl w:val="0"/>
              <w:rPr>
                <w:rFonts w:ascii="Arial" w:hAnsi="Arial" w:cs="Arial"/>
                <w:sz w:val="18"/>
                <w:szCs w:val="18"/>
              </w:rPr>
            </w:pPr>
          </w:p>
        </w:tc>
        <w:tc>
          <w:tcPr>
            <w:tcW w:w="1305" w:type="dxa"/>
            <w:tcBorders>
              <w:top w:val="nil"/>
              <w:left w:val="nil"/>
              <w:bottom w:val="single" w:sz="6" w:space="0" w:color="000000"/>
              <w:right w:val="nil"/>
            </w:tcBorders>
            <w:tcMar>
              <w:top w:w="0" w:type="dxa"/>
              <w:left w:w="40" w:type="dxa"/>
              <w:bottom w:w="0" w:type="dxa"/>
              <w:right w:w="40" w:type="dxa"/>
            </w:tcMar>
            <w:vAlign w:val="center"/>
          </w:tcPr>
          <w:p w14:paraId="000000A0" w14:textId="77777777" w:rsidR="00054D27" w:rsidRPr="00EA0A6C" w:rsidRDefault="00054D27">
            <w:pPr>
              <w:widowControl w:val="0"/>
              <w:rPr>
                <w:rFonts w:ascii="Arial" w:hAnsi="Arial" w:cs="Arial"/>
                <w:sz w:val="18"/>
                <w:szCs w:val="18"/>
              </w:rPr>
            </w:pPr>
          </w:p>
        </w:tc>
        <w:tc>
          <w:tcPr>
            <w:tcW w:w="1695" w:type="dxa"/>
            <w:tcBorders>
              <w:top w:val="nil"/>
              <w:left w:val="nil"/>
              <w:bottom w:val="single" w:sz="6" w:space="0" w:color="000000"/>
              <w:right w:val="nil"/>
            </w:tcBorders>
            <w:tcMar>
              <w:top w:w="0" w:type="dxa"/>
              <w:left w:w="40" w:type="dxa"/>
              <w:bottom w:w="0" w:type="dxa"/>
              <w:right w:w="40" w:type="dxa"/>
            </w:tcMar>
            <w:vAlign w:val="center"/>
          </w:tcPr>
          <w:p w14:paraId="000000A1" w14:textId="77777777" w:rsidR="00054D27" w:rsidRPr="00EA0A6C" w:rsidRDefault="00054D27">
            <w:pPr>
              <w:widowControl w:val="0"/>
              <w:rPr>
                <w:rFonts w:ascii="Arial" w:hAnsi="Arial" w:cs="Arial"/>
                <w:sz w:val="18"/>
                <w:szCs w:val="18"/>
              </w:rPr>
            </w:pPr>
          </w:p>
        </w:tc>
        <w:tc>
          <w:tcPr>
            <w:tcW w:w="1181" w:type="dxa"/>
            <w:tcBorders>
              <w:top w:val="nil"/>
              <w:left w:val="nil"/>
              <w:bottom w:val="single" w:sz="6" w:space="0" w:color="000000"/>
              <w:right w:val="nil"/>
            </w:tcBorders>
            <w:tcMar>
              <w:top w:w="0" w:type="dxa"/>
              <w:left w:w="40" w:type="dxa"/>
              <w:bottom w:w="0" w:type="dxa"/>
              <w:right w:w="40" w:type="dxa"/>
            </w:tcMar>
            <w:vAlign w:val="center"/>
          </w:tcPr>
          <w:p w14:paraId="000000A2" w14:textId="77777777" w:rsidR="00054D27" w:rsidRPr="00EA0A6C" w:rsidRDefault="00054D27">
            <w:pPr>
              <w:widowControl w:val="0"/>
              <w:rPr>
                <w:rFonts w:ascii="Arial" w:hAnsi="Arial" w:cs="Arial"/>
                <w:sz w:val="18"/>
                <w:szCs w:val="18"/>
              </w:rPr>
            </w:pPr>
          </w:p>
        </w:tc>
        <w:tc>
          <w:tcPr>
            <w:tcW w:w="1232" w:type="dxa"/>
            <w:tcBorders>
              <w:top w:val="nil"/>
              <w:left w:val="nil"/>
              <w:bottom w:val="single" w:sz="6" w:space="0" w:color="000000"/>
              <w:right w:val="nil"/>
            </w:tcBorders>
            <w:tcMar>
              <w:top w:w="0" w:type="dxa"/>
              <w:left w:w="40" w:type="dxa"/>
              <w:bottom w:w="0" w:type="dxa"/>
              <w:right w:w="40" w:type="dxa"/>
            </w:tcMar>
            <w:vAlign w:val="center"/>
          </w:tcPr>
          <w:p w14:paraId="000000A3" w14:textId="77777777" w:rsidR="00054D27" w:rsidRPr="00EA0A6C" w:rsidRDefault="00054D27">
            <w:pPr>
              <w:widowControl w:val="0"/>
              <w:rPr>
                <w:rFonts w:ascii="Arial" w:hAnsi="Arial" w:cs="Arial"/>
                <w:sz w:val="18"/>
                <w:szCs w:val="18"/>
              </w:rPr>
            </w:pPr>
          </w:p>
        </w:tc>
      </w:tr>
      <w:tr w:rsidR="00054D27" w:rsidRPr="00800799" w14:paraId="6E20DC60" w14:textId="77777777">
        <w:trPr>
          <w:trHeight w:val="300"/>
        </w:trPr>
        <w:tc>
          <w:tcPr>
            <w:tcW w:w="1225" w:type="dxa"/>
            <w:tcBorders>
              <w:top w:val="nil"/>
              <w:left w:val="single" w:sz="6" w:space="0" w:color="000000"/>
              <w:bottom w:val="single" w:sz="6" w:space="0" w:color="000000"/>
              <w:right w:val="single" w:sz="6" w:space="0" w:color="000000"/>
            </w:tcBorders>
            <w:shd w:val="clear" w:color="auto" w:fill="602320"/>
            <w:tcMar>
              <w:top w:w="0" w:type="dxa"/>
              <w:left w:w="40" w:type="dxa"/>
              <w:bottom w:w="0" w:type="dxa"/>
              <w:right w:w="40" w:type="dxa"/>
            </w:tcMar>
            <w:vAlign w:val="center"/>
          </w:tcPr>
          <w:p w14:paraId="000000A4" w14:textId="77777777" w:rsidR="00054D27" w:rsidRPr="00800799" w:rsidRDefault="00AF622A">
            <w:pPr>
              <w:widowControl w:val="0"/>
              <w:rPr>
                <w:rFonts w:ascii="Arial" w:eastAsia="Arial" w:hAnsi="Arial" w:cs="Arial"/>
                <w:sz w:val="18"/>
                <w:szCs w:val="18"/>
              </w:rPr>
            </w:pPr>
            <w:r w:rsidRPr="00800799">
              <w:rPr>
                <w:b/>
                <w:color w:val="FFFFFF"/>
                <w:sz w:val="18"/>
                <w:szCs w:val="18"/>
              </w:rPr>
              <w:lastRenderedPageBreak/>
              <w:t>Jméno</w:t>
            </w:r>
          </w:p>
        </w:tc>
        <w:tc>
          <w:tcPr>
            <w:tcW w:w="1342" w:type="dxa"/>
            <w:tcBorders>
              <w:top w:val="nil"/>
              <w:left w:val="nil"/>
              <w:bottom w:val="single" w:sz="6" w:space="0" w:color="000000"/>
              <w:right w:val="single" w:sz="6" w:space="0" w:color="000000"/>
            </w:tcBorders>
            <w:shd w:val="clear" w:color="auto" w:fill="602320"/>
            <w:tcMar>
              <w:top w:w="0" w:type="dxa"/>
              <w:left w:w="40" w:type="dxa"/>
              <w:bottom w:w="0" w:type="dxa"/>
              <w:right w:w="40" w:type="dxa"/>
            </w:tcMar>
            <w:vAlign w:val="center"/>
          </w:tcPr>
          <w:p w14:paraId="000000A5" w14:textId="77777777" w:rsidR="00054D27" w:rsidRPr="00800799" w:rsidRDefault="00AF622A">
            <w:pPr>
              <w:widowControl w:val="0"/>
              <w:rPr>
                <w:rFonts w:ascii="Arial" w:eastAsia="Arial" w:hAnsi="Arial" w:cs="Arial"/>
                <w:sz w:val="18"/>
                <w:szCs w:val="18"/>
              </w:rPr>
            </w:pPr>
            <w:r w:rsidRPr="00800799">
              <w:rPr>
                <w:b/>
                <w:color w:val="FFFFFF"/>
                <w:sz w:val="18"/>
                <w:szCs w:val="18"/>
              </w:rPr>
              <w:t>Pozice v MPO</w:t>
            </w:r>
          </w:p>
        </w:tc>
        <w:tc>
          <w:tcPr>
            <w:tcW w:w="1379" w:type="dxa"/>
            <w:tcBorders>
              <w:top w:val="nil"/>
              <w:left w:val="nil"/>
              <w:bottom w:val="single" w:sz="6" w:space="0" w:color="000000"/>
              <w:right w:val="single" w:sz="6" w:space="0" w:color="000000"/>
            </w:tcBorders>
            <w:shd w:val="clear" w:color="auto" w:fill="602320"/>
            <w:tcMar>
              <w:top w:w="0" w:type="dxa"/>
              <w:left w:w="40" w:type="dxa"/>
              <w:bottom w:w="0" w:type="dxa"/>
              <w:right w:w="40" w:type="dxa"/>
            </w:tcMar>
            <w:vAlign w:val="center"/>
          </w:tcPr>
          <w:p w14:paraId="000000A6" w14:textId="77777777" w:rsidR="00054D27" w:rsidRPr="00800799" w:rsidRDefault="00054D27">
            <w:pPr>
              <w:widowControl w:val="0"/>
              <w:rPr>
                <w:rFonts w:ascii="Arial" w:eastAsia="Arial" w:hAnsi="Arial" w:cs="Arial"/>
                <w:sz w:val="18"/>
                <w:szCs w:val="18"/>
              </w:rPr>
            </w:pPr>
          </w:p>
        </w:tc>
        <w:tc>
          <w:tcPr>
            <w:tcW w:w="1305" w:type="dxa"/>
            <w:tcBorders>
              <w:top w:val="nil"/>
              <w:left w:val="nil"/>
              <w:bottom w:val="single" w:sz="6" w:space="0" w:color="000000"/>
              <w:right w:val="single" w:sz="6" w:space="0" w:color="000000"/>
            </w:tcBorders>
            <w:shd w:val="clear" w:color="auto" w:fill="602320"/>
            <w:tcMar>
              <w:top w:w="0" w:type="dxa"/>
              <w:left w:w="40" w:type="dxa"/>
              <w:bottom w:w="0" w:type="dxa"/>
              <w:right w:w="40" w:type="dxa"/>
            </w:tcMar>
            <w:vAlign w:val="center"/>
          </w:tcPr>
          <w:p w14:paraId="000000A7" w14:textId="77777777" w:rsidR="00054D27" w:rsidRPr="00800799" w:rsidRDefault="00AF622A">
            <w:pPr>
              <w:widowControl w:val="0"/>
              <w:rPr>
                <w:rFonts w:ascii="Arial" w:eastAsia="Arial" w:hAnsi="Arial" w:cs="Arial"/>
                <w:sz w:val="18"/>
                <w:szCs w:val="18"/>
              </w:rPr>
            </w:pPr>
            <w:r w:rsidRPr="00800799">
              <w:rPr>
                <w:b/>
                <w:color w:val="FFFFFF"/>
                <w:sz w:val="18"/>
                <w:szCs w:val="18"/>
              </w:rPr>
              <w:t>Telefonní kontakt</w:t>
            </w:r>
          </w:p>
        </w:tc>
        <w:tc>
          <w:tcPr>
            <w:tcW w:w="1695" w:type="dxa"/>
            <w:tcBorders>
              <w:top w:val="nil"/>
              <w:left w:val="nil"/>
              <w:bottom w:val="single" w:sz="6" w:space="0" w:color="000000"/>
              <w:right w:val="single" w:sz="6" w:space="0" w:color="000000"/>
            </w:tcBorders>
            <w:shd w:val="clear" w:color="auto" w:fill="602320"/>
            <w:tcMar>
              <w:top w:w="0" w:type="dxa"/>
              <w:left w:w="40" w:type="dxa"/>
              <w:bottom w:w="0" w:type="dxa"/>
              <w:right w:w="40" w:type="dxa"/>
            </w:tcMar>
            <w:vAlign w:val="center"/>
          </w:tcPr>
          <w:p w14:paraId="000000A8" w14:textId="77777777" w:rsidR="00054D27" w:rsidRPr="00800799" w:rsidRDefault="00AF622A">
            <w:pPr>
              <w:widowControl w:val="0"/>
              <w:rPr>
                <w:rFonts w:ascii="Arial" w:eastAsia="Arial" w:hAnsi="Arial" w:cs="Arial"/>
                <w:sz w:val="18"/>
                <w:szCs w:val="18"/>
              </w:rPr>
            </w:pPr>
            <w:r w:rsidRPr="00800799">
              <w:rPr>
                <w:b/>
                <w:color w:val="FFFFFF"/>
                <w:sz w:val="18"/>
                <w:szCs w:val="18"/>
              </w:rPr>
              <w:t>E-mail</w:t>
            </w:r>
          </w:p>
        </w:tc>
        <w:tc>
          <w:tcPr>
            <w:tcW w:w="1181" w:type="dxa"/>
            <w:tcBorders>
              <w:top w:val="nil"/>
              <w:left w:val="nil"/>
              <w:bottom w:val="single" w:sz="6" w:space="0" w:color="000000"/>
              <w:right w:val="single" w:sz="6" w:space="0" w:color="000000"/>
            </w:tcBorders>
            <w:shd w:val="clear" w:color="auto" w:fill="C55853"/>
            <w:tcMar>
              <w:top w:w="0" w:type="dxa"/>
              <w:left w:w="40" w:type="dxa"/>
              <w:bottom w:w="0" w:type="dxa"/>
              <w:right w:w="40" w:type="dxa"/>
            </w:tcMar>
            <w:vAlign w:val="center"/>
          </w:tcPr>
          <w:p w14:paraId="000000A9" w14:textId="77777777" w:rsidR="00054D27" w:rsidRPr="00800799" w:rsidRDefault="00AF622A">
            <w:pPr>
              <w:widowControl w:val="0"/>
              <w:rPr>
                <w:rFonts w:ascii="Arial" w:eastAsia="Arial" w:hAnsi="Arial" w:cs="Arial"/>
                <w:sz w:val="18"/>
                <w:szCs w:val="18"/>
              </w:rPr>
            </w:pPr>
            <w:r w:rsidRPr="00800799">
              <w:rPr>
                <w:b/>
                <w:color w:val="FFFFFF"/>
                <w:sz w:val="18"/>
                <w:szCs w:val="18"/>
              </w:rPr>
              <w:t>Projektový team</w:t>
            </w:r>
          </w:p>
        </w:tc>
        <w:tc>
          <w:tcPr>
            <w:tcW w:w="1232" w:type="dxa"/>
            <w:tcBorders>
              <w:top w:val="nil"/>
              <w:left w:val="nil"/>
              <w:bottom w:val="single" w:sz="6" w:space="0" w:color="000000"/>
              <w:right w:val="single" w:sz="6" w:space="0" w:color="000000"/>
            </w:tcBorders>
            <w:shd w:val="clear" w:color="auto" w:fill="C55853"/>
            <w:tcMar>
              <w:top w:w="0" w:type="dxa"/>
              <w:left w:w="40" w:type="dxa"/>
              <w:bottom w:w="0" w:type="dxa"/>
              <w:right w:w="40" w:type="dxa"/>
            </w:tcMar>
            <w:vAlign w:val="center"/>
          </w:tcPr>
          <w:p w14:paraId="000000AA" w14:textId="77777777" w:rsidR="00054D27" w:rsidRPr="00800799" w:rsidRDefault="00AF622A">
            <w:pPr>
              <w:widowControl w:val="0"/>
              <w:rPr>
                <w:rFonts w:ascii="Arial" w:eastAsia="Arial" w:hAnsi="Arial" w:cs="Arial"/>
                <w:sz w:val="18"/>
                <w:szCs w:val="18"/>
              </w:rPr>
            </w:pPr>
            <w:r w:rsidRPr="00800799">
              <w:rPr>
                <w:b/>
                <w:color w:val="FFFFFF"/>
                <w:sz w:val="18"/>
                <w:szCs w:val="18"/>
              </w:rPr>
              <w:t>Řídící výbor</w:t>
            </w:r>
          </w:p>
        </w:tc>
      </w:tr>
      <w:tr w:rsidR="00054D27" w:rsidRPr="00800799" w14:paraId="7DB33D9E" w14:textId="77777777">
        <w:trPr>
          <w:trHeight w:val="495"/>
        </w:trPr>
        <w:tc>
          <w:tcPr>
            <w:tcW w:w="1225"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AB" w14:textId="77777777" w:rsidR="00054D27" w:rsidRPr="00800799" w:rsidRDefault="00AF622A">
            <w:pPr>
              <w:widowControl w:val="0"/>
              <w:rPr>
                <w:rFonts w:ascii="Arial" w:eastAsia="Arial" w:hAnsi="Arial" w:cs="Arial"/>
                <w:sz w:val="18"/>
                <w:szCs w:val="18"/>
              </w:rPr>
            </w:pPr>
            <w:r w:rsidRPr="00800799">
              <w:rPr>
                <w:b/>
                <w:sz w:val="18"/>
                <w:szCs w:val="18"/>
              </w:rPr>
              <w:t>Ing. Mgr. Pavel Laube</w:t>
            </w:r>
          </w:p>
        </w:tc>
        <w:tc>
          <w:tcPr>
            <w:tcW w:w="1342"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000000AC" w14:textId="77777777" w:rsidR="00054D27" w:rsidRPr="00800799" w:rsidRDefault="00AF622A">
            <w:pPr>
              <w:widowControl w:val="0"/>
              <w:rPr>
                <w:rFonts w:ascii="Arial" w:eastAsia="Arial" w:hAnsi="Arial" w:cs="Arial"/>
                <w:sz w:val="18"/>
                <w:szCs w:val="18"/>
              </w:rPr>
            </w:pPr>
            <w:r w:rsidRPr="00800799">
              <w:rPr>
                <w:sz w:val="18"/>
                <w:szCs w:val="18"/>
              </w:rPr>
              <w:t>Vedoucí oddělení metodiky finančních nástrojů</w:t>
            </w:r>
          </w:p>
        </w:tc>
        <w:tc>
          <w:tcPr>
            <w:tcW w:w="1379"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000000AD" w14:textId="77777777" w:rsidR="00054D27" w:rsidRPr="00800799" w:rsidRDefault="00054D27">
            <w:pPr>
              <w:widowControl w:val="0"/>
              <w:rPr>
                <w:rFonts w:ascii="Arial" w:eastAsia="Arial" w:hAnsi="Arial" w:cs="Arial"/>
                <w:sz w:val="18"/>
                <w:szCs w:val="18"/>
              </w:rPr>
            </w:pPr>
          </w:p>
        </w:tc>
        <w:tc>
          <w:tcPr>
            <w:tcW w:w="130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AE" w14:textId="77777777" w:rsidR="00054D27" w:rsidRPr="00800799" w:rsidRDefault="00AF622A">
            <w:pPr>
              <w:widowControl w:val="0"/>
              <w:rPr>
                <w:rFonts w:ascii="Arial" w:eastAsia="Arial" w:hAnsi="Arial" w:cs="Arial"/>
                <w:sz w:val="18"/>
                <w:szCs w:val="18"/>
              </w:rPr>
            </w:pPr>
            <w:r w:rsidRPr="00800799">
              <w:rPr>
                <w:sz w:val="18"/>
                <w:szCs w:val="18"/>
              </w:rPr>
              <w:t>224 853 414</w:t>
            </w:r>
          </w:p>
        </w:tc>
        <w:tc>
          <w:tcPr>
            <w:tcW w:w="169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000000AF" w14:textId="77777777" w:rsidR="00054D27" w:rsidRPr="00800799" w:rsidRDefault="00AF622A">
            <w:pPr>
              <w:widowControl w:val="0"/>
              <w:rPr>
                <w:rFonts w:ascii="Arial" w:eastAsia="Arial" w:hAnsi="Arial" w:cs="Arial"/>
                <w:sz w:val="18"/>
                <w:szCs w:val="18"/>
              </w:rPr>
            </w:pPr>
            <w:r w:rsidRPr="00800799">
              <w:rPr>
                <w:color w:val="A32020"/>
                <w:sz w:val="18"/>
                <w:szCs w:val="18"/>
                <w:u w:val="single"/>
              </w:rPr>
              <w:t>laubep@mpo.cz</w:t>
            </w:r>
          </w:p>
        </w:tc>
        <w:tc>
          <w:tcPr>
            <w:tcW w:w="118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B0" w14:textId="77777777" w:rsidR="00054D27" w:rsidRPr="00800799" w:rsidRDefault="00AF622A">
            <w:pPr>
              <w:widowControl w:val="0"/>
              <w:rPr>
                <w:rFonts w:ascii="Arial" w:eastAsia="Arial" w:hAnsi="Arial" w:cs="Arial"/>
                <w:sz w:val="18"/>
                <w:szCs w:val="18"/>
              </w:rPr>
            </w:pPr>
            <w:r w:rsidRPr="00800799">
              <w:rPr>
                <w:b/>
                <w:sz w:val="18"/>
                <w:szCs w:val="18"/>
              </w:rPr>
              <w:t>Projektový manažer zadavatele</w:t>
            </w:r>
          </w:p>
        </w:tc>
        <w:tc>
          <w:tcPr>
            <w:tcW w:w="123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B1" w14:textId="77777777" w:rsidR="00054D27" w:rsidRPr="00800799" w:rsidRDefault="00AF622A">
            <w:pPr>
              <w:widowControl w:val="0"/>
              <w:rPr>
                <w:rFonts w:ascii="Arial" w:eastAsia="Arial" w:hAnsi="Arial" w:cs="Arial"/>
                <w:sz w:val="18"/>
                <w:szCs w:val="18"/>
              </w:rPr>
            </w:pPr>
            <w:r w:rsidRPr="00800799">
              <w:rPr>
                <w:b/>
                <w:sz w:val="18"/>
                <w:szCs w:val="18"/>
              </w:rPr>
              <w:t>Projektový manažer zadavatele</w:t>
            </w:r>
          </w:p>
        </w:tc>
      </w:tr>
      <w:tr w:rsidR="00054D27" w:rsidRPr="00800799" w14:paraId="604FC238" w14:textId="77777777">
        <w:trPr>
          <w:trHeight w:val="300"/>
        </w:trPr>
        <w:tc>
          <w:tcPr>
            <w:tcW w:w="1225"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B2" w14:textId="77777777" w:rsidR="00054D27" w:rsidRPr="00800799" w:rsidRDefault="00AF622A">
            <w:pPr>
              <w:widowControl w:val="0"/>
              <w:rPr>
                <w:rFonts w:ascii="Arial" w:eastAsia="Arial" w:hAnsi="Arial" w:cs="Arial"/>
                <w:sz w:val="18"/>
                <w:szCs w:val="18"/>
              </w:rPr>
            </w:pPr>
            <w:r w:rsidRPr="00800799">
              <w:rPr>
                <w:b/>
                <w:sz w:val="18"/>
                <w:szCs w:val="18"/>
              </w:rPr>
              <w:t>Ing. Lenka Kopečková</w:t>
            </w:r>
          </w:p>
        </w:tc>
        <w:tc>
          <w:tcPr>
            <w:tcW w:w="1342"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000000B3" w14:textId="77777777" w:rsidR="00054D27" w:rsidRPr="00800799" w:rsidRDefault="00AF622A">
            <w:pPr>
              <w:widowControl w:val="0"/>
              <w:rPr>
                <w:rFonts w:ascii="Arial" w:eastAsia="Arial" w:hAnsi="Arial" w:cs="Arial"/>
                <w:sz w:val="18"/>
                <w:szCs w:val="18"/>
              </w:rPr>
            </w:pPr>
            <w:r w:rsidRPr="00800799">
              <w:rPr>
                <w:sz w:val="18"/>
                <w:szCs w:val="18"/>
              </w:rPr>
              <w:t>Referent</w:t>
            </w:r>
          </w:p>
        </w:tc>
        <w:tc>
          <w:tcPr>
            <w:tcW w:w="1379"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000000B4" w14:textId="77777777" w:rsidR="00054D27" w:rsidRPr="00800799" w:rsidRDefault="00054D27">
            <w:pPr>
              <w:widowControl w:val="0"/>
              <w:rPr>
                <w:rFonts w:ascii="Arial" w:eastAsia="Arial" w:hAnsi="Arial" w:cs="Arial"/>
                <w:sz w:val="18"/>
                <w:szCs w:val="18"/>
              </w:rPr>
            </w:pPr>
          </w:p>
        </w:tc>
        <w:tc>
          <w:tcPr>
            <w:tcW w:w="130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B5" w14:textId="77777777" w:rsidR="00054D27" w:rsidRPr="00800799" w:rsidRDefault="00AF622A">
            <w:pPr>
              <w:widowControl w:val="0"/>
              <w:rPr>
                <w:rFonts w:ascii="Arial" w:eastAsia="Arial" w:hAnsi="Arial" w:cs="Arial"/>
                <w:sz w:val="18"/>
                <w:szCs w:val="18"/>
              </w:rPr>
            </w:pPr>
            <w:r w:rsidRPr="00800799">
              <w:rPr>
                <w:sz w:val="18"/>
                <w:szCs w:val="18"/>
              </w:rPr>
              <w:t>224 852113</w:t>
            </w:r>
          </w:p>
        </w:tc>
        <w:tc>
          <w:tcPr>
            <w:tcW w:w="169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000000B6" w14:textId="77777777" w:rsidR="00054D27" w:rsidRPr="00800799" w:rsidRDefault="00AF622A">
            <w:pPr>
              <w:widowControl w:val="0"/>
              <w:rPr>
                <w:rFonts w:ascii="Arial" w:eastAsia="Arial" w:hAnsi="Arial" w:cs="Arial"/>
                <w:sz w:val="18"/>
                <w:szCs w:val="18"/>
              </w:rPr>
            </w:pPr>
            <w:r w:rsidRPr="00800799">
              <w:rPr>
                <w:color w:val="A32020"/>
                <w:sz w:val="18"/>
                <w:szCs w:val="18"/>
                <w:u w:val="single"/>
              </w:rPr>
              <w:t>kopeckova@mpo.cz</w:t>
            </w:r>
          </w:p>
        </w:tc>
        <w:tc>
          <w:tcPr>
            <w:tcW w:w="1181" w:type="dxa"/>
            <w:tcBorders>
              <w:top w:val="nil"/>
              <w:left w:val="nil"/>
              <w:bottom w:val="single" w:sz="6" w:space="0" w:color="000000"/>
              <w:right w:val="single" w:sz="6" w:space="0" w:color="000000"/>
            </w:tcBorders>
            <w:tcMar>
              <w:top w:w="0" w:type="dxa"/>
              <w:left w:w="0" w:type="dxa"/>
              <w:bottom w:w="0" w:type="dxa"/>
              <w:right w:w="0" w:type="dxa"/>
            </w:tcMar>
            <w:vAlign w:val="bottom"/>
          </w:tcPr>
          <w:p w14:paraId="000000B7" w14:textId="77777777" w:rsidR="00054D27" w:rsidRPr="00800799" w:rsidRDefault="00AF622A">
            <w:pPr>
              <w:widowControl w:val="0"/>
              <w:rPr>
                <w:rFonts w:ascii="Arial" w:eastAsia="Arial" w:hAnsi="Arial" w:cs="Arial"/>
                <w:b/>
                <w:sz w:val="18"/>
                <w:szCs w:val="18"/>
              </w:rPr>
            </w:pPr>
            <w:r w:rsidRPr="00800799">
              <w:rPr>
                <w:b/>
                <w:sz w:val="18"/>
                <w:szCs w:val="18"/>
              </w:rPr>
              <w:t>Projektový koordinátor zadavatele</w:t>
            </w:r>
          </w:p>
        </w:tc>
        <w:tc>
          <w:tcPr>
            <w:tcW w:w="123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B8" w14:textId="77777777" w:rsidR="00054D27" w:rsidRPr="00800799" w:rsidRDefault="00054D27">
            <w:pPr>
              <w:widowControl w:val="0"/>
              <w:rPr>
                <w:rFonts w:ascii="Arial" w:eastAsia="Arial" w:hAnsi="Arial" w:cs="Arial"/>
                <w:sz w:val="18"/>
                <w:szCs w:val="18"/>
              </w:rPr>
            </w:pPr>
          </w:p>
        </w:tc>
      </w:tr>
      <w:tr w:rsidR="00054D27" w:rsidRPr="00800799" w14:paraId="6EDAC6DE" w14:textId="77777777">
        <w:trPr>
          <w:trHeight w:val="300"/>
        </w:trPr>
        <w:tc>
          <w:tcPr>
            <w:tcW w:w="1225"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B9" w14:textId="77777777" w:rsidR="00054D27" w:rsidRPr="00800799" w:rsidRDefault="00AF622A">
            <w:pPr>
              <w:widowControl w:val="0"/>
              <w:rPr>
                <w:rFonts w:ascii="Arial" w:eastAsia="Arial" w:hAnsi="Arial" w:cs="Arial"/>
                <w:sz w:val="18"/>
                <w:szCs w:val="18"/>
              </w:rPr>
            </w:pPr>
            <w:r w:rsidRPr="00800799">
              <w:rPr>
                <w:b/>
                <w:sz w:val="18"/>
                <w:szCs w:val="18"/>
              </w:rPr>
              <w:t>Ing. Mgr. Pavel Laube</w:t>
            </w:r>
          </w:p>
        </w:tc>
        <w:tc>
          <w:tcPr>
            <w:tcW w:w="1342"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000000BA" w14:textId="77777777" w:rsidR="00054D27" w:rsidRPr="00800799" w:rsidRDefault="00AF622A">
            <w:pPr>
              <w:widowControl w:val="0"/>
              <w:rPr>
                <w:rFonts w:ascii="Arial" w:eastAsia="Arial" w:hAnsi="Arial" w:cs="Arial"/>
                <w:sz w:val="18"/>
                <w:szCs w:val="18"/>
              </w:rPr>
            </w:pPr>
            <w:r w:rsidRPr="00800799">
              <w:rPr>
                <w:sz w:val="18"/>
                <w:szCs w:val="18"/>
              </w:rPr>
              <w:t>Vedoucí oddělení metodiky finančních nástrojů</w:t>
            </w:r>
          </w:p>
        </w:tc>
        <w:tc>
          <w:tcPr>
            <w:tcW w:w="1379"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000000BB" w14:textId="77777777" w:rsidR="00054D27" w:rsidRPr="00800799" w:rsidRDefault="00054D27">
            <w:pPr>
              <w:widowControl w:val="0"/>
              <w:rPr>
                <w:rFonts w:ascii="Arial" w:eastAsia="Arial" w:hAnsi="Arial" w:cs="Arial"/>
                <w:sz w:val="18"/>
                <w:szCs w:val="18"/>
              </w:rPr>
            </w:pPr>
          </w:p>
        </w:tc>
        <w:tc>
          <w:tcPr>
            <w:tcW w:w="130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BC" w14:textId="77777777" w:rsidR="00054D27" w:rsidRPr="00800799" w:rsidRDefault="00AF622A">
            <w:pPr>
              <w:widowControl w:val="0"/>
              <w:rPr>
                <w:rFonts w:ascii="Arial" w:eastAsia="Arial" w:hAnsi="Arial" w:cs="Arial"/>
                <w:sz w:val="18"/>
                <w:szCs w:val="18"/>
              </w:rPr>
            </w:pPr>
            <w:r w:rsidRPr="00800799">
              <w:rPr>
                <w:sz w:val="18"/>
                <w:szCs w:val="18"/>
              </w:rPr>
              <w:t>224 853 414</w:t>
            </w:r>
          </w:p>
        </w:tc>
        <w:tc>
          <w:tcPr>
            <w:tcW w:w="169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000000BD" w14:textId="77777777" w:rsidR="00054D27" w:rsidRPr="00800799" w:rsidRDefault="00AF622A">
            <w:pPr>
              <w:widowControl w:val="0"/>
              <w:rPr>
                <w:rFonts w:ascii="Arial" w:eastAsia="Arial" w:hAnsi="Arial" w:cs="Arial"/>
                <w:sz w:val="18"/>
                <w:szCs w:val="18"/>
              </w:rPr>
            </w:pPr>
            <w:r w:rsidRPr="00800799">
              <w:rPr>
                <w:color w:val="A32020"/>
                <w:sz w:val="18"/>
                <w:szCs w:val="18"/>
                <w:u w:val="single"/>
              </w:rPr>
              <w:t>laubep@mpo.cz</w:t>
            </w:r>
          </w:p>
        </w:tc>
        <w:tc>
          <w:tcPr>
            <w:tcW w:w="118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BE" w14:textId="77777777" w:rsidR="00054D27" w:rsidRPr="00800799" w:rsidRDefault="00AF622A">
            <w:pPr>
              <w:widowControl w:val="0"/>
              <w:rPr>
                <w:rFonts w:ascii="Arial" w:eastAsia="Arial" w:hAnsi="Arial" w:cs="Arial"/>
                <w:sz w:val="18"/>
                <w:szCs w:val="18"/>
              </w:rPr>
            </w:pPr>
            <w:proofErr w:type="gramStart"/>
            <w:r w:rsidRPr="00800799">
              <w:rPr>
                <w:b/>
                <w:sz w:val="18"/>
                <w:szCs w:val="18"/>
              </w:rPr>
              <w:t>Expert - rizikový</w:t>
            </w:r>
            <w:proofErr w:type="gramEnd"/>
            <w:r w:rsidRPr="00800799">
              <w:rPr>
                <w:b/>
                <w:sz w:val="18"/>
                <w:szCs w:val="18"/>
              </w:rPr>
              <w:t xml:space="preserve"> kapitál</w:t>
            </w:r>
          </w:p>
        </w:tc>
        <w:tc>
          <w:tcPr>
            <w:tcW w:w="123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BF" w14:textId="77777777" w:rsidR="00054D27" w:rsidRPr="00800799" w:rsidRDefault="00054D27">
            <w:pPr>
              <w:widowControl w:val="0"/>
              <w:rPr>
                <w:rFonts w:ascii="Arial" w:eastAsia="Arial" w:hAnsi="Arial" w:cs="Arial"/>
                <w:sz w:val="18"/>
                <w:szCs w:val="18"/>
              </w:rPr>
            </w:pPr>
          </w:p>
        </w:tc>
      </w:tr>
      <w:tr w:rsidR="00054D27" w:rsidRPr="00800799" w14:paraId="5A0C1B66" w14:textId="77777777">
        <w:trPr>
          <w:trHeight w:val="495"/>
        </w:trPr>
        <w:tc>
          <w:tcPr>
            <w:tcW w:w="1225"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C0" w14:textId="77777777" w:rsidR="00054D27" w:rsidRPr="00800799" w:rsidRDefault="00AF622A">
            <w:pPr>
              <w:widowControl w:val="0"/>
              <w:rPr>
                <w:rFonts w:ascii="Arial" w:eastAsia="Arial" w:hAnsi="Arial" w:cs="Arial"/>
                <w:sz w:val="18"/>
                <w:szCs w:val="18"/>
              </w:rPr>
            </w:pPr>
            <w:r w:rsidRPr="00800799">
              <w:rPr>
                <w:b/>
                <w:sz w:val="18"/>
                <w:szCs w:val="18"/>
              </w:rPr>
              <w:t>Ing. Jaromír Konderla</w:t>
            </w:r>
          </w:p>
        </w:tc>
        <w:tc>
          <w:tcPr>
            <w:tcW w:w="1342"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000000C1" w14:textId="77777777" w:rsidR="00054D27" w:rsidRPr="00800799" w:rsidRDefault="00AF622A">
            <w:pPr>
              <w:widowControl w:val="0"/>
              <w:rPr>
                <w:rFonts w:ascii="Arial" w:eastAsia="Arial" w:hAnsi="Arial" w:cs="Arial"/>
                <w:sz w:val="18"/>
                <w:szCs w:val="18"/>
              </w:rPr>
            </w:pPr>
            <w:r w:rsidRPr="00800799">
              <w:rPr>
                <w:sz w:val="18"/>
                <w:szCs w:val="18"/>
              </w:rPr>
              <w:t>Vedoucí oddělení bankovních nástrojů</w:t>
            </w:r>
          </w:p>
        </w:tc>
        <w:tc>
          <w:tcPr>
            <w:tcW w:w="1379"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C2" w14:textId="77777777" w:rsidR="00054D27" w:rsidRPr="00800799" w:rsidRDefault="00054D27">
            <w:pPr>
              <w:widowControl w:val="0"/>
              <w:rPr>
                <w:rFonts w:ascii="Arial" w:eastAsia="Arial" w:hAnsi="Arial" w:cs="Arial"/>
                <w:sz w:val="18"/>
                <w:szCs w:val="18"/>
              </w:rPr>
            </w:pPr>
          </w:p>
        </w:tc>
        <w:tc>
          <w:tcPr>
            <w:tcW w:w="130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C3" w14:textId="77777777" w:rsidR="00054D27" w:rsidRPr="00800799" w:rsidRDefault="00AF622A">
            <w:pPr>
              <w:widowControl w:val="0"/>
              <w:rPr>
                <w:rFonts w:ascii="Arial" w:eastAsia="Arial" w:hAnsi="Arial" w:cs="Arial"/>
                <w:sz w:val="18"/>
                <w:szCs w:val="18"/>
              </w:rPr>
            </w:pPr>
            <w:r w:rsidRPr="00800799">
              <w:rPr>
                <w:sz w:val="18"/>
                <w:szCs w:val="18"/>
              </w:rPr>
              <w:t>224 852 452</w:t>
            </w:r>
          </w:p>
        </w:tc>
        <w:tc>
          <w:tcPr>
            <w:tcW w:w="169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000000C4" w14:textId="77777777" w:rsidR="00054D27" w:rsidRPr="00800799" w:rsidRDefault="00AF622A">
            <w:pPr>
              <w:widowControl w:val="0"/>
              <w:rPr>
                <w:rFonts w:ascii="Arial" w:eastAsia="Arial" w:hAnsi="Arial" w:cs="Arial"/>
                <w:sz w:val="18"/>
                <w:szCs w:val="18"/>
              </w:rPr>
            </w:pPr>
            <w:r w:rsidRPr="00800799">
              <w:rPr>
                <w:color w:val="A32020"/>
                <w:sz w:val="18"/>
                <w:szCs w:val="18"/>
                <w:u w:val="single"/>
              </w:rPr>
              <w:t>konderla@mpo.cz</w:t>
            </w:r>
          </w:p>
        </w:tc>
        <w:tc>
          <w:tcPr>
            <w:tcW w:w="118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C5" w14:textId="77777777" w:rsidR="00054D27" w:rsidRPr="00800799" w:rsidRDefault="00AF622A">
            <w:pPr>
              <w:widowControl w:val="0"/>
              <w:rPr>
                <w:rFonts w:ascii="Arial" w:eastAsia="Arial" w:hAnsi="Arial" w:cs="Arial"/>
                <w:sz w:val="18"/>
                <w:szCs w:val="18"/>
              </w:rPr>
            </w:pPr>
            <w:proofErr w:type="gramStart"/>
            <w:r w:rsidRPr="00800799">
              <w:rPr>
                <w:b/>
                <w:sz w:val="18"/>
                <w:szCs w:val="18"/>
              </w:rPr>
              <w:t>Expert - bankovní</w:t>
            </w:r>
            <w:proofErr w:type="gramEnd"/>
            <w:r w:rsidRPr="00800799">
              <w:rPr>
                <w:b/>
                <w:sz w:val="18"/>
                <w:szCs w:val="18"/>
              </w:rPr>
              <w:t xml:space="preserve"> finanční nástroje</w:t>
            </w:r>
          </w:p>
        </w:tc>
        <w:tc>
          <w:tcPr>
            <w:tcW w:w="123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C6" w14:textId="77777777" w:rsidR="00054D27" w:rsidRPr="00800799" w:rsidRDefault="00AF622A">
            <w:pPr>
              <w:widowControl w:val="0"/>
              <w:rPr>
                <w:rFonts w:ascii="Arial" w:eastAsia="Arial" w:hAnsi="Arial" w:cs="Arial"/>
                <w:sz w:val="18"/>
                <w:szCs w:val="18"/>
              </w:rPr>
            </w:pPr>
            <w:r w:rsidRPr="00800799">
              <w:rPr>
                <w:b/>
                <w:sz w:val="18"/>
                <w:szCs w:val="18"/>
              </w:rPr>
              <w:t>Zástupce zadavatele</w:t>
            </w:r>
          </w:p>
        </w:tc>
      </w:tr>
      <w:tr w:rsidR="00054D27" w:rsidRPr="00800799" w14:paraId="1D83EF80" w14:textId="77777777">
        <w:trPr>
          <w:trHeight w:val="495"/>
        </w:trPr>
        <w:tc>
          <w:tcPr>
            <w:tcW w:w="1225"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C7" w14:textId="77777777" w:rsidR="00054D27" w:rsidRPr="00800799" w:rsidRDefault="00AF622A">
            <w:pPr>
              <w:widowControl w:val="0"/>
              <w:rPr>
                <w:rFonts w:ascii="Arial" w:eastAsia="Arial" w:hAnsi="Arial" w:cs="Arial"/>
                <w:sz w:val="18"/>
                <w:szCs w:val="18"/>
              </w:rPr>
            </w:pPr>
            <w:r w:rsidRPr="00800799">
              <w:rPr>
                <w:b/>
                <w:sz w:val="18"/>
                <w:szCs w:val="18"/>
              </w:rPr>
              <w:t>Ing. Pavel Kloboučník</w:t>
            </w:r>
          </w:p>
        </w:tc>
        <w:tc>
          <w:tcPr>
            <w:tcW w:w="1342"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000000C8" w14:textId="77777777" w:rsidR="00054D27" w:rsidRPr="00800799" w:rsidRDefault="00AF622A">
            <w:pPr>
              <w:widowControl w:val="0"/>
              <w:rPr>
                <w:rFonts w:ascii="Arial" w:eastAsia="Arial" w:hAnsi="Arial" w:cs="Arial"/>
                <w:sz w:val="18"/>
                <w:szCs w:val="18"/>
              </w:rPr>
            </w:pPr>
            <w:r w:rsidRPr="00800799">
              <w:rPr>
                <w:sz w:val="18"/>
                <w:szCs w:val="18"/>
              </w:rPr>
              <w:t>Referent</w:t>
            </w:r>
          </w:p>
        </w:tc>
        <w:tc>
          <w:tcPr>
            <w:tcW w:w="1379"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000000C9" w14:textId="77777777" w:rsidR="00054D27" w:rsidRPr="00800799" w:rsidRDefault="00054D27">
            <w:pPr>
              <w:widowControl w:val="0"/>
              <w:rPr>
                <w:rFonts w:ascii="Arial" w:eastAsia="Arial" w:hAnsi="Arial" w:cs="Arial"/>
                <w:sz w:val="18"/>
                <w:szCs w:val="18"/>
              </w:rPr>
            </w:pPr>
          </w:p>
        </w:tc>
        <w:tc>
          <w:tcPr>
            <w:tcW w:w="130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CA" w14:textId="77777777" w:rsidR="00054D27" w:rsidRPr="00800799" w:rsidRDefault="00AF622A">
            <w:pPr>
              <w:widowControl w:val="0"/>
              <w:rPr>
                <w:rFonts w:ascii="Arial" w:eastAsia="Arial" w:hAnsi="Arial" w:cs="Arial"/>
                <w:sz w:val="18"/>
                <w:szCs w:val="18"/>
              </w:rPr>
            </w:pPr>
            <w:r w:rsidRPr="00800799">
              <w:rPr>
                <w:sz w:val="18"/>
                <w:szCs w:val="18"/>
              </w:rPr>
              <w:t>224 852 784</w:t>
            </w:r>
          </w:p>
        </w:tc>
        <w:tc>
          <w:tcPr>
            <w:tcW w:w="16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CB" w14:textId="77777777" w:rsidR="00054D27" w:rsidRPr="00800799" w:rsidRDefault="00AF622A">
            <w:pPr>
              <w:widowControl w:val="0"/>
              <w:rPr>
                <w:rFonts w:ascii="Arial" w:eastAsia="Arial" w:hAnsi="Arial" w:cs="Arial"/>
                <w:sz w:val="18"/>
                <w:szCs w:val="18"/>
              </w:rPr>
            </w:pPr>
            <w:r w:rsidRPr="00800799">
              <w:rPr>
                <w:color w:val="A32020"/>
                <w:sz w:val="18"/>
                <w:szCs w:val="18"/>
                <w:u w:val="single"/>
              </w:rPr>
              <w:t>kloboucnik@mpo.cz</w:t>
            </w:r>
          </w:p>
        </w:tc>
        <w:tc>
          <w:tcPr>
            <w:tcW w:w="118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CC" w14:textId="77777777" w:rsidR="00054D27" w:rsidRPr="00800799" w:rsidRDefault="00AF622A">
            <w:pPr>
              <w:widowControl w:val="0"/>
              <w:rPr>
                <w:rFonts w:ascii="Arial" w:eastAsia="Arial" w:hAnsi="Arial" w:cs="Arial"/>
                <w:sz w:val="18"/>
                <w:szCs w:val="18"/>
              </w:rPr>
            </w:pPr>
            <w:proofErr w:type="gramStart"/>
            <w:r w:rsidRPr="00800799">
              <w:rPr>
                <w:b/>
                <w:sz w:val="18"/>
                <w:szCs w:val="18"/>
              </w:rPr>
              <w:t>Expert - bankovní</w:t>
            </w:r>
            <w:proofErr w:type="gramEnd"/>
            <w:r w:rsidRPr="00800799">
              <w:rPr>
                <w:b/>
                <w:sz w:val="18"/>
                <w:szCs w:val="18"/>
              </w:rPr>
              <w:t xml:space="preserve"> finanční nástroje</w:t>
            </w:r>
          </w:p>
        </w:tc>
        <w:tc>
          <w:tcPr>
            <w:tcW w:w="123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CD" w14:textId="77777777" w:rsidR="00054D27" w:rsidRPr="00800799" w:rsidRDefault="00054D27">
            <w:pPr>
              <w:widowControl w:val="0"/>
              <w:rPr>
                <w:rFonts w:ascii="Arial" w:eastAsia="Arial" w:hAnsi="Arial" w:cs="Arial"/>
                <w:sz w:val="18"/>
                <w:szCs w:val="18"/>
              </w:rPr>
            </w:pPr>
          </w:p>
        </w:tc>
      </w:tr>
      <w:tr w:rsidR="00054D27" w:rsidRPr="00800799" w14:paraId="6987B400" w14:textId="77777777">
        <w:trPr>
          <w:trHeight w:val="495"/>
        </w:trPr>
        <w:tc>
          <w:tcPr>
            <w:tcW w:w="1225"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CE" w14:textId="77777777" w:rsidR="00054D27" w:rsidRPr="00800799" w:rsidRDefault="00AF622A">
            <w:pPr>
              <w:widowControl w:val="0"/>
              <w:rPr>
                <w:rFonts w:ascii="Arial" w:eastAsia="Arial" w:hAnsi="Arial" w:cs="Arial"/>
                <w:sz w:val="18"/>
                <w:szCs w:val="18"/>
              </w:rPr>
            </w:pPr>
            <w:r w:rsidRPr="00800799">
              <w:rPr>
                <w:b/>
                <w:sz w:val="18"/>
                <w:szCs w:val="18"/>
              </w:rPr>
              <w:t>Mgr. Ing. Dana Karásková</w:t>
            </w:r>
          </w:p>
        </w:tc>
        <w:tc>
          <w:tcPr>
            <w:tcW w:w="1342"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000000CF" w14:textId="77777777" w:rsidR="00054D27" w:rsidRPr="00800799" w:rsidRDefault="00AF622A">
            <w:pPr>
              <w:widowControl w:val="0"/>
              <w:rPr>
                <w:rFonts w:ascii="Arial" w:eastAsia="Arial" w:hAnsi="Arial" w:cs="Arial"/>
                <w:sz w:val="18"/>
                <w:szCs w:val="18"/>
              </w:rPr>
            </w:pPr>
            <w:r w:rsidRPr="00800799">
              <w:rPr>
                <w:sz w:val="18"/>
                <w:szCs w:val="18"/>
              </w:rPr>
              <w:t>Referent</w:t>
            </w:r>
          </w:p>
        </w:tc>
        <w:tc>
          <w:tcPr>
            <w:tcW w:w="1379"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000000D0" w14:textId="77777777" w:rsidR="00054D27" w:rsidRPr="00800799" w:rsidRDefault="00054D27">
            <w:pPr>
              <w:widowControl w:val="0"/>
              <w:rPr>
                <w:rFonts w:ascii="Arial" w:eastAsia="Arial" w:hAnsi="Arial" w:cs="Arial"/>
                <w:sz w:val="18"/>
                <w:szCs w:val="18"/>
              </w:rPr>
            </w:pPr>
          </w:p>
        </w:tc>
        <w:tc>
          <w:tcPr>
            <w:tcW w:w="130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D1" w14:textId="77777777" w:rsidR="00054D27" w:rsidRPr="00800799" w:rsidRDefault="00AF622A">
            <w:pPr>
              <w:widowControl w:val="0"/>
              <w:rPr>
                <w:rFonts w:ascii="Arial" w:eastAsia="Arial" w:hAnsi="Arial" w:cs="Arial"/>
                <w:sz w:val="18"/>
                <w:szCs w:val="18"/>
              </w:rPr>
            </w:pPr>
            <w:r w:rsidRPr="00800799">
              <w:rPr>
                <w:sz w:val="18"/>
                <w:szCs w:val="18"/>
              </w:rPr>
              <w:t>224 852 068</w:t>
            </w:r>
          </w:p>
        </w:tc>
        <w:tc>
          <w:tcPr>
            <w:tcW w:w="16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D2" w14:textId="77777777" w:rsidR="00054D27" w:rsidRPr="00800799" w:rsidRDefault="00AF622A">
            <w:pPr>
              <w:widowControl w:val="0"/>
              <w:rPr>
                <w:rFonts w:ascii="Arial" w:eastAsia="Arial" w:hAnsi="Arial" w:cs="Arial"/>
                <w:sz w:val="18"/>
                <w:szCs w:val="18"/>
              </w:rPr>
            </w:pPr>
            <w:r w:rsidRPr="00800799">
              <w:rPr>
                <w:color w:val="A32020"/>
                <w:sz w:val="18"/>
                <w:szCs w:val="18"/>
                <w:u w:val="single"/>
              </w:rPr>
              <w:t>karaskova@mpo.cz</w:t>
            </w:r>
          </w:p>
        </w:tc>
        <w:tc>
          <w:tcPr>
            <w:tcW w:w="118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D3" w14:textId="77777777" w:rsidR="00054D27" w:rsidRPr="00800799" w:rsidRDefault="00AF622A">
            <w:pPr>
              <w:widowControl w:val="0"/>
              <w:rPr>
                <w:rFonts w:ascii="Arial" w:eastAsia="Arial" w:hAnsi="Arial" w:cs="Arial"/>
                <w:sz w:val="18"/>
                <w:szCs w:val="18"/>
              </w:rPr>
            </w:pPr>
            <w:proofErr w:type="gramStart"/>
            <w:r w:rsidRPr="00800799">
              <w:rPr>
                <w:b/>
                <w:sz w:val="18"/>
                <w:szCs w:val="18"/>
              </w:rPr>
              <w:t>Expert - finanční</w:t>
            </w:r>
            <w:proofErr w:type="gramEnd"/>
            <w:r w:rsidRPr="00800799">
              <w:rPr>
                <w:b/>
                <w:sz w:val="18"/>
                <w:szCs w:val="18"/>
              </w:rPr>
              <w:t xml:space="preserve"> nástroje v digitalizaci</w:t>
            </w:r>
          </w:p>
        </w:tc>
        <w:tc>
          <w:tcPr>
            <w:tcW w:w="123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D4" w14:textId="77777777" w:rsidR="00054D27" w:rsidRPr="00800799" w:rsidRDefault="00054D27">
            <w:pPr>
              <w:widowControl w:val="0"/>
              <w:rPr>
                <w:rFonts w:ascii="Arial" w:eastAsia="Arial" w:hAnsi="Arial" w:cs="Arial"/>
                <w:sz w:val="18"/>
                <w:szCs w:val="18"/>
              </w:rPr>
            </w:pPr>
          </w:p>
        </w:tc>
      </w:tr>
      <w:tr w:rsidR="00054D27" w:rsidRPr="00800799" w14:paraId="16114E2D" w14:textId="77777777">
        <w:trPr>
          <w:trHeight w:val="495"/>
        </w:trPr>
        <w:tc>
          <w:tcPr>
            <w:tcW w:w="1225" w:type="dxa"/>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D5" w14:textId="77777777" w:rsidR="00054D27" w:rsidRPr="00800799" w:rsidRDefault="00AF622A">
            <w:pPr>
              <w:widowControl w:val="0"/>
              <w:rPr>
                <w:rFonts w:ascii="Arial" w:eastAsia="Arial" w:hAnsi="Arial" w:cs="Arial"/>
                <w:sz w:val="18"/>
                <w:szCs w:val="18"/>
              </w:rPr>
            </w:pPr>
            <w:r w:rsidRPr="00800799">
              <w:rPr>
                <w:b/>
                <w:sz w:val="18"/>
                <w:szCs w:val="18"/>
              </w:rPr>
              <w:t>Ing. Marek Prokop</w:t>
            </w:r>
          </w:p>
        </w:tc>
        <w:tc>
          <w:tcPr>
            <w:tcW w:w="1342"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000000D6" w14:textId="77777777" w:rsidR="00054D27" w:rsidRPr="00800799" w:rsidRDefault="00AF622A">
            <w:pPr>
              <w:widowControl w:val="0"/>
              <w:rPr>
                <w:rFonts w:ascii="Arial" w:eastAsia="Arial" w:hAnsi="Arial" w:cs="Arial"/>
                <w:sz w:val="18"/>
                <w:szCs w:val="18"/>
              </w:rPr>
            </w:pPr>
            <w:r w:rsidRPr="00800799">
              <w:rPr>
                <w:sz w:val="18"/>
                <w:szCs w:val="18"/>
              </w:rPr>
              <w:t>Referent</w:t>
            </w:r>
          </w:p>
        </w:tc>
        <w:tc>
          <w:tcPr>
            <w:tcW w:w="1379"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tcPr>
          <w:p w14:paraId="000000D7" w14:textId="77777777" w:rsidR="00054D27" w:rsidRPr="00800799" w:rsidRDefault="00054D27">
            <w:pPr>
              <w:widowControl w:val="0"/>
              <w:rPr>
                <w:rFonts w:ascii="Arial" w:eastAsia="Arial" w:hAnsi="Arial" w:cs="Arial"/>
                <w:sz w:val="18"/>
                <w:szCs w:val="18"/>
              </w:rPr>
            </w:pPr>
          </w:p>
        </w:tc>
        <w:tc>
          <w:tcPr>
            <w:tcW w:w="130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D8" w14:textId="77777777" w:rsidR="00054D27" w:rsidRPr="00800799" w:rsidRDefault="00AF622A">
            <w:pPr>
              <w:widowControl w:val="0"/>
              <w:rPr>
                <w:rFonts w:ascii="Arial" w:eastAsia="Arial" w:hAnsi="Arial" w:cs="Arial"/>
                <w:sz w:val="18"/>
                <w:szCs w:val="18"/>
              </w:rPr>
            </w:pPr>
            <w:r w:rsidRPr="00800799">
              <w:rPr>
                <w:sz w:val="18"/>
                <w:szCs w:val="18"/>
              </w:rPr>
              <w:t>224 852 789</w:t>
            </w:r>
          </w:p>
        </w:tc>
        <w:tc>
          <w:tcPr>
            <w:tcW w:w="16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D9" w14:textId="77777777" w:rsidR="00054D27" w:rsidRPr="00800799" w:rsidRDefault="00AF622A">
            <w:pPr>
              <w:widowControl w:val="0"/>
              <w:rPr>
                <w:rFonts w:ascii="Arial" w:eastAsia="Arial" w:hAnsi="Arial" w:cs="Arial"/>
                <w:sz w:val="18"/>
                <w:szCs w:val="18"/>
              </w:rPr>
            </w:pPr>
            <w:r w:rsidRPr="00800799">
              <w:rPr>
                <w:color w:val="A32020"/>
                <w:sz w:val="18"/>
                <w:szCs w:val="18"/>
                <w:u w:val="single"/>
              </w:rPr>
              <w:t>prokop@mpo.cz</w:t>
            </w:r>
          </w:p>
        </w:tc>
        <w:tc>
          <w:tcPr>
            <w:tcW w:w="1181"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DA" w14:textId="77777777" w:rsidR="00054D27" w:rsidRPr="00800799" w:rsidRDefault="00AF622A">
            <w:pPr>
              <w:widowControl w:val="0"/>
              <w:rPr>
                <w:rFonts w:ascii="Arial" w:eastAsia="Arial" w:hAnsi="Arial" w:cs="Arial"/>
                <w:sz w:val="18"/>
                <w:szCs w:val="18"/>
              </w:rPr>
            </w:pPr>
            <w:proofErr w:type="gramStart"/>
            <w:r w:rsidRPr="00800799">
              <w:rPr>
                <w:b/>
                <w:sz w:val="18"/>
                <w:szCs w:val="18"/>
              </w:rPr>
              <w:t>Expert - finanční</w:t>
            </w:r>
            <w:proofErr w:type="gramEnd"/>
            <w:r w:rsidRPr="00800799">
              <w:rPr>
                <w:b/>
                <w:sz w:val="18"/>
                <w:szCs w:val="18"/>
              </w:rPr>
              <w:t xml:space="preserve"> nástroje v energetice</w:t>
            </w:r>
          </w:p>
        </w:tc>
        <w:tc>
          <w:tcPr>
            <w:tcW w:w="1232"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DB" w14:textId="77777777" w:rsidR="00054D27" w:rsidRPr="00800799" w:rsidRDefault="00054D27">
            <w:pPr>
              <w:widowControl w:val="0"/>
              <w:rPr>
                <w:rFonts w:ascii="Arial" w:eastAsia="Arial" w:hAnsi="Arial" w:cs="Arial"/>
                <w:sz w:val="18"/>
                <w:szCs w:val="18"/>
              </w:rPr>
            </w:pPr>
          </w:p>
        </w:tc>
      </w:tr>
    </w:tbl>
    <w:p w14:paraId="000000DC" w14:textId="77777777" w:rsidR="00054D27" w:rsidRPr="00800799" w:rsidRDefault="00AF622A">
      <w:pPr>
        <w:rPr>
          <w:b/>
          <w:color w:val="D04A02"/>
          <w:sz w:val="28"/>
          <w:szCs w:val="28"/>
        </w:rPr>
        <w:sectPr w:rsidR="00054D27" w:rsidRPr="00800799">
          <w:headerReference w:type="default" r:id="rId13"/>
          <w:footerReference w:type="default" r:id="rId14"/>
          <w:pgSz w:w="12240" w:h="15840"/>
          <w:pgMar w:top="1440" w:right="1440" w:bottom="1440" w:left="1440" w:header="720" w:footer="720" w:gutter="0"/>
          <w:pgNumType w:start="1"/>
          <w:cols w:space="708"/>
        </w:sectPr>
      </w:pPr>
      <w:bookmarkStart w:id="21" w:name="_heading=h.tyjcwt" w:colFirst="0" w:colLast="0"/>
      <w:bookmarkStart w:id="22" w:name="_kfwzqbtbynmw"/>
      <w:bookmarkStart w:id="23" w:name="_heading_h_tyjcwt"/>
      <w:bookmarkEnd w:id="21"/>
      <w:bookmarkEnd w:id="22"/>
      <w:bookmarkEnd w:id="23"/>
      <w:r w:rsidRPr="00800799">
        <w:br w:type="page"/>
      </w:r>
    </w:p>
    <w:p w14:paraId="000000DD" w14:textId="77777777" w:rsidR="00054D27" w:rsidRPr="00C77291" w:rsidRDefault="00AF622A">
      <w:pPr>
        <w:pStyle w:val="Nadpis2"/>
        <w:numPr>
          <w:ilvl w:val="0"/>
          <w:numId w:val="18"/>
        </w:numPr>
        <w:spacing w:before="80"/>
        <w:rPr>
          <w:b/>
          <w:color w:val="D04A02"/>
          <w:sz w:val="28"/>
          <w:szCs w:val="28"/>
        </w:rPr>
      </w:pPr>
      <w:bookmarkStart w:id="24" w:name="_yb8180tn4mi"/>
      <w:bookmarkStart w:id="25" w:name="_Toc90364545"/>
      <w:bookmarkStart w:id="26" w:name="_Toc89232790"/>
      <w:bookmarkStart w:id="27" w:name="_Toc89067090"/>
      <w:bookmarkEnd w:id="24"/>
      <w:r w:rsidRPr="00800799">
        <w:rPr>
          <w:b/>
          <w:color w:val="D04A02"/>
          <w:sz w:val="28"/>
          <w:szCs w:val="28"/>
        </w:rPr>
        <w:lastRenderedPageBreak/>
        <w:t xml:space="preserve">Data </w:t>
      </w:r>
      <w:proofErr w:type="spellStart"/>
      <w:r w:rsidRPr="00800799">
        <w:rPr>
          <w:b/>
          <w:color w:val="D04A02"/>
          <w:sz w:val="28"/>
          <w:szCs w:val="28"/>
        </w:rPr>
        <w:t>request</w:t>
      </w:r>
      <w:proofErr w:type="spellEnd"/>
      <w:r w:rsidRPr="00800799">
        <w:rPr>
          <w:b/>
          <w:color w:val="D04A02"/>
          <w:sz w:val="28"/>
          <w:szCs w:val="28"/>
        </w:rPr>
        <w:t xml:space="preserve"> list</w:t>
      </w:r>
      <w:bookmarkEnd w:id="25"/>
      <w:bookmarkEnd w:id="26"/>
      <w:bookmarkEnd w:id="27"/>
    </w:p>
    <w:p w14:paraId="000000DE" w14:textId="77777777" w:rsidR="00054D27" w:rsidRPr="00952825" w:rsidRDefault="00054D27">
      <w:pPr>
        <w:rPr>
          <w:sz w:val="20"/>
          <w:szCs w:val="20"/>
        </w:rPr>
      </w:pPr>
    </w:p>
    <w:tbl>
      <w:tblPr>
        <w:tblStyle w:val="af1"/>
        <w:tblW w:w="9315" w:type="dxa"/>
        <w:tblBorders>
          <w:top w:val="nil"/>
          <w:left w:val="nil"/>
          <w:bottom w:val="nil"/>
          <w:right w:val="nil"/>
          <w:insideH w:val="nil"/>
          <w:insideV w:val="nil"/>
        </w:tblBorders>
        <w:tblLayout w:type="fixed"/>
        <w:tblLook w:val="0600" w:firstRow="0" w:lastRow="0" w:firstColumn="0" w:lastColumn="0" w:noHBand="1" w:noVBand="1"/>
      </w:tblPr>
      <w:tblGrid>
        <w:gridCol w:w="435"/>
        <w:gridCol w:w="4560"/>
        <w:gridCol w:w="4320"/>
      </w:tblGrid>
      <w:tr w:rsidR="00054D27" w:rsidRPr="00800799" w14:paraId="1804B501" w14:textId="77777777">
        <w:trPr>
          <w:trHeight w:val="300"/>
        </w:trPr>
        <w:tc>
          <w:tcPr>
            <w:tcW w:w="435" w:type="dxa"/>
            <w:tcBorders>
              <w:top w:val="single" w:sz="6" w:space="0" w:color="000000"/>
              <w:left w:val="single" w:sz="6" w:space="0" w:color="000000"/>
              <w:bottom w:val="single" w:sz="6" w:space="0" w:color="000000"/>
              <w:right w:val="single" w:sz="6" w:space="0" w:color="000000"/>
            </w:tcBorders>
            <w:shd w:val="clear" w:color="auto" w:fill="602320"/>
            <w:tcMar>
              <w:top w:w="0" w:type="dxa"/>
              <w:left w:w="40" w:type="dxa"/>
              <w:bottom w:w="0" w:type="dxa"/>
              <w:right w:w="40" w:type="dxa"/>
            </w:tcMar>
            <w:vAlign w:val="center"/>
          </w:tcPr>
          <w:p w14:paraId="000000DF" w14:textId="77777777" w:rsidR="00054D27" w:rsidRPr="00676862" w:rsidRDefault="00AF622A">
            <w:pPr>
              <w:widowControl w:val="0"/>
              <w:spacing w:line="276" w:lineRule="auto"/>
              <w:jc w:val="center"/>
              <w:rPr>
                <w:rFonts w:ascii="Arial" w:eastAsia="Arial" w:hAnsi="Arial" w:cs="Arial"/>
                <w:sz w:val="20"/>
                <w:szCs w:val="20"/>
              </w:rPr>
            </w:pPr>
            <w:r w:rsidRPr="00952825">
              <w:rPr>
                <w:rFonts w:ascii="Arial" w:eastAsia="Arial" w:hAnsi="Arial" w:cs="Arial"/>
                <w:b/>
                <w:color w:val="FFFFFF"/>
                <w:sz w:val="20"/>
                <w:szCs w:val="20"/>
              </w:rPr>
              <w:t>ID</w:t>
            </w:r>
          </w:p>
        </w:tc>
        <w:tc>
          <w:tcPr>
            <w:tcW w:w="4560" w:type="dxa"/>
            <w:tcBorders>
              <w:top w:val="single" w:sz="6" w:space="0" w:color="000000"/>
              <w:left w:val="nil"/>
              <w:bottom w:val="single" w:sz="6" w:space="0" w:color="000000"/>
              <w:right w:val="single" w:sz="6" w:space="0" w:color="000000"/>
            </w:tcBorders>
            <w:shd w:val="clear" w:color="auto" w:fill="602320"/>
            <w:tcMar>
              <w:top w:w="0" w:type="dxa"/>
              <w:left w:w="40" w:type="dxa"/>
              <w:bottom w:w="0" w:type="dxa"/>
              <w:right w:w="40" w:type="dxa"/>
            </w:tcMar>
            <w:vAlign w:val="center"/>
          </w:tcPr>
          <w:p w14:paraId="000000E0" w14:textId="77777777" w:rsidR="00054D27" w:rsidRPr="00800799" w:rsidRDefault="00AF622A">
            <w:pPr>
              <w:widowControl w:val="0"/>
              <w:spacing w:line="276" w:lineRule="auto"/>
              <w:rPr>
                <w:rFonts w:ascii="Arial" w:eastAsia="Arial" w:hAnsi="Arial" w:cs="Arial"/>
                <w:sz w:val="20"/>
                <w:szCs w:val="20"/>
              </w:rPr>
            </w:pPr>
            <w:proofErr w:type="spellStart"/>
            <w:r w:rsidRPr="00676862">
              <w:rPr>
                <w:rFonts w:ascii="Arial" w:eastAsia="Arial" w:hAnsi="Arial" w:cs="Arial"/>
                <w:b/>
                <w:color w:val="FFFFFF"/>
                <w:sz w:val="20"/>
                <w:szCs w:val="20"/>
              </w:rPr>
              <w:t>Request</w:t>
            </w:r>
            <w:proofErr w:type="spellEnd"/>
          </w:p>
        </w:tc>
        <w:tc>
          <w:tcPr>
            <w:tcW w:w="4320" w:type="dxa"/>
            <w:tcBorders>
              <w:top w:val="single" w:sz="6" w:space="0" w:color="000000"/>
              <w:left w:val="nil"/>
              <w:bottom w:val="single" w:sz="6" w:space="0" w:color="000000"/>
              <w:right w:val="single" w:sz="6" w:space="0" w:color="000000"/>
            </w:tcBorders>
            <w:shd w:val="clear" w:color="auto" w:fill="602320"/>
            <w:tcMar>
              <w:top w:w="0" w:type="dxa"/>
              <w:left w:w="40" w:type="dxa"/>
              <w:bottom w:w="0" w:type="dxa"/>
              <w:right w:w="40" w:type="dxa"/>
            </w:tcMar>
            <w:vAlign w:val="center"/>
          </w:tcPr>
          <w:p w14:paraId="000000E1" w14:textId="77777777" w:rsidR="00054D27" w:rsidRPr="00800799" w:rsidRDefault="00AF622A">
            <w:pPr>
              <w:widowControl w:val="0"/>
              <w:spacing w:line="276" w:lineRule="auto"/>
              <w:rPr>
                <w:rFonts w:ascii="Arial" w:eastAsia="Arial" w:hAnsi="Arial" w:cs="Arial"/>
                <w:sz w:val="20"/>
                <w:szCs w:val="20"/>
              </w:rPr>
            </w:pPr>
            <w:r w:rsidRPr="00800799">
              <w:rPr>
                <w:b/>
                <w:color w:val="FFFFFF"/>
                <w:sz w:val="20"/>
                <w:szCs w:val="20"/>
              </w:rPr>
              <w:t>MPO/</w:t>
            </w:r>
            <w:proofErr w:type="spellStart"/>
            <w:r w:rsidRPr="00800799">
              <w:rPr>
                <w:b/>
                <w:color w:val="FFFFFF"/>
                <w:sz w:val="20"/>
                <w:szCs w:val="20"/>
              </w:rPr>
              <w:t>PwC</w:t>
            </w:r>
            <w:proofErr w:type="spellEnd"/>
            <w:r w:rsidRPr="00800799">
              <w:rPr>
                <w:b/>
                <w:color w:val="FFFFFF"/>
                <w:sz w:val="20"/>
                <w:szCs w:val="20"/>
              </w:rPr>
              <w:t xml:space="preserve"> Komentáře</w:t>
            </w:r>
          </w:p>
        </w:tc>
      </w:tr>
      <w:tr w:rsidR="00054D27" w:rsidRPr="00800799" w14:paraId="07A0B2AC" w14:textId="77777777">
        <w:trPr>
          <w:trHeight w:val="1380"/>
        </w:trPr>
        <w:tc>
          <w:tcPr>
            <w:tcW w:w="4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E2" w14:textId="77777777" w:rsidR="00054D27" w:rsidRPr="00800799" w:rsidRDefault="00AF622A">
            <w:pPr>
              <w:widowControl w:val="0"/>
              <w:spacing w:line="276" w:lineRule="auto"/>
              <w:jc w:val="center"/>
              <w:rPr>
                <w:rFonts w:ascii="Arial" w:eastAsia="Arial" w:hAnsi="Arial" w:cs="Arial"/>
                <w:sz w:val="20"/>
                <w:szCs w:val="20"/>
              </w:rPr>
            </w:pPr>
            <w:r w:rsidRPr="00800799">
              <w:rPr>
                <w:sz w:val="20"/>
                <w:szCs w:val="20"/>
              </w:rPr>
              <w:t>1</w:t>
            </w:r>
          </w:p>
        </w:tc>
        <w:tc>
          <w:tcPr>
            <w:tcW w:w="4560"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000000E3"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Aktuální informace o počtu a objemu žádostí a poskytnuté podpory v členění na jednotlivé finanční nástroje (resp. fondy fondů) a dále:</w:t>
            </w:r>
          </w:p>
          <w:p w14:paraId="000000E4"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 na dvoumístný CZ-NACE</w:t>
            </w:r>
          </w:p>
          <w:p w14:paraId="000000E5"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 dle velikosti podniku (mikro, malý, střední, velký)</w:t>
            </w:r>
          </w:p>
          <w:p w14:paraId="000000E6"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 xml:space="preserve">- pokud je relevantní, členění dle typu poskytnuté veřejné podpory (GBER/de </w:t>
            </w:r>
            <w:proofErr w:type="spellStart"/>
            <w:r w:rsidRPr="00800799">
              <w:rPr>
                <w:sz w:val="20"/>
                <w:szCs w:val="20"/>
              </w:rPr>
              <w:t>minimis</w:t>
            </w:r>
            <w:proofErr w:type="spellEnd"/>
            <w:r w:rsidRPr="00800799">
              <w:rPr>
                <w:sz w:val="20"/>
                <w:szCs w:val="20"/>
              </w:rPr>
              <w:t>)</w:t>
            </w:r>
          </w:p>
        </w:tc>
        <w:tc>
          <w:tcPr>
            <w:tcW w:w="4320"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000000E7"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Data nad rámec uvedených zdrojů Zadavatelem v příloze č. 1 zadávací dokumentace</w:t>
            </w:r>
          </w:p>
        </w:tc>
      </w:tr>
      <w:tr w:rsidR="00054D27" w:rsidRPr="00800799" w14:paraId="3AF312A7" w14:textId="77777777">
        <w:trPr>
          <w:trHeight w:val="465"/>
        </w:trPr>
        <w:tc>
          <w:tcPr>
            <w:tcW w:w="4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E8" w14:textId="77777777" w:rsidR="00054D27" w:rsidRPr="00800799" w:rsidRDefault="00AF622A">
            <w:pPr>
              <w:widowControl w:val="0"/>
              <w:spacing w:line="276" w:lineRule="auto"/>
              <w:jc w:val="center"/>
              <w:rPr>
                <w:rFonts w:ascii="Arial" w:eastAsia="Arial" w:hAnsi="Arial" w:cs="Arial"/>
                <w:sz w:val="20"/>
                <w:szCs w:val="20"/>
              </w:rPr>
            </w:pPr>
            <w:r w:rsidRPr="00800799">
              <w:rPr>
                <w:sz w:val="20"/>
                <w:szCs w:val="20"/>
              </w:rPr>
              <w:t>2</w:t>
            </w:r>
          </w:p>
        </w:tc>
        <w:tc>
          <w:tcPr>
            <w:tcW w:w="4560"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000000E9"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Tempo schvalování podpor a rychlost čerpání zvýhodněných úvěrů/podepisování smluv o zaručovaných úvěrech</w:t>
            </w:r>
          </w:p>
        </w:tc>
        <w:tc>
          <w:tcPr>
            <w:tcW w:w="4320"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000000EA"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Data nad rámec uvedených zdrojů Zadavatelem v příloze č. 1 zadávací dokumentace</w:t>
            </w:r>
          </w:p>
        </w:tc>
      </w:tr>
      <w:tr w:rsidR="00054D27" w:rsidRPr="00800799" w14:paraId="1A1F63EA" w14:textId="77777777">
        <w:trPr>
          <w:trHeight w:val="465"/>
        </w:trPr>
        <w:tc>
          <w:tcPr>
            <w:tcW w:w="4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EB" w14:textId="77777777" w:rsidR="00054D27" w:rsidRPr="00800799" w:rsidRDefault="00AF622A">
            <w:pPr>
              <w:widowControl w:val="0"/>
              <w:spacing w:line="276" w:lineRule="auto"/>
              <w:jc w:val="center"/>
              <w:rPr>
                <w:rFonts w:ascii="Arial" w:eastAsia="Arial" w:hAnsi="Arial" w:cs="Arial"/>
                <w:sz w:val="20"/>
                <w:szCs w:val="20"/>
              </w:rPr>
            </w:pPr>
            <w:r w:rsidRPr="00800799">
              <w:rPr>
                <w:sz w:val="20"/>
                <w:szCs w:val="20"/>
              </w:rPr>
              <w:t>3</w:t>
            </w:r>
          </w:p>
        </w:tc>
        <w:tc>
          <w:tcPr>
            <w:tcW w:w="4560"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000000EC"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Informace o rizikovosti portfolií v případě záručních a úvěrových finančních nástrojů (</w:t>
            </w:r>
            <w:proofErr w:type="spellStart"/>
            <w:r w:rsidRPr="00800799">
              <w:rPr>
                <w:sz w:val="20"/>
                <w:szCs w:val="20"/>
              </w:rPr>
              <w:t>Lost</w:t>
            </w:r>
            <w:proofErr w:type="spellEnd"/>
            <w:r w:rsidRPr="00800799">
              <w:rPr>
                <w:sz w:val="20"/>
                <w:szCs w:val="20"/>
              </w:rPr>
              <w:t xml:space="preserve"> </w:t>
            </w:r>
            <w:proofErr w:type="spellStart"/>
            <w:r w:rsidRPr="00800799">
              <w:rPr>
                <w:sz w:val="20"/>
                <w:szCs w:val="20"/>
              </w:rPr>
              <w:t>Given</w:t>
            </w:r>
            <w:proofErr w:type="spellEnd"/>
            <w:r w:rsidRPr="00800799">
              <w:rPr>
                <w:sz w:val="20"/>
                <w:szCs w:val="20"/>
              </w:rPr>
              <w:t xml:space="preserve"> </w:t>
            </w:r>
            <w:proofErr w:type="spellStart"/>
            <w:r w:rsidRPr="00800799">
              <w:rPr>
                <w:sz w:val="20"/>
                <w:szCs w:val="20"/>
              </w:rPr>
              <w:t>Defaults</w:t>
            </w:r>
            <w:proofErr w:type="spellEnd"/>
            <w:r w:rsidRPr="00800799">
              <w:rPr>
                <w:sz w:val="20"/>
                <w:szCs w:val="20"/>
              </w:rPr>
              <w:t>)</w:t>
            </w:r>
          </w:p>
        </w:tc>
        <w:tc>
          <w:tcPr>
            <w:tcW w:w="4320"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000000ED"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Data nad rámec uvedených zdrojů Zadavatelem v příloze č. 1 zadávací dokumentace</w:t>
            </w:r>
          </w:p>
        </w:tc>
      </w:tr>
      <w:tr w:rsidR="00054D27" w:rsidRPr="00800799" w14:paraId="4148DA48" w14:textId="77777777">
        <w:trPr>
          <w:trHeight w:val="465"/>
        </w:trPr>
        <w:tc>
          <w:tcPr>
            <w:tcW w:w="4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EE" w14:textId="77777777" w:rsidR="00054D27" w:rsidRPr="00800799" w:rsidRDefault="00AF622A">
            <w:pPr>
              <w:widowControl w:val="0"/>
              <w:spacing w:line="276" w:lineRule="auto"/>
              <w:jc w:val="center"/>
              <w:rPr>
                <w:rFonts w:ascii="Arial" w:eastAsia="Arial" w:hAnsi="Arial" w:cs="Arial"/>
                <w:sz w:val="20"/>
                <w:szCs w:val="20"/>
              </w:rPr>
            </w:pPr>
            <w:r w:rsidRPr="00800799">
              <w:rPr>
                <w:sz w:val="20"/>
                <w:szCs w:val="20"/>
              </w:rPr>
              <w:t>4</w:t>
            </w:r>
          </w:p>
        </w:tc>
        <w:tc>
          <w:tcPr>
            <w:tcW w:w="4560"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000000EF"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 xml:space="preserve">Informace o struktuře využívané veřejné podpory (zejména de </w:t>
            </w:r>
            <w:proofErr w:type="spellStart"/>
            <w:r w:rsidRPr="00800799">
              <w:rPr>
                <w:sz w:val="20"/>
                <w:szCs w:val="20"/>
              </w:rPr>
              <w:t>minimis</w:t>
            </w:r>
            <w:proofErr w:type="spellEnd"/>
            <w:r w:rsidRPr="00800799">
              <w:rPr>
                <w:sz w:val="20"/>
                <w:szCs w:val="20"/>
              </w:rPr>
              <w:t xml:space="preserve"> vs. bloková výjimka)</w:t>
            </w:r>
          </w:p>
        </w:tc>
        <w:tc>
          <w:tcPr>
            <w:tcW w:w="4320"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000000F0"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Data nad rámec uvedených zdrojů Zadavatelem v příloze č. 1 zadávací dokumentace</w:t>
            </w:r>
          </w:p>
        </w:tc>
      </w:tr>
      <w:tr w:rsidR="00054D27" w:rsidRPr="00800799" w14:paraId="22EAC091" w14:textId="77777777">
        <w:trPr>
          <w:trHeight w:val="690"/>
        </w:trPr>
        <w:tc>
          <w:tcPr>
            <w:tcW w:w="4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F1" w14:textId="77777777" w:rsidR="00054D27" w:rsidRPr="00800799" w:rsidRDefault="00AF622A">
            <w:pPr>
              <w:widowControl w:val="0"/>
              <w:spacing w:line="276" w:lineRule="auto"/>
              <w:jc w:val="center"/>
              <w:rPr>
                <w:rFonts w:ascii="Arial" w:eastAsia="Arial" w:hAnsi="Arial" w:cs="Arial"/>
                <w:sz w:val="20"/>
                <w:szCs w:val="20"/>
              </w:rPr>
            </w:pPr>
            <w:r w:rsidRPr="00800799">
              <w:rPr>
                <w:sz w:val="20"/>
                <w:szCs w:val="20"/>
              </w:rPr>
              <w:t>5</w:t>
            </w:r>
          </w:p>
        </w:tc>
        <w:tc>
          <w:tcPr>
            <w:tcW w:w="45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F2"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 xml:space="preserve">Aktuální finanční plán finančních nástrojů OPPIK a stav čerpání (počet tranší, výše jednotlivých tranší, včetně </w:t>
            </w:r>
            <w:proofErr w:type="spellStart"/>
            <w:r w:rsidRPr="00800799">
              <w:rPr>
                <w:sz w:val="20"/>
                <w:szCs w:val="20"/>
              </w:rPr>
              <w:t>datumu</w:t>
            </w:r>
            <w:proofErr w:type="spellEnd"/>
            <w:r w:rsidRPr="00800799">
              <w:rPr>
                <w:sz w:val="20"/>
                <w:szCs w:val="20"/>
              </w:rPr>
              <w:t xml:space="preserve"> převodu) - v případě FF včetně jednotlivých FN</w:t>
            </w:r>
          </w:p>
        </w:tc>
        <w:tc>
          <w:tcPr>
            <w:tcW w:w="4320"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000000F3"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Data nad rámec uvedených zdrojů Zadavatelem v příloze č. 1 zadávací dokumentace</w:t>
            </w:r>
          </w:p>
        </w:tc>
      </w:tr>
      <w:tr w:rsidR="00054D27" w:rsidRPr="00800799" w14:paraId="22EA4E4C" w14:textId="77777777">
        <w:trPr>
          <w:trHeight w:val="300"/>
        </w:trPr>
        <w:tc>
          <w:tcPr>
            <w:tcW w:w="4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F4" w14:textId="77777777" w:rsidR="00054D27" w:rsidRPr="00800799" w:rsidRDefault="00AF622A">
            <w:pPr>
              <w:widowControl w:val="0"/>
              <w:spacing w:line="276" w:lineRule="auto"/>
              <w:jc w:val="center"/>
              <w:rPr>
                <w:rFonts w:ascii="Arial" w:eastAsia="Arial" w:hAnsi="Arial" w:cs="Arial"/>
                <w:sz w:val="20"/>
                <w:szCs w:val="20"/>
              </w:rPr>
            </w:pPr>
            <w:r w:rsidRPr="00800799">
              <w:rPr>
                <w:sz w:val="20"/>
                <w:szCs w:val="20"/>
              </w:rPr>
              <w:t>6</w:t>
            </w:r>
          </w:p>
        </w:tc>
        <w:tc>
          <w:tcPr>
            <w:tcW w:w="45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center"/>
          </w:tcPr>
          <w:p w14:paraId="000000F5"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Aktuální finanční plán alokací OP TAK včetně finančních nástrojů</w:t>
            </w:r>
          </w:p>
        </w:tc>
        <w:tc>
          <w:tcPr>
            <w:tcW w:w="4320"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00000F6"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 xml:space="preserve">Na základě </w:t>
            </w:r>
            <w:proofErr w:type="spellStart"/>
            <w:r w:rsidRPr="00800799">
              <w:rPr>
                <w:sz w:val="20"/>
                <w:szCs w:val="20"/>
              </w:rPr>
              <w:t>kick-off</w:t>
            </w:r>
            <w:proofErr w:type="spellEnd"/>
            <w:r w:rsidRPr="00800799">
              <w:rPr>
                <w:sz w:val="20"/>
                <w:szCs w:val="20"/>
              </w:rPr>
              <w:t xml:space="preserve"> schůzky</w:t>
            </w:r>
          </w:p>
        </w:tc>
      </w:tr>
      <w:tr w:rsidR="00054D27" w:rsidRPr="00800799" w14:paraId="11CA885D" w14:textId="77777777">
        <w:trPr>
          <w:trHeight w:val="300"/>
        </w:trPr>
        <w:tc>
          <w:tcPr>
            <w:tcW w:w="435" w:type="dxa"/>
            <w:tcBorders>
              <w:top w:val="nil"/>
              <w:left w:val="single" w:sz="6" w:space="0" w:color="000000"/>
              <w:bottom w:val="single" w:sz="4" w:space="0" w:color="000000"/>
              <w:right w:val="single" w:sz="6" w:space="0" w:color="000000"/>
            </w:tcBorders>
            <w:shd w:val="clear" w:color="auto" w:fill="auto"/>
            <w:tcMar>
              <w:top w:w="0" w:type="dxa"/>
              <w:left w:w="40" w:type="dxa"/>
              <w:bottom w:w="0" w:type="dxa"/>
              <w:right w:w="40" w:type="dxa"/>
            </w:tcMar>
            <w:vAlign w:val="center"/>
          </w:tcPr>
          <w:p w14:paraId="000000F7" w14:textId="77777777" w:rsidR="00054D27" w:rsidRPr="00800799" w:rsidRDefault="00AF622A">
            <w:pPr>
              <w:widowControl w:val="0"/>
              <w:spacing w:line="276" w:lineRule="auto"/>
              <w:jc w:val="center"/>
              <w:rPr>
                <w:rFonts w:ascii="Arial" w:eastAsia="Arial" w:hAnsi="Arial" w:cs="Arial"/>
                <w:sz w:val="20"/>
                <w:szCs w:val="20"/>
              </w:rPr>
            </w:pPr>
            <w:r w:rsidRPr="00800799">
              <w:rPr>
                <w:sz w:val="20"/>
                <w:szCs w:val="20"/>
              </w:rPr>
              <w:t>7</w:t>
            </w:r>
          </w:p>
        </w:tc>
        <w:tc>
          <w:tcPr>
            <w:tcW w:w="4560" w:type="dxa"/>
            <w:tcBorders>
              <w:top w:val="nil"/>
              <w:left w:val="nil"/>
              <w:bottom w:val="single" w:sz="4" w:space="0" w:color="000000"/>
              <w:right w:val="single" w:sz="6" w:space="0" w:color="000000"/>
            </w:tcBorders>
            <w:shd w:val="clear" w:color="auto" w:fill="FFFFFF"/>
            <w:tcMar>
              <w:top w:w="0" w:type="dxa"/>
              <w:left w:w="40" w:type="dxa"/>
              <w:bottom w:w="0" w:type="dxa"/>
              <w:right w:w="40" w:type="dxa"/>
            </w:tcMar>
            <w:vAlign w:val="center"/>
          </w:tcPr>
          <w:p w14:paraId="000000F8"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Souhrn povinných podmínek poskytování podpory v rámci úspor energie</w:t>
            </w:r>
          </w:p>
        </w:tc>
        <w:tc>
          <w:tcPr>
            <w:tcW w:w="4320" w:type="dxa"/>
            <w:tcBorders>
              <w:top w:val="nil"/>
              <w:left w:val="nil"/>
              <w:bottom w:val="single" w:sz="4" w:space="0" w:color="000000"/>
              <w:right w:val="single" w:sz="6" w:space="0" w:color="000000"/>
            </w:tcBorders>
            <w:shd w:val="clear" w:color="auto" w:fill="auto"/>
            <w:tcMar>
              <w:top w:w="0" w:type="dxa"/>
              <w:left w:w="40" w:type="dxa"/>
              <w:bottom w:w="0" w:type="dxa"/>
              <w:right w:w="40" w:type="dxa"/>
            </w:tcMar>
            <w:vAlign w:val="center"/>
          </w:tcPr>
          <w:p w14:paraId="000000F9"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 xml:space="preserve">Na základě </w:t>
            </w:r>
            <w:proofErr w:type="spellStart"/>
            <w:r w:rsidRPr="00800799">
              <w:rPr>
                <w:sz w:val="20"/>
                <w:szCs w:val="20"/>
              </w:rPr>
              <w:t>kick-off</w:t>
            </w:r>
            <w:proofErr w:type="spellEnd"/>
            <w:r w:rsidRPr="00800799">
              <w:rPr>
                <w:sz w:val="20"/>
                <w:szCs w:val="20"/>
              </w:rPr>
              <w:t xml:space="preserve"> schůzky</w:t>
            </w:r>
          </w:p>
        </w:tc>
      </w:tr>
      <w:tr w:rsidR="00054D27" w:rsidRPr="00800799" w14:paraId="21DE0797" w14:textId="77777777">
        <w:trPr>
          <w:trHeight w:val="46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00000FA" w14:textId="77777777" w:rsidR="00054D27" w:rsidRPr="00800799" w:rsidRDefault="00AF622A">
            <w:pPr>
              <w:widowControl w:val="0"/>
              <w:spacing w:line="276" w:lineRule="auto"/>
              <w:jc w:val="center"/>
              <w:rPr>
                <w:rFonts w:ascii="Arial" w:eastAsia="Arial" w:hAnsi="Arial" w:cs="Arial"/>
                <w:sz w:val="20"/>
                <w:szCs w:val="20"/>
              </w:rPr>
            </w:pPr>
            <w:r w:rsidRPr="00800799">
              <w:rPr>
                <w:sz w:val="20"/>
                <w:szCs w:val="20"/>
              </w:rPr>
              <w:t>8</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00000FB"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Aktuální monitorovací zprávy finančních nástrojů OP PIK (čtvrtletní, pololetní)</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00000FC"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 xml:space="preserve">Na základě </w:t>
            </w:r>
            <w:proofErr w:type="spellStart"/>
            <w:r w:rsidRPr="00800799">
              <w:rPr>
                <w:sz w:val="20"/>
                <w:szCs w:val="20"/>
              </w:rPr>
              <w:t>kick-off</w:t>
            </w:r>
            <w:proofErr w:type="spellEnd"/>
            <w:r w:rsidRPr="00800799">
              <w:rPr>
                <w:sz w:val="20"/>
                <w:szCs w:val="20"/>
              </w:rPr>
              <w:t xml:space="preserve"> schůzky</w:t>
            </w:r>
          </w:p>
        </w:tc>
      </w:tr>
      <w:tr w:rsidR="00054D27" w:rsidRPr="00800799" w14:paraId="5DD60159" w14:textId="77777777">
        <w:trPr>
          <w:trHeight w:val="465"/>
        </w:trPr>
        <w:tc>
          <w:tcPr>
            <w:tcW w:w="435" w:type="dxa"/>
            <w:tcBorders>
              <w:top w:val="single" w:sz="4"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FD" w14:textId="77777777" w:rsidR="00054D27" w:rsidRPr="00800799" w:rsidRDefault="00AF622A">
            <w:pPr>
              <w:widowControl w:val="0"/>
              <w:spacing w:line="276" w:lineRule="auto"/>
              <w:jc w:val="center"/>
              <w:rPr>
                <w:rFonts w:ascii="Arial" w:eastAsia="Arial" w:hAnsi="Arial" w:cs="Arial"/>
                <w:sz w:val="20"/>
                <w:szCs w:val="20"/>
              </w:rPr>
            </w:pPr>
            <w:r w:rsidRPr="00800799">
              <w:rPr>
                <w:sz w:val="20"/>
                <w:szCs w:val="20"/>
              </w:rPr>
              <w:t>9</w:t>
            </w:r>
          </w:p>
        </w:tc>
        <w:tc>
          <w:tcPr>
            <w:tcW w:w="4560" w:type="dxa"/>
            <w:tcBorders>
              <w:top w:val="single" w:sz="4" w:space="0" w:color="000000"/>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000000FE"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Statistika o podpořených projektech výzev ICT a sdílené služby zaměřených na datová centra a výzvy Poradenství pro vodní audity</w:t>
            </w:r>
          </w:p>
        </w:tc>
        <w:tc>
          <w:tcPr>
            <w:tcW w:w="4320" w:type="dxa"/>
            <w:tcBorders>
              <w:top w:val="single" w:sz="4" w:space="0" w:color="000000"/>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000000FF" w14:textId="77777777" w:rsidR="00054D27" w:rsidRPr="00800799" w:rsidRDefault="00AF622A">
            <w:pPr>
              <w:widowControl w:val="0"/>
              <w:spacing w:line="276" w:lineRule="auto"/>
              <w:rPr>
                <w:rFonts w:ascii="Arial" w:eastAsia="Arial" w:hAnsi="Arial" w:cs="Arial"/>
                <w:sz w:val="20"/>
                <w:szCs w:val="20"/>
              </w:rPr>
            </w:pPr>
            <w:r w:rsidRPr="00800799">
              <w:rPr>
                <w:sz w:val="20"/>
                <w:szCs w:val="20"/>
              </w:rPr>
              <w:t>Na základě projektového status meetingu</w:t>
            </w:r>
          </w:p>
        </w:tc>
      </w:tr>
    </w:tbl>
    <w:p w14:paraId="00000100" w14:textId="77777777" w:rsidR="00054D27" w:rsidRPr="00800799" w:rsidRDefault="00054D27">
      <w:pPr>
        <w:rPr>
          <w:sz w:val="20"/>
          <w:szCs w:val="20"/>
        </w:rPr>
      </w:pPr>
    </w:p>
    <w:p w14:paraId="00000101" w14:textId="77777777" w:rsidR="00054D27" w:rsidRPr="00800799" w:rsidRDefault="00AF622A">
      <w:pPr>
        <w:rPr>
          <w:sz w:val="20"/>
          <w:szCs w:val="20"/>
        </w:rPr>
      </w:pPr>
      <w:r w:rsidRPr="00800799">
        <w:rPr>
          <w:sz w:val="20"/>
          <w:szCs w:val="20"/>
        </w:rPr>
        <w:t>Všechny dosavadní požadavky na data byly ze strany MPO splněny.</w:t>
      </w:r>
    </w:p>
    <w:p w14:paraId="00000102" w14:textId="77777777" w:rsidR="00054D27" w:rsidRPr="00800799" w:rsidRDefault="00AF622A">
      <w:pPr>
        <w:pStyle w:val="Nadpis2"/>
        <w:numPr>
          <w:ilvl w:val="0"/>
          <w:numId w:val="18"/>
        </w:numPr>
        <w:rPr>
          <w:b/>
          <w:color w:val="D04A02"/>
          <w:sz w:val="28"/>
          <w:szCs w:val="28"/>
        </w:rPr>
      </w:pPr>
      <w:bookmarkStart w:id="28" w:name="_27y262lpp1y"/>
      <w:bookmarkStart w:id="29" w:name="_Toc90364546"/>
      <w:bookmarkStart w:id="30" w:name="_Toc89232791"/>
      <w:bookmarkStart w:id="31" w:name="_Toc89067091"/>
      <w:bookmarkEnd w:id="28"/>
      <w:r w:rsidRPr="00800799">
        <w:rPr>
          <w:b/>
          <w:color w:val="D04A02"/>
          <w:sz w:val="28"/>
          <w:szCs w:val="28"/>
        </w:rPr>
        <w:t>Zřízení monitorovacích a komunikačních kanálů</w:t>
      </w:r>
      <w:bookmarkEnd w:id="29"/>
      <w:bookmarkEnd w:id="30"/>
      <w:bookmarkEnd w:id="31"/>
    </w:p>
    <w:p w14:paraId="00000103" w14:textId="74E31F82" w:rsidR="00054D27" w:rsidRPr="00676862" w:rsidRDefault="00AF622A">
      <w:pPr>
        <w:spacing w:before="240" w:after="180"/>
        <w:jc w:val="both"/>
        <w:rPr>
          <w:sz w:val="20"/>
          <w:szCs w:val="20"/>
        </w:rPr>
      </w:pPr>
      <w:r w:rsidRPr="00800799">
        <w:rPr>
          <w:b/>
          <w:sz w:val="20"/>
          <w:szCs w:val="20"/>
        </w:rPr>
        <w:t>Komunikace</w:t>
      </w:r>
      <w:r w:rsidRPr="00800799">
        <w:rPr>
          <w:sz w:val="20"/>
          <w:szCs w:val="20"/>
        </w:rPr>
        <w:t xml:space="preserve"> je u tohoto typu projektů, kde je zapojeno velké množství subjektů, hlavním aspektem, který ovlivňuje celkovou úspěšnost realizace projektu. Jedná se jak o komunikaci mezi Dodavatelem a Zadavatelem, Dodavatelem a relevantními externími subjekty (relevantní asociace finančních institucí, </w:t>
      </w:r>
      <w:r w:rsidR="00600F43" w:rsidRPr="00800799">
        <w:rPr>
          <w:sz w:val="20"/>
          <w:szCs w:val="20"/>
        </w:rPr>
        <w:t>NRB</w:t>
      </w:r>
      <w:r w:rsidRPr="00800799">
        <w:rPr>
          <w:sz w:val="20"/>
          <w:szCs w:val="20"/>
        </w:rPr>
        <w:t xml:space="preserve">, EIB, soukromoprávní subjekty), tak o komunikaci v rámci projektového týmu Dodavatele. Pro zajištění </w:t>
      </w:r>
      <w:r w:rsidRPr="00C77291">
        <w:rPr>
          <w:sz w:val="20"/>
          <w:szCs w:val="20"/>
        </w:rPr>
        <w:t>hladké spolupráce v rámci projektového týmu bude nastaven systém pravidelných schůzek. V rámci těchto schůzek budou diskutovány hlavní otázky tý</w:t>
      </w:r>
      <w:r w:rsidRPr="00952825">
        <w:rPr>
          <w:sz w:val="20"/>
          <w:szCs w:val="20"/>
        </w:rPr>
        <w:t>kající se realizace zakázky – realizované aktivity, závislosti a návaznosti jednotlivých aktivit, plány činností na následující období včetně finančních otázek, případná rizika, výstupy předkládané Zadavateli apod. Konkrétní zaměření, účastníci jednání a f</w:t>
      </w:r>
      <w:r w:rsidRPr="00676862">
        <w:rPr>
          <w:sz w:val="20"/>
          <w:szCs w:val="20"/>
        </w:rPr>
        <w:t>rekvence těchto jednání bude odlišná dle typu jednání.</w:t>
      </w:r>
    </w:p>
    <w:p w14:paraId="00000104" w14:textId="77777777" w:rsidR="00054D27" w:rsidRPr="00676862" w:rsidRDefault="00AF622A">
      <w:pPr>
        <w:spacing w:before="240" w:after="240"/>
        <w:rPr>
          <w:sz w:val="20"/>
          <w:szCs w:val="20"/>
        </w:rPr>
      </w:pPr>
      <w:r w:rsidRPr="00676862">
        <w:rPr>
          <w:sz w:val="20"/>
          <w:szCs w:val="20"/>
        </w:rPr>
        <w:lastRenderedPageBreak/>
        <w:t xml:space="preserve">Na níže uvedeném obrázku znázorňujeme typy jednání včetně jejich frekvence a účastníků. </w:t>
      </w:r>
    </w:p>
    <w:p w14:paraId="00000105" w14:textId="77777777" w:rsidR="00054D27" w:rsidRPr="00800799" w:rsidRDefault="00AF622A">
      <w:pPr>
        <w:spacing w:before="240" w:after="240"/>
        <w:rPr>
          <w:sz w:val="20"/>
          <w:szCs w:val="20"/>
        </w:rPr>
      </w:pPr>
      <w:r w:rsidRPr="00800799">
        <w:rPr>
          <w:sz w:val="20"/>
          <w:szCs w:val="20"/>
        </w:rPr>
        <w:t xml:space="preserve">K datu zpracování této zprávy byly provedeny celkem tři schůzky projektového týmu včetně </w:t>
      </w:r>
      <w:proofErr w:type="spellStart"/>
      <w:r w:rsidRPr="00800799">
        <w:rPr>
          <w:sz w:val="20"/>
          <w:szCs w:val="20"/>
        </w:rPr>
        <w:t>kick-off</w:t>
      </w:r>
      <w:proofErr w:type="spellEnd"/>
      <w:r w:rsidRPr="00800799">
        <w:rPr>
          <w:sz w:val="20"/>
          <w:szCs w:val="20"/>
        </w:rPr>
        <w:t xml:space="preserve"> meetingu.</w:t>
      </w:r>
    </w:p>
    <w:p w14:paraId="00000106" w14:textId="77777777" w:rsidR="00054D27" w:rsidRPr="00800799" w:rsidRDefault="00AF622A">
      <w:pPr>
        <w:spacing w:before="240" w:after="240"/>
        <w:rPr>
          <w:sz w:val="20"/>
          <w:szCs w:val="20"/>
        </w:rPr>
      </w:pPr>
      <w:r w:rsidRPr="00800799">
        <w:rPr>
          <w:noProof/>
          <w:sz w:val="20"/>
          <w:szCs w:val="20"/>
        </w:rPr>
        <w:drawing>
          <wp:inline distT="114300" distB="114300" distL="114300" distR="114300" wp14:anchorId="25FBD674" wp14:editId="495EE2C0">
            <wp:extent cx="5819775" cy="2333625"/>
            <wp:effectExtent l="0" t="0" r="0" b="0"/>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819775" cy="2333625"/>
                    </a:xfrm>
                    <a:prstGeom prst="rect">
                      <a:avLst/>
                    </a:prstGeom>
                    <a:ln/>
                  </pic:spPr>
                </pic:pic>
              </a:graphicData>
            </a:graphic>
          </wp:inline>
        </w:drawing>
      </w:r>
    </w:p>
    <w:p w14:paraId="00000107" w14:textId="2BB40393" w:rsidR="00054D27" w:rsidRPr="00800799" w:rsidRDefault="00AF622A">
      <w:pPr>
        <w:pStyle w:val="Nadpis2"/>
        <w:numPr>
          <w:ilvl w:val="0"/>
          <w:numId w:val="18"/>
        </w:numPr>
        <w:rPr>
          <w:b/>
          <w:color w:val="D04A02"/>
          <w:sz w:val="28"/>
          <w:szCs w:val="28"/>
        </w:rPr>
      </w:pPr>
      <w:bookmarkStart w:id="32" w:name="_iqldsbz21r3s"/>
      <w:bookmarkStart w:id="33" w:name="_Toc90364547"/>
      <w:bookmarkStart w:id="34" w:name="_Toc89232792"/>
      <w:bookmarkStart w:id="35" w:name="_Toc89067092"/>
      <w:bookmarkEnd w:id="32"/>
      <w:r w:rsidRPr="00800799">
        <w:rPr>
          <w:b/>
          <w:color w:val="D04A02"/>
          <w:sz w:val="28"/>
          <w:szCs w:val="28"/>
        </w:rPr>
        <w:t>Nastavení komunikace mezi členy týmu na obou stranách a zajištění jejich zapojení do realizace projektu</w:t>
      </w:r>
      <w:bookmarkEnd w:id="33"/>
      <w:bookmarkEnd w:id="34"/>
      <w:bookmarkEnd w:id="35"/>
    </w:p>
    <w:p w14:paraId="00000108" w14:textId="755A060A" w:rsidR="00054D27" w:rsidRPr="00676862" w:rsidRDefault="00AF622A">
      <w:pPr>
        <w:pBdr>
          <w:top w:val="nil"/>
          <w:left w:val="nil"/>
          <w:bottom w:val="nil"/>
          <w:right w:val="nil"/>
          <w:between w:val="nil"/>
        </w:pBdr>
        <w:spacing w:before="240" w:after="180"/>
        <w:jc w:val="both"/>
        <w:rPr>
          <w:sz w:val="20"/>
          <w:szCs w:val="20"/>
        </w:rPr>
      </w:pPr>
      <w:r w:rsidRPr="00C77291">
        <w:rPr>
          <w:sz w:val="20"/>
          <w:szCs w:val="20"/>
        </w:rPr>
        <w:t xml:space="preserve">Základním pilířem spolupráce se Zadavatelem a dalšími dotčenými subjekty je </w:t>
      </w:r>
      <w:r w:rsidRPr="00952825">
        <w:rPr>
          <w:b/>
          <w:sz w:val="20"/>
          <w:szCs w:val="20"/>
        </w:rPr>
        <w:t>pravidelná komunikace</w:t>
      </w:r>
      <w:r w:rsidRPr="00952825">
        <w:rPr>
          <w:sz w:val="20"/>
          <w:szCs w:val="20"/>
        </w:rPr>
        <w:t xml:space="preserve"> (e-mailová, telefonická a prostřednictvím online te</w:t>
      </w:r>
      <w:r w:rsidRPr="00381528">
        <w:rPr>
          <w:sz w:val="20"/>
          <w:szCs w:val="20"/>
        </w:rPr>
        <w:t>chnologií) při prováděn</w:t>
      </w:r>
      <w:r w:rsidRPr="00676862">
        <w:rPr>
          <w:sz w:val="20"/>
          <w:szCs w:val="20"/>
        </w:rPr>
        <w:t>í každodenních činností v rámci realizace zakázky.</w:t>
      </w:r>
    </w:p>
    <w:p w14:paraId="00000109" w14:textId="3C6CECB4" w:rsidR="00054D27" w:rsidRPr="00C77291" w:rsidRDefault="00AF622A">
      <w:pPr>
        <w:pBdr>
          <w:top w:val="nil"/>
          <w:left w:val="nil"/>
          <w:bottom w:val="nil"/>
          <w:right w:val="nil"/>
          <w:between w:val="nil"/>
        </w:pBdr>
        <w:spacing w:before="240" w:after="180"/>
        <w:jc w:val="both"/>
        <w:rPr>
          <w:sz w:val="20"/>
          <w:szCs w:val="20"/>
        </w:rPr>
      </w:pPr>
      <w:r w:rsidRPr="00676862">
        <w:rPr>
          <w:sz w:val="20"/>
          <w:szCs w:val="20"/>
        </w:rPr>
        <w:t xml:space="preserve">Dalším pilířem </w:t>
      </w:r>
      <w:r w:rsidRPr="00800799">
        <w:rPr>
          <w:sz w:val="20"/>
          <w:szCs w:val="20"/>
        </w:rPr>
        <w:t xml:space="preserve">jsou </w:t>
      </w:r>
      <w:r w:rsidR="00FF79F7" w:rsidRPr="00800799">
        <w:rPr>
          <w:sz w:val="20"/>
          <w:szCs w:val="20"/>
        </w:rPr>
        <w:t xml:space="preserve">jednání </w:t>
      </w:r>
      <w:r w:rsidRPr="00800799">
        <w:rPr>
          <w:sz w:val="20"/>
          <w:szCs w:val="20"/>
        </w:rPr>
        <w:t xml:space="preserve">projektového týmu. Tato jednání jsou realizována v týdenních intervalech. </w:t>
      </w:r>
    </w:p>
    <w:p w14:paraId="0000010A" w14:textId="77777777" w:rsidR="00054D27" w:rsidRPr="00800799" w:rsidRDefault="00AF622A">
      <w:pPr>
        <w:spacing w:before="240" w:after="180"/>
        <w:jc w:val="both"/>
        <w:rPr>
          <w:sz w:val="20"/>
          <w:szCs w:val="20"/>
        </w:rPr>
      </w:pPr>
      <w:r w:rsidRPr="00952825">
        <w:rPr>
          <w:sz w:val="20"/>
          <w:szCs w:val="20"/>
        </w:rPr>
        <w:t xml:space="preserve">Dalším pilířem budou jednání </w:t>
      </w:r>
      <w:r w:rsidRPr="00952825">
        <w:rPr>
          <w:b/>
          <w:sz w:val="20"/>
          <w:szCs w:val="20"/>
        </w:rPr>
        <w:t>Řídícího výboru</w:t>
      </w:r>
      <w:r w:rsidRPr="00952825">
        <w:rPr>
          <w:sz w:val="20"/>
          <w:szCs w:val="20"/>
        </w:rPr>
        <w:t xml:space="preserve"> zakázky. Cílem těchto jednání bude informování Zadavate</w:t>
      </w:r>
      <w:r w:rsidRPr="00381528">
        <w:rPr>
          <w:sz w:val="20"/>
          <w:szCs w:val="20"/>
        </w:rPr>
        <w:t>le o celkovém pokroku realizace zakázky a o stanovených plánech. Zároveň budou v rámci jednání řídícího výboru projednávány otázky týkající se směřování průběžných a finálních výstupů projektu. Navrhu</w:t>
      </w:r>
      <w:r w:rsidRPr="00676862">
        <w:rPr>
          <w:sz w:val="20"/>
          <w:szCs w:val="20"/>
        </w:rPr>
        <w:t>jeme, aby se řídící výbor scházel při ukončení každé etapy realizace projektu. Nicméně je možné dle požadavků Zadavatele tuto frekvenci změnit. Obsahem jednání řídícího výboru bude vždy výměna informací o:</w:t>
      </w:r>
    </w:p>
    <w:p w14:paraId="0000010B" w14:textId="77777777" w:rsidR="00054D27" w:rsidRPr="00800799" w:rsidRDefault="00AF622A">
      <w:pPr>
        <w:numPr>
          <w:ilvl w:val="0"/>
          <w:numId w:val="16"/>
        </w:numPr>
        <w:rPr>
          <w:sz w:val="20"/>
          <w:szCs w:val="20"/>
        </w:rPr>
      </w:pPr>
      <w:r w:rsidRPr="00800799">
        <w:rPr>
          <w:sz w:val="20"/>
          <w:szCs w:val="20"/>
        </w:rPr>
        <w:t>Současném stavu realizace veřejné zakázky.</w:t>
      </w:r>
    </w:p>
    <w:p w14:paraId="0000010C" w14:textId="77777777" w:rsidR="00054D27" w:rsidRPr="00800799" w:rsidRDefault="00AF622A">
      <w:pPr>
        <w:numPr>
          <w:ilvl w:val="0"/>
          <w:numId w:val="16"/>
        </w:numPr>
        <w:rPr>
          <w:sz w:val="20"/>
          <w:szCs w:val="20"/>
        </w:rPr>
      </w:pPr>
      <w:r w:rsidRPr="00800799">
        <w:rPr>
          <w:sz w:val="20"/>
          <w:szCs w:val="20"/>
        </w:rPr>
        <w:t>Zhodnocení již realizovaných činností včetně zhodnocení plnění finančního plánu.</w:t>
      </w:r>
    </w:p>
    <w:p w14:paraId="0000010D" w14:textId="77777777" w:rsidR="00054D27" w:rsidRPr="00800799" w:rsidRDefault="00AF622A">
      <w:pPr>
        <w:numPr>
          <w:ilvl w:val="0"/>
          <w:numId w:val="16"/>
        </w:numPr>
        <w:rPr>
          <w:sz w:val="20"/>
          <w:szCs w:val="20"/>
        </w:rPr>
      </w:pPr>
      <w:r w:rsidRPr="00800799">
        <w:rPr>
          <w:sz w:val="20"/>
          <w:szCs w:val="20"/>
        </w:rPr>
        <w:t>Plánovaných aktivitách na následující období.</w:t>
      </w:r>
    </w:p>
    <w:p w14:paraId="0000010E" w14:textId="77777777" w:rsidR="00054D27" w:rsidRPr="00800799" w:rsidRDefault="00AF622A">
      <w:pPr>
        <w:numPr>
          <w:ilvl w:val="0"/>
          <w:numId w:val="16"/>
        </w:numPr>
        <w:rPr>
          <w:sz w:val="20"/>
          <w:szCs w:val="20"/>
        </w:rPr>
      </w:pPr>
      <w:r w:rsidRPr="00800799">
        <w:rPr>
          <w:sz w:val="20"/>
          <w:szCs w:val="20"/>
        </w:rPr>
        <w:t>Problémových oblastech a identifikovaných rizicích.</w:t>
      </w:r>
    </w:p>
    <w:p w14:paraId="0000010F" w14:textId="77777777" w:rsidR="00054D27" w:rsidRPr="00800799" w:rsidRDefault="00AF622A">
      <w:pPr>
        <w:pStyle w:val="Nadpis2"/>
        <w:numPr>
          <w:ilvl w:val="0"/>
          <w:numId w:val="18"/>
        </w:numPr>
        <w:spacing w:after="0"/>
        <w:rPr>
          <w:b/>
          <w:color w:val="D04A02"/>
          <w:sz w:val="28"/>
          <w:szCs w:val="28"/>
        </w:rPr>
      </w:pPr>
      <w:bookmarkStart w:id="36" w:name="_n9vjbaj8uyj"/>
      <w:bookmarkStart w:id="37" w:name="_Toc90364548"/>
      <w:bookmarkStart w:id="38" w:name="_Toc89232793"/>
      <w:bookmarkStart w:id="39" w:name="_Toc89067093"/>
      <w:bookmarkEnd w:id="36"/>
      <w:r w:rsidRPr="00800799">
        <w:rPr>
          <w:b/>
          <w:color w:val="D04A02"/>
          <w:sz w:val="28"/>
          <w:szCs w:val="28"/>
        </w:rPr>
        <w:t>Upřesnění metodiky a očekávaných cílů a výstupů projektu</w:t>
      </w:r>
      <w:bookmarkEnd w:id="37"/>
      <w:bookmarkEnd w:id="38"/>
      <w:bookmarkEnd w:id="39"/>
    </w:p>
    <w:p w14:paraId="00000110" w14:textId="77777777" w:rsidR="00054D27" w:rsidRPr="00800799" w:rsidRDefault="00AF622A">
      <w:pPr>
        <w:pStyle w:val="Nadpis3"/>
        <w:numPr>
          <w:ilvl w:val="1"/>
          <w:numId w:val="18"/>
        </w:numPr>
        <w:spacing w:before="0"/>
        <w:rPr>
          <w:color w:val="D04A02"/>
          <w:sz w:val="24"/>
          <w:szCs w:val="24"/>
        </w:rPr>
      </w:pPr>
      <w:bookmarkStart w:id="40" w:name="_80tg6p38vedp"/>
      <w:bookmarkStart w:id="41" w:name="_Toc90364549"/>
      <w:bookmarkStart w:id="42" w:name="_Toc89232794"/>
      <w:bookmarkStart w:id="43" w:name="_Toc89067094"/>
      <w:bookmarkEnd w:id="40"/>
      <w:r w:rsidRPr="00800799">
        <w:rPr>
          <w:color w:val="D04A02"/>
          <w:sz w:val="24"/>
          <w:szCs w:val="24"/>
        </w:rPr>
        <w:t>Vstupní analýza</w:t>
      </w:r>
      <w:bookmarkEnd w:id="41"/>
      <w:bookmarkEnd w:id="42"/>
      <w:bookmarkEnd w:id="43"/>
    </w:p>
    <w:p w14:paraId="00000111" w14:textId="77777777" w:rsidR="00054D27" w:rsidRPr="00800799" w:rsidRDefault="00AF622A">
      <w:pPr>
        <w:spacing w:before="240" w:after="180"/>
        <w:rPr>
          <w:sz w:val="20"/>
          <w:szCs w:val="20"/>
        </w:rPr>
      </w:pPr>
      <w:r w:rsidRPr="00800799">
        <w:rPr>
          <w:sz w:val="20"/>
          <w:szCs w:val="20"/>
        </w:rPr>
        <w:t>Tato etapa sestává z následujících čtyř kroků:</w:t>
      </w:r>
    </w:p>
    <w:p w14:paraId="00000112" w14:textId="77777777" w:rsidR="00054D27" w:rsidRPr="00800799" w:rsidRDefault="00AF622A">
      <w:pPr>
        <w:numPr>
          <w:ilvl w:val="0"/>
          <w:numId w:val="22"/>
        </w:numPr>
        <w:spacing w:before="240"/>
        <w:jc w:val="both"/>
        <w:rPr>
          <w:sz w:val="20"/>
          <w:szCs w:val="20"/>
        </w:rPr>
      </w:pPr>
      <w:r w:rsidRPr="00800799">
        <w:rPr>
          <w:sz w:val="20"/>
          <w:szCs w:val="20"/>
        </w:rPr>
        <w:lastRenderedPageBreak/>
        <w:t>Příprava detailního projektového plánu, nastavení komunikace, akceptace, plánování pravidelných meetingů</w:t>
      </w:r>
    </w:p>
    <w:p w14:paraId="00000113" w14:textId="77777777" w:rsidR="00054D27" w:rsidRPr="00800799" w:rsidRDefault="00AF622A">
      <w:pPr>
        <w:numPr>
          <w:ilvl w:val="0"/>
          <w:numId w:val="22"/>
        </w:numPr>
        <w:jc w:val="both"/>
        <w:rPr>
          <w:sz w:val="20"/>
          <w:szCs w:val="20"/>
        </w:rPr>
      </w:pPr>
      <w:r w:rsidRPr="00800799">
        <w:rPr>
          <w:sz w:val="20"/>
          <w:szCs w:val="20"/>
        </w:rPr>
        <w:t xml:space="preserve">Příprava data </w:t>
      </w:r>
      <w:proofErr w:type="spellStart"/>
      <w:r w:rsidRPr="00800799">
        <w:rPr>
          <w:sz w:val="20"/>
          <w:szCs w:val="20"/>
        </w:rPr>
        <w:t>request</w:t>
      </w:r>
      <w:proofErr w:type="spellEnd"/>
      <w:r w:rsidRPr="00800799">
        <w:rPr>
          <w:sz w:val="20"/>
          <w:szCs w:val="20"/>
        </w:rPr>
        <w:t xml:space="preserve"> list a sdílení podkladů</w:t>
      </w:r>
    </w:p>
    <w:p w14:paraId="00000114" w14:textId="77777777" w:rsidR="00054D27" w:rsidRPr="00800799" w:rsidRDefault="00AF622A">
      <w:pPr>
        <w:numPr>
          <w:ilvl w:val="0"/>
          <w:numId w:val="22"/>
        </w:numPr>
        <w:jc w:val="both"/>
        <w:rPr>
          <w:sz w:val="20"/>
          <w:szCs w:val="20"/>
        </w:rPr>
      </w:pPr>
      <w:r w:rsidRPr="00800799">
        <w:rPr>
          <w:sz w:val="20"/>
          <w:szCs w:val="20"/>
        </w:rPr>
        <w:t>Strukturované rozhovory s experty Zadavatele</w:t>
      </w:r>
    </w:p>
    <w:p w14:paraId="00000115" w14:textId="77777777" w:rsidR="00054D27" w:rsidRPr="00800799" w:rsidRDefault="00AF622A">
      <w:pPr>
        <w:numPr>
          <w:ilvl w:val="0"/>
          <w:numId w:val="22"/>
        </w:numPr>
        <w:spacing w:after="180"/>
        <w:jc w:val="both"/>
        <w:rPr>
          <w:sz w:val="20"/>
          <w:szCs w:val="20"/>
        </w:rPr>
      </w:pPr>
      <w:r w:rsidRPr="00800799">
        <w:rPr>
          <w:sz w:val="20"/>
          <w:szCs w:val="20"/>
        </w:rPr>
        <w:t xml:space="preserve">Příprava Vstupní zprávy a prezentace pro </w:t>
      </w:r>
      <w:proofErr w:type="spellStart"/>
      <w:r w:rsidRPr="00800799">
        <w:rPr>
          <w:sz w:val="20"/>
          <w:szCs w:val="20"/>
        </w:rPr>
        <w:t>steering</w:t>
      </w:r>
      <w:proofErr w:type="spellEnd"/>
      <w:r w:rsidRPr="00800799">
        <w:rPr>
          <w:sz w:val="20"/>
          <w:szCs w:val="20"/>
        </w:rPr>
        <w:t xml:space="preserve"> </w:t>
      </w:r>
      <w:proofErr w:type="spellStart"/>
      <w:r w:rsidRPr="00800799">
        <w:rPr>
          <w:sz w:val="20"/>
          <w:szCs w:val="20"/>
        </w:rPr>
        <w:t>committee</w:t>
      </w:r>
      <w:proofErr w:type="spellEnd"/>
    </w:p>
    <w:p w14:paraId="00000116" w14:textId="77777777" w:rsidR="00054D27" w:rsidRPr="00800799" w:rsidRDefault="00AF622A">
      <w:pPr>
        <w:spacing w:before="240"/>
        <w:rPr>
          <w:b/>
          <w:color w:val="D04A02"/>
          <w:sz w:val="20"/>
          <w:szCs w:val="20"/>
        </w:rPr>
      </w:pPr>
      <w:r w:rsidRPr="00800799">
        <w:rPr>
          <w:b/>
          <w:color w:val="D04A02"/>
          <w:sz w:val="20"/>
          <w:szCs w:val="20"/>
        </w:rPr>
        <w:t>Klíčové výstupy z I. etapy, shrnuté do Vstupní zprávy:</w:t>
      </w:r>
    </w:p>
    <w:p w14:paraId="00000117" w14:textId="77777777" w:rsidR="00054D27" w:rsidRPr="00800799" w:rsidRDefault="00AF622A">
      <w:pPr>
        <w:numPr>
          <w:ilvl w:val="0"/>
          <w:numId w:val="10"/>
        </w:numPr>
        <w:jc w:val="both"/>
        <w:rPr>
          <w:sz w:val="20"/>
          <w:szCs w:val="20"/>
        </w:rPr>
      </w:pPr>
      <w:r w:rsidRPr="00800799">
        <w:rPr>
          <w:sz w:val="20"/>
          <w:szCs w:val="20"/>
        </w:rPr>
        <w:t>Ustanovení týmu na straně Dodavatele a na straně Zadavatele, včetně specifikace zastupitelnosti.</w:t>
      </w:r>
    </w:p>
    <w:p w14:paraId="00000118" w14:textId="77777777" w:rsidR="00054D27" w:rsidRPr="00800799" w:rsidRDefault="00AF622A">
      <w:pPr>
        <w:numPr>
          <w:ilvl w:val="0"/>
          <w:numId w:val="10"/>
        </w:numPr>
        <w:jc w:val="both"/>
        <w:rPr>
          <w:sz w:val="20"/>
          <w:szCs w:val="20"/>
        </w:rPr>
      </w:pPr>
      <w:r w:rsidRPr="00800799">
        <w:rPr>
          <w:sz w:val="20"/>
          <w:szCs w:val="20"/>
        </w:rPr>
        <w:t xml:space="preserve">Detailní projektový </w:t>
      </w:r>
      <w:proofErr w:type="gramStart"/>
      <w:r w:rsidRPr="00800799">
        <w:rPr>
          <w:sz w:val="20"/>
          <w:szCs w:val="20"/>
        </w:rPr>
        <w:t>plán - rozdělení</w:t>
      </w:r>
      <w:proofErr w:type="gramEnd"/>
      <w:r w:rsidRPr="00800799">
        <w:rPr>
          <w:sz w:val="20"/>
          <w:szCs w:val="20"/>
        </w:rPr>
        <w:t xml:space="preserve"> úkolů a odpovědností v rámci projektového týmu.</w:t>
      </w:r>
    </w:p>
    <w:p w14:paraId="00000119" w14:textId="77777777" w:rsidR="00054D27" w:rsidRPr="00800799" w:rsidRDefault="00AF622A">
      <w:pPr>
        <w:numPr>
          <w:ilvl w:val="0"/>
          <w:numId w:val="10"/>
        </w:numPr>
        <w:jc w:val="both"/>
        <w:rPr>
          <w:sz w:val="20"/>
          <w:szCs w:val="20"/>
        </w:rPr>
      </w:pPr>
      <w:r w:rsidRPr="00800799">
        <w:rPr>
          <w:sz w:val="20"/>
          <w:szCs w:val="20"/>
        </w:rPr>
        <w:t xml:space="preserve">Data </w:t>
      </w:r>
      <w:proofErr w:type="spellStart"/>
      <w:r w:rsidRPr="00800799">
        <w:rPr>
          <w:sz w:val="20"/>
          <w:szCs w:val="20"/>
        </w:rPr>
        <w:t>request</w:t>
      </w:r>
      <w:proofErr w:type="spellEnd"/>
      <w:r w:rsidRPr="00800799">
        <w:rPr>
          <w:sz w:val="20"/>
          <w:szCs w:val="20"/>
        </w:rPr>
        <w:t xml:space="preserve"> list</w:t>
      </w:r>
    </w:p>
    <w:p w14:paraId="0000011A" w14:textId="77777777" w:rsidR="00054D27" w:rsidRPr="00800799" w:rsidRDefault="00AF622A">
      <w:pPr>
        <w:numPr>
          <w:ilvl w:val="0"/>
          <w:numId w:val="10"/>
        </w:numPr>
        <w:jc w:val="both"/>
        <w:rPr>
          <w:sz w:val="20"/>
          <w:szCs w:val="20"/>
        </w:rPr>
      </w:pPr>
      <w:r w:rsidRPr="00800799">
        <w:rPr>
          <w:sz w:val="20"/>
          <w:szCs w:val="20"/>
        </w:rPr>
        <w:t>Zřízení monitorovacích a komunikačních kanálů</w:t>
      </w:r>
    </w:p>
    <w:p w14:paraId="0000011B" w14:textId="77777777" w:rsidR="00054D27" w:rsidRPr="00800799" w:rsidRDefault="00AF622A">
      <w:pPr>
        <w:numPr>
          <w:ilvl w:val="0"/>
          <w:numId w:val="10"/>
        </w:numPr>
        <w:jc w:val="both"/>
        <w:rPr>
          <w:sz w:val="20"/>
          <w:szCs w:val="20"/>
        </w:rPr>
      </w:pPr>
      <w:r w:rsidRPr="00800799">
        <w:rPr>
          <w:sz w:val="20"/>
          <w:szCs w:val="20"/>
        </w:rPr>
        <w:t>Nastavení komunikace mezi členy týmu na obou stranách a zajištění jejich zapojení do realizace projektu.</w:t>
      </w:r>
    </w:p>
    <w:p w14:paraId="0000011C" w14:textId="77777777" w:rsidR="00054D27" w:rsidRPr="00800799" w:rsidRDefault="00AF622A">
      <w:pPr>
        <w:numPr>
          <w:ilvl w:val="0"/>
          <w:numId w:val="10"/>
        </w:numPr>
        <w:jc w:val="both"/>
        <w:rPr>
          <w:sz w:val="20"/>
          <w:szCs w:val="20"/>
        </w:rPr>
      </w:pPr>
      <w:r w:rsidRPr="00800799">
        <w:rPr>
          <w:sz w:val="20"/>
          <w:szCs w:val="20"/>
        </w:rPr>
        <w:t>Upřesnění očekávaných cílů a výstupů projektu.</w:t>
      </w:r>
    </w:p>
    <w:p w14:paraId="0000011D" w14:textId="77777777" w:rsidR="00054D27" w:rsidRPr="00800799" w:rsidRDefault="00AF622A">
      <w:pPr>
        <w:numPr>
          <w:ilvl w:val="0"/>
          <w:numId w:val="10"/>
        </w:numPr>
        <w:jc w:val="both"/>
        <w:rPr>
          <w:sz w:val="20"/>
          <w:szCs w:val="20"/>
        </w:rPr>
      </w:pPr>
      <w:r w:rsidRPr="00800799">
        <w:rPr>
          <w:sz w:val="20"/>
          <w:szCs w:val="20"/>
        </w:rPr>
        <w:t>Odsouhlasený harmonogram včetně hlavních milníků projektu.</w:t>
      </w:r>
    </w:p>
    <w:p w14:paraId="0000011E" w14:textId="77777777" w:rsidR="00054D27" w:rsidRPr="00800799" w:rsidRDefault="00AF622A">
      <w:pPr>
        <w:numPr>
          <w:ilvl w:val="0"/>
          <w:numId w:val="10"/>
        </w:numPr>
        <w:jc w:val="both"/>
        <w:rPr>
          <w:sz w:val="20"/>
          <w:szCs w:val="20"/>
        </w:rPr>
      </w:pPr>
      <w:r w:rsidRPr="00800799">
        <w:rPr>
          <w:sz w:val="20"/>
          <w:szCs w:val="20"/>
        </w:rPr>
        <w:t>Odsouhlasený seznam informačních podkladů a postupů pro sběr a analýzu dat pro další fázi</w:t>
      </w:r>
    </w:p>
    <w:p w14:paraId="0000011F" w14:textId="77777777" w:rsidR="00054D27" w:rsidRPr="00800799" w:rsidRDefault="00AF622A">
      <w:pPr>
        <w:numPr>
          <w:ilvl w:val="0"/>
          <w:numId w:val="10"/>
        </w:numPr>
        <w:jc w:val="both"/>
        <w:rPr>
          <w:sz w:val="20"/>
          <w:szCs w:val="20"/>
        </w:rPr>
      </w:pPr>
      <w:r w:rsidRPr="00800799">
        <w:rPr>
          <w:sz w:val="20"/>
          <w:szCs w:val="20"/>
        </w:rPr>
        <w:t>Stručný přehled aktuálního stavu již fungujících relevantních FN a souhrn poznatků z dosavadních vstupů k jednotlivým FN</w:t>
      </w:r>
    </w:p>
    <w:p w14:paraId="00000120" w14:textId="77777777" w:rsidR="00054D27" w:rsidRPr="00800799" w:rsidRDefault="00AF622A">
      <w:pPr>
        <w:numPr>
          <w:ilvl w:val="0"/>
          <w:numId w:val="10"/>
        </w:numPr>
        <w:jc w:val="both"/>
        <w:rPr>
          <w:sz w:val="20"/>
          <w:szCs w:val="20"/>
        </w:rPr>
      </w:pPr>
      <w:r w:rsidRPr="00800799">
        <w:rPr>
          <w:sz w:val="20"/>
          <w:szCs w:val="20"/>
        </w:rPr>
        <w:t>Identifikace případných potřeb aktualizace stávajících podkladů a způsob, jakým budou tyto potřeby adresovány v druhé etapě projektu</w:t>
      </w:r>
    </w:p>
    <w:p w14:paraId="00000121" w14:textId="77777777" w:rsidR="00054D27" w:rsidRPr="00800799" w:rsidRDefault="00054D27">
      <w:pPr>
        <w:spacing w:line="240" w:lineRule="auto"/>
        <w:ind w:left="1080" w:hanging="360"/>
        <w:rPr>
          <w:sz w:val="20"/>
          <w:szCs w:val="20"/>
        </w:rPr>
      </w:pPr>
    </w:p>
    <w:p w14:paraId="00000122" w14:textId="77777777" w:rsidR="00054D27" w:rsidRPr="00800799" w:rsidRDefault="00AF622A">
      <w:pPr>
        <w:pStyle w:val="Nadpis3"/>
        <w:numPr>
          <w:ilvl w:val="1"/>
          <w:numId w:val="18"/>
        </w:numPr>
        <w:pBdr>
          <w:top w:val="nil"/>
          <w:left w:val="nil"/>
          <w:bottom w:val="nil"/>
          <w:right w:val="nil"/>
          <w:between w:val="nil"/>
        </w:pBdr>
        <w:rPr>
          <w:color w:val="D04A02"/>
          <w:sz w:val="24"/>
          <w:szCs w:val="24"/>
        </w:rPr>
      </w:pPr>
      <w:bookmarkStart w:id="44" w:name="_eb9c7db6fnou"/>
      <w:bookmarkStart w:id="45" w:name="_Toc90364550"/>
      <w:bookmarkStart w:id="46" w:name="_Toc89232795"/>
      <w:bookmarkStart w:id="47" w:name="_Toc89067095"/>
      <w:bookmarkEnd w:id="44"/>
      <w:r w:rsidRPr="00800799">
        <w:rPr>
          <w:color w:val="D04A02"/>
          <w:sz w:val="24"/>
          <w:szCs w:val="24"/>
        </w:rPr>
        <w:t>Ex ante analýza</w:t>
      </w:r>
      <w:bookmarkEnd w:id="45"/>
      <w:bookmarkEnd w:id="46"/>
      <w:bookmarkEnd w:id="47"/>
      <w:r w:rsidRPr="00800799">
        <w:rPr>
          <w:color w:val="D04A02"/>
          <w:sz w:val="24"/>
          <w:szCs w:val="24"/>
        </w:rPr>
        <w:t xml:space="preserve"> </w:t>
      </w:r>
    </w:p>
    <w:p w14:paraId="00000123" w14:textId="07B8DDFC" w:rsidR="00054D27" w:rsidRPr="00800799" w:rsidRDefault="00AF622A">
      <w:pPr>
        <w:spacing w:before="240" w:after="180"/>
        <w:rPr>
          <w:b/>
          <w:i/>
          <w:color w:val="FF0000"/>
        </w:rPr>
      </w:pPr>
      <w:r w:rsidRPr="00800799">
        <w:rPr>
          <w:b/>
          <w:sz w:val="20"/>
          <w:szCs w:val="20"/>
        </w:rPr>
        <w:t>Fáze a) Aktualizace tržní analýzy</w:t>
      </w:r>
    </w:p>
    <w:p w14:paraId="00000124" w14:textId="77777777" w:rsidR="00054D27" w:rsidRPr="00800799" w:rsidRDefault="00AF622A">
      <w:pPr>
        <w:spacing w:before="240" w:after="180"/>
        <w:rPr>
          <w:sz w:val="20"/>
          <w:szCs w:val="20"/>
        </w:rPr>
      </w:pPr>
      <w:r w:rsidRPr="00800799">
        <w:rPr>
          <w:sz w:val="20"/>
          <w:szCs w:val="20"/>
        </w:rPr>
        <w:t>Tato fáze sestává z následujících čtyř kroků:</w:t>
      </w:r>
    </w:p>
    <w:p w14:paraId="00000125" w14:textId="77777777" w:rsidR="00054D27" w:rsidRPr="00800799" w:rsidRDefault="00AF622A">
      <w:pPr>
        <w:numPr>
          <w:ilvl w:val="0"/>
          <w:numId w:val="20"/>
        </w:numPr>
        <w:spacing w:before="240"/>
        <w:rPr>
          <w:sz w:val="20"/>
          <w:szCs w:val="20"/>
        </w:rPr>
      </w:pPr>
      <w:proofErr w:type="spellStart"/>
      <w:r w:rsidRPr="00800799">
        <w:rPr>
          <w:sz w:val="20"/>
          <w:szCs w:val="20"/>
        </w:rPr>
        <w:t>Desk</w:t>
      </w:r>
      <w:proofErr w:type="spellEnd"/>
      <w:r w:rsidRPr="00800799">
        <w:rPr>
          <w:sz w:val="20"/>
          <w:szCs w:val="20"/>
        </w:rPr>
        <w:t xml:space="preserve"> </w:t>
      </w:r>
      <w:proofErr w:type="spellStart"/>
      <w:r w:rsidRPr="00800799">
        <w:rPr>
          <w:sz w:val="20"/>
          <w:szCs w:val="20"/>
        </w:rPr>
        <w:t>research</w:t>
      </w:r>
      <w:proofErr w:type="spellEnd"/>
    </w:p>
    <w:p w14:paraId="00000126" w14:textId="77777777" w:rsidR="00054D27" w:rsidRPr="00800799" w:rsidRDefault="00AF622A">
      <w:pPr>
        <w:numPr>
          <w:ilvl w:val="0"/>
          <w:numId w:val="20"/>
        </w:numPr>
        <w:rPr>
          <w:sz w:val="20"/>
          <w:szCs w:val="20"/>
        </w:rPr>
      </w:pPr>
      <w:r w:rsidRPr="00800799">
        <w:rPr>
          <w:sz w:val="20"/>
          <w:szCs w:val="20"/>
        </w:rPr>
        <w:t xml:space="preserve">Strukturované rozhovory se </w:t>
      </w:r>
      <w:proofErr w:type="spellStart"/>
      <w:r w:rsidRPr="00800799">
        <w:rPr>
          <w:sz w:val="20"/>
          <w:szCs w:val="20"/>
        </w:rPr>
        <w:t>stakeholdery</w:t>
      </w:r>
      <w:proofErr w:type="spellEnd"/>
      <w:r w:rsidRPr="00800799">
        <w:rPr>
          <w:sz w:val="20"/>
          <w:szCs w:val="20"/>
        </w:rPr>
        <w:t xml:space="preserve"> a experty Zadavatele</w:t>
      </w:r>
    </w:p>
    <w:p w14:paraId="00000127" w14:textId="77777777" w:rsidR="00054D27" w:rsidRPr="00800799" w:rsidRDefault="00AF622A">
      <w:pPr>
        <w:numPr>
          <w:ilvl w:val="0"/>
          <w:numId w:val="20"/>
        </w:numPr>
        <w:rPr>
          <w:sz w:val="20"/>
          <w:szCs w:val="20"/>
        </w:rPr>
      </w:pPr>
      <w:r w:rsidRPr="00800799">
        <w:rPr>
          <w:sz w:val="20"/>
          <w:szCs w:val="20"/>
        </w:rPr>
        <w:t>Doplňkové dotazníkové šetření</w:t>
      </w:r>
    </w:p>
    <w:p w14:paraId="00000128" w14:textId="77777777" w:rsidR="00054D27" w:rsidRPr="00800799" w:rsidRDefault="00AF622A">
      <w:pPr>
        <w:numPr>
          <w:ilvl w:val="0"/>
          <w:numId w:val="20"/>
        </w:numPr>
        <w:spacing w:after="180"/>
        <w:rPr>
          <w:sz w:val="20"/>
          <w:szCs w:val="20"/>
        </w:rPr>
      </w:pPr>
      <w:r w:rsidRPr="00800799">
        <w:rPr>
          <w:sz w:val="20"/>
          <w:szCs w:val="20"/>
        </w:rPr>
        <w:t>Workshop se zástupci Zadavatele</w:t>
      </w:r>
    </w:p>
    <w:p w14:paraId="00000129" w14:textId="77777777" w:rsidR="00054D27" w:rsidRPr="00800799" w:rsidRDefault="00AF622A">
      <w:pPr>
        <w:spacing w:before="240" w:after="180"/>
        <w:rPr>
          <w:b/>
          <w:sz w:val="20"/>
          <w:szCs w:val="20"/>
        </w:rPr>
      </w:pPr>
      <w:r w:rsidRPr="00800799">
        <w:rPr>
          <w:b/>
          <w:sz w:val="20"/>
          <w:szCs w:val="20"/>
        </w:rPr>
        <w:t>Fáze b) Návrh investiční strategie finančních nástrojů OP TAK</w:t>
      </w:r>
    </w:p>
    <w:p w14:paraId="0000012A" w14:textId="77777777" w:rsidR="00054D27" w:rsidRPr="00800799" w:rsidRDefault="00AF622A">
      <w:pPr>
        <w:spacing w:before="240" w:after="180"/>
        <w:rPr>
          <w:sz w:val="20"/>
          <w:szCs w:val="20"/>
        </w:rPr>
      </w:pPr>
      <w:r w:rsidRPr="00800799">
        <w:rPr>
          <w:sz w:val="20"/>
          <w:szCs w:val="20"/>
        </w:rPr>
        <w:t>Tato fáze sestává z následujících čtyř kroků:</w:t>
      </w:r>
    </w:p>
    <w:p w14:paraId="0000012B" w14:textId="77777777" w:rsidR="00054D27" w:rsidRPr="00800799" w:rsidRDefault="00AF622A">
      <w:pPr>
        <w:numPr>
          <w:ilvl w:val="0"/>
          <w:numId w:val="4"/>
        </w:numPr>
        <w:spacing w:before="240"/>
        <w:rPr>
          <w:sz w:val="20"/>
          <w:szCs w:val="20"/>
        </w:rPr>
      </w:pPr>
      <w:proofErr w:type="spellStart"/>
      <w:r w:rsidRPr="00800799">
        <w:rPr>
          <w:sz w:val="20"/>
          <w:szCs w:val="20"/>
        </w:rPr>
        <w:t>Desk</w:t>
      </w:r>
      <w:proofErr w:type="spellEnd"/>
      <w:r w:rsidRPr="00800799">
        <w:rPr>
          <w:sz w:val="20"/>
          <w:szCs w:val="20"/>
        </w:rPr>
        <w:t xml:space="preserve"> </w:t>
      </w:r>
      <w:proofErr w:type="spellStart"/>
      <w:r w:rsidRPr="00800799">
        <w:rPr>
          <w:sz w:val="20"/>
          <w:szCs w:val="20"/>
        </w:rPr>
        <w:t>work</w:t>
      </w:r>
      <w:proofErr w:type="spellEnd"/>
      <w:r w:rsidRPr="00800799">
        <w:rPr>
          <w:sz w:val="20"/>
          <w:szCs w:val="20"/>
        </w:rPr>
        <w:t xml:space="preserve"> – první draft investiční strategie finančních nástrojů OP TAK</w:t>
      </w:r>
    </w:p>
    <w:p w14:paraId="0000012C" w14:textId="77777777" w:rsidR="00054D27" w:rsidRPr="00800799" w:rsidRDefault="00AF622A">
      <w:pPr>
        <w:numPr>
          <w:ilvl w:val="0"/>
          <w:numId w:val="4"/>
        </w:numPr>
        <w:rPr>
          <w:sz w:val="20"/>
          <w:szCs w:val="20"/>
        </w:rPr>
      </w:pPr>
      <w:r w:rsidRPr="00800799">
        <w:rPr>
          <w:sz w:val="20"/>
          <w:szCs w:val="20"/>
        </w:rPr>
        <w:t xml:space="preserve">Opakované strukturované rozhovory se </w:t>
      </w:r>
      <w:proofErr w:type="spellStart"/>
      <w:r w:rsidRPr="00800799">
        <w:rPr>
          <w:sz w:val="20"/>
          <w:szCs w:val="20"/>
        </w:rPr>
        <w:t>stakeholdery</w:t>
      </w:r>
      <w:proofErr w:type="spellEnd"/>
      <w:r w:rsidRPr="00800799">
        <w:rPr>
          <w:sz w:val="20"/>
          <w:szCs w:val="20"/>
        </w:rPr>
        <w:t xml:space="preserve"> a experty Zadavatele</w:t>
      </w:r>
    </w:p>
    <w:p w14:paraId="0000012D" w14:textId="77777777" w:rsidR="00054D27" w:rsidRPr="00800799" w:rsidRDefault="00AF622A">
      <w:pPr>
        <w:numPr>
          <w:ilvl w:val="0"/>
          <w:numId w:val="4"/>
        </w:numPr>
        <w:rPr>
          <w:sz w:val="20"/>
          <w:szCs w:val="20"/>
        </w:rPr>
      </w:pPr>
      <w:r w:rsidRPr="00800799">
        <w:rPr>
          <w:sz w:val="20"/>
          <w:szCs w:val="20"/>
        </w:rPr>
        <w:t>Workshop se zástupci Zadavatele</w:t>
      </w:r>
    </w:p>
    <w:p w14:paraId="0000012E" w14:textId="77777777" w:rsidR="00054D27" w:rsidRPr="00800799" w:rsidRDefault="00AF622A">
      <w:pPr>
        <w:numPr>
          <w:ilvl w:val="0"/>
          <w:numId w:val="4"/>
        </w:numPr>
        <w:spacing w:after="180"/>
        <w:rPr>
          <w:sz w:val="20"/>
          <w:szCs w:val="20"/>
        </w:rPr>
      </w:pPr>
      <w:r w:rsidRPr="00800799">
        <w:rPr>
          <w:sz w:val="20"/>
          <w:szCs w:val="20"/>
        </w:rPr>
        <w:t xml:space="preserve">Příprava Závěrečné zprávy a prezentace pro </w:t>
      </w:r>
      <w:proofErr w:type="spellStart"/>
      <w:r w:rsidRPr="00800799">
        <w:rPr>
          <w:sz w:val="20"/>
          <w:szCs w:val="20"/>
        </w:rPr>
        <w:t>steering</w:t>
      </w:r>
      <w:proofErr w:type="spellEnd"/>
      <w:r w:rsidRPr="00800799">
        <w:rPr>
          <w:sz w:val="20"/>
          <w:szCs w:val="20"/>
        </w:rPr>
        <w:t xml:space="preserve"> </w:t>
      </w:r>
      <w:proofErr w:type="spellStart"/>
      <w:r w:rsidRPr="00800799">
        <w:rPr>
          <w:sz w:val="20"/>
          <w:szCs w:val="20"/>
        </w:rPr>
        <w:t>committee</w:t>
      </w:r>
      <w:proofErr w:type="spellEnd"/>
    </w:p>
    <w:p w14:paraId="0000012F" w14:textId="77777777" w:rsidR="00054D27" w:rsidRPr="00800799" w:rsidRDefault="00AF622A">
      <w:pPr>
        <w:spacing w:before="240"/>
        <w:rPr>
          <w:b/>
          <w:color w:val="D04A02"/>
          <w:sz w:val="20"/>
          <w:szCs w:val="20"/>
        </w:rPr>
      </w:pPr>
      <w:r w:rsidRPr="00800799">
        <w:rPr>
          <w:b/>
          <w:color w:val="D04A02"/>
          <w:sz w:val="20"/>
          <w:szCs w:val="20"/>
        </w:rPr>
        <w:t>Klíčové výstupy z II. etapy, které shrneme do Závěrečné zprávy:</w:t>
      </w:r>
    </w:p>
    <w:p w14:paraId="00000130" w14:textId="77777777" w:rsidR="00054D27" w:rsidRPr="00800799" w:rsidRDefault="00AF622A">
      <w:pPr>
        <w:spacing w:before="240" w:after="240"/>
        <w:jc w:val="both"/>
        <w:rPr>
          <w:sz w:val="20"/>
          <w:szCs w:val="20"/>
        </w:rPr>
      </w:pPr>
      <w:r w:rsidRPr="00800799">
        <w:rPr>
          <w:b/>
          <w:sz w:val="20"/>
          <w:szCs w:val="20"/>
        </w:rPr>
        <w:t>Závěrečná zpráva bude pro každý navrhovaný finanční nástroj obsahovat</w:t>
      </w:r>
      <w:r w:rsidRPr="00800799">
        <w:rPr>
          <w:sz w:val="20"/>
          <w:szCs w:val="20"/>
        </w:rPr>
        <w:t>:</w:t>
      </w:r>
    </w:p>
    <w:p w14:paraId="00000131" w14:textId="77777777" w:rsidR="00054D27" w:rsidRPr="00800799" w:rsidRDefault="00AF622A">
      <w:pPr>
        <w:numPr>
          <w:ilvl w:val="0"/>
          <w:numId w:val="15"/>
        </w:numPr>
        <w:jc w:val="both"/>
        <w:rPr>
          <w:sz w:val="20"/>
          <w:szCs w:val="20"/>
        </w:rPr>
      </w:pPr>
      <w:r w:rsidRPr="00800799">
        <w:rPr>
          <w:sz w:val="20"/>
          <w:szCs w:val="20"/>
        </w:rPr>
        <w:t xml:space="preserve">Shrnutí závěrů </w:t>
      </w:r>
      <w:r w:rsidRPr="00800799">
        <w:rPr>
          <w:b/>
          <w:sz w:val="20"/>
          <w:szCs w:val="20"/>
        </w:rPr>
        <w:t>aktualizace tržní analýzy</w:t>
      </w:r>
      <w:r w:rsidRPr="00800799">
        <w:rPr>
          <w:sz w:val="20"/>
          <w:szCs w:val="20"/>
        </w:rPr>
        <w:t xml:space="preserve"> včetně zkušeností z OP PIK, výstupů strukturovaných rozhovorů, dotazníkových šetření a zahraničních zkušeností</w:t>
      </w:r>
    </w:p>
    <w:p w14:paraId="00000132" w14:textId="77777777" w:rsidR="00054D27" w:rsidRPr="00800799" w:rsidRDefault="00AF622A">
      <w:pPr>
        <w:numPr>
          <w:ilvl w:val="0"/>
          <w:numId w:val="15"/>
        </w:numPr>
        <w:jc w:val="both"/>
        <w:rPr>
          <w:sz w:val="20"/>
          <w:szCs w:val="20"/>
        </w:rPr>
      </w:pPr>
      <w:r w:rsidRPr="00800799">
        <w:rPr>
          <w:sz w:val="20"/>
          <w:szCs w:val="20"/>
        </w:rPr>
        <w:t xml:space="preserve">Cílovou skupinu </w:t>
      </w:r>
      <w:r w:rsidRPr="00800799">
        <w:rPr>
          <w:b/>
          <w:sz w:val="20"/>
          <w:szCs w:val="20"/>
        </w:rPr>
        <w:t>konečných příjemců</w:t>
      </w:r>
    </w:p>
    <w:p w14:paraId="00000133" w14:textId="77777777" w:rsidR="00054D27" w:rsidRPr="00800799" w:rsidRDefault="00AF622A">
      <w:pPr>
        <w:numPr>
          <w:ilvl w:val="0"/>
          <w:numId w:val="15"/>
        </w:numPr>
        <w:jc w:val="both"/>
        <w:rPr>
          <w:sz w:val="20"/>
          <w:szCs w:val="20"/>
        </w:rPr>
      </w:pPr>
      <w:r w:rsidRPr="00800799">
        <w:rPr>
          <w:sz w:val="20"/>
          <w:szCs w:val="20"/>
        </w:rPr>
        <w:lastRenderedPageBreak/>
        <w:t xml:space="preserve">Odhad </w:t>
      </w:r>
      <w:r w:rsidRPr="00800799">
        <w:rPr>
          <w:b/>
          <w:sz w:val="20"/>
          <w:szCs w:val="20"/>
        </w:rPr>
        <w:t>absorpční kapacity</w:t>
      </w:r>
    </w:p>
    <w:p w14:paraId="00000134" w14:textId="77777777" w:rsidR="00054D27" w:rsidRPr="00800799" w:rsidRDefault="00AF622A">
      <w:pPr>
        <w:numPr>
          <w:ilvl w:val="0"/>
          <w:numId w:val="15"/>
        </w:numPr>
        <w:jc w:val="both"/>
        <w:rPr>
          <w:sz w:val="20"/>
          <w:szCs w:val="20"/>
        </w:rPr>
      </w:pPr>
      <w:r w:rsidRPr="00800799">
        <w:rPr>
          <w:sz w:val="20"/>
          <w:szCs w:val="20"/>
        </w:rPr>
        <w:t xml:space="preserve">Očekávaný </w:t>
      </w:r>
      <w:r w:rsidRPr="00800799">
        <w:rPr>
          <w:b/>
          <w:sz w:val="20"/>
          <w:szCs w:val="20"/>
        </w:rPr>
        <w:t>příspěvek k dosažení specifických cílů</w:t>
      </w:r>
      <w:r w:rsidRPr="00800799">
        <w:rPr>
          <w:sz w:val="20"/>
          <w:szCs w:val="20"/>
        </w:rPr>
        <w:t xml:space="preserve"> OP TAK</w:t>
      </w:r>
    </w:p>
    <w:p w14:paraId="00000135" w14:textId="77777777" w:rsidR="00054D27" w:rsidRPr="00800799" w:rsidRDefault="00AF622A">
      <w:pPr>
        <w:numPr>
          <w:ilvl w:val="0"/>
          <w:numId w:val="15"/>
        </w:numPr>
        <w:jc w:val="both"/>
        <w:rPr>
          <w:sz w:val="20"/>
          <w:szCs w:val="20"/>
        </w:rPr>
      </w:pPr>
      <w:r w:rsidRPr="00800799">
        <w:rPr>
          <w:sz w:val="20"/>
          <w:szCs w:val="20"/>
        </w:rPr>
        <w:t xml:space="preserve">Navrhovaná </w:t>
      </w:r>
      <w:r w:rsidRPr="00800799">
        <w:rPr>
          <w:b/>
          <w:sz w:val="20"/>
          <w:szCs w:val="20"/>
        </w:rPr>
        <w:t>výše příspěvku programu</w:t>
      </w:r>
      <w:r w:rsidRPr="00800799">
        <w:rPr>
          <w:sz w:val="20"/>
          <w:szCs w:val="20"/>
        </w:rPr>
        <w:t xml:space="preserve"> na finanční nástroj (rozpětí)</w:t>
      </w:r>
    </w:p>
    <w:p w14:paraId="00000136" w14:textId="77777777" w:rsidR="00054D27" w:rsidRPr="00800799" w:rsidRDefault="00AF622A">
      <w:pPr>
        <w:numPr>
          <w:ilvl w:val="0"/>
          <w:numId w:val="15"/>
        </w:numPr>
        <w:jc w:val="both"/>
        <w:rPr>
          <w:b/>
          <w:sz w:val="20"/>
          <w:szCs w:val="20"/>
        </w:rPr>
      </w:pPr>
      <w:r w:rsidRPr="00800799">
        <w:rPr>
          <w:b/>
          <w:sz w:val="20"/>
          <w:szCs w:val="20"/>
        </w:rPr>
        <w:t>Aktivační účinek a pákový efekt</w:t>
      </w:r>
    </w:p>
    <w:p w14:paraId="00000137" w14:textId="77777777" w:rsidR="00054D27" w:rsidRPr="00800799" w:rsidRDefault="00AF622A">
      <w:pPr>
        <w:numPr>
          <w:ilvl w:val="0"/>
          <w:numId w:val="15"/>
        </w:numPr>
        <w:jc w:val="both"/>
        <w:rPr>
          <w:sz w:val="20"/>
          <w:szCs w:val="20"/>
        </w:rPr>
      </w:pPr>
      <w:r w:rsidRPr="00800799">
        <w:rPr>
          <w:b/>
          <w:sz w:val="20"/>
          <w:szCs w:val="20"/>
        </w:rPr>
        <w:t>Rámcovou investiční strategii</w:t>
      </w:r>
      <w:r w:rsidRPr="00800799">
        <w:rPr>
          <w:sz w:val="20"/>
          <w:szCs w:val="20"/>
        </w:rPr>
        <w:t xml:space="preserve"> zahrnující formu finančního nástroje, implementační schéma, diferencovaný přístup k investorům (pokud je relevantní)</w:t>
      </w:r>
    </w:p>
    <w:p w14:paraId="00000138" w14:textId="77777777" w:rsidR="00054D27" w:rsidRPr="00800799" w:rsidRDefault="00AF622A">
      <w:pPr>
        <w:numPr>
          <w:ilvl w:val="0"/>
          <w:numId w:val="15"/>
        </w:numPr>
        <w:jc w:val="both"/>
        <w:rPr>
          <w:sz w:val="20"/>
          <w:szCs w:val="20"/>
        </w:rPr>
      </w:pPr>
      <w:r w:rsidRPr="00800799">
        <w:rPr>
          <w:sz w:val="20"/>
          <w:szCs w:val="20"/>
        </w:rPr>
        <w:t xml:space="preserve">Soulad nástroje s pravidly pro </w:t>
      </w:r>
      <w:r w:rsidRPr="00800799">
        <w:rPr>
          <w:b/>
          <w:sz w:val="20"/>
          <w:szCs w:val="20"/>
        </w:rPr>
        <w:t>veřejnou podporu a rozpočtovými pravidly</w:t>
      </w:r>
    </w:p>
    <w:p w14:paraId="00000139" w14:textId="77777777" w:rsidR="00054D27" w:rsidRPr="00800799" w:rsidRDefault="00AF622A">
      <w:pPr>
        <w:numPr>
          <w:ilvl w:val="0"/>
          <w:numId w:val="15"/>
        </w:numPr>
        <w:spacing w:after="160"/>
        <w:jc w:val="both"/>
        <w:rPr>
          <w:sz w:val="20"/>
          <w:szCs w:val="20"/>
        </w:rPr>
      </w:pPr>
      <w:r w:rsidRPr="00800799">
        <w:rPr>
          <w:sz w:val="20"/>
          <w:szCs w:val="20"/>
        </w:rPr>
        <w:t xml:space="preserve">Komplementarita a </w:t>
      </w:r>
      <w:r w:rsidRPr="00800799">
        <w:rPr>
          <w:b/>
          <w:sz w:val="20"/>
          <w:szCs w:val="20"/>
        </w:rPr>
        <w:t>kombinace finančního nástroje s dalšími formami podpory</w:t>
      </w:r>
      <w:r w:rsidRPr="00800799">
        <w:rPr>
          <w:sz w:val="20"/>
          <w:szCs w:val="20"/>
        </w:rPr>
        <w:t xml:space="preserve"> </w:t>
      </w:r>
      <w:r w:rsidRPr="00800799">
        <w:rPr>
          <w:b/>
          <w:sz w:val="20"/>
          <w:szCs w:val="20"/>
        </w:rPr>
        <w:t>v jedné operaci</w:t>
      </w:r>
      <w:r w:rsidRPr="00800799">
        <w:rPr>
          <w:sz w:val="20"/>
          <w:szCs w:val="20"/>
        </w:rPr>
        <w:t xml:space="preserve"> (pokud je relevantní)</w:t>
      </w:r>
    </w:p>
    <w:p w14:paraId="0000013A" w14:textId="77777777" w:rsidR="00054D27" w:rsidRPr="00800799" w:rsidRDefault="00AF622A">
      <w:pPr>
        <w:spacing w:before="240" w:after="240"/>
        <w:jc w:val="both"/>
        <w:rPr>
          <w:sz w:val="20"/>
          <w:szCs w:val="20"/>
        </w:rPr>
      </w:pPr>
      <w:r w:rsidRPr="00800799">
        <w:rPr>
          <w:b/>
          <w:i/>
          <w:sz w:val="20"/>
          <w:szCs w:val="20"/>
          <w:u w:val="single"/>
        </w:rPr>
        <w:t>Nad rámec požadavků Zadavatele</w:t>
      </w:r>
      <w:r w:rsidRPr="00800799">
        <w:rPr>
          <w:b/>
          <w:sz w:val="20"/>
          <w:szCs w:val="20"/>
          <w:u w:val="single"/>
        </w:rPr>
        <w:t xml:space="preserve"> bude Závěrečná zpráva obsahovat další body investiční strategie pro každý navrhovaný finanční nástroj</w:t>
      </w:r>
      <w:r w:rsidRPr="00800799">
        <w:rPr>
          <w:sz w:val="20"/>
          <w:szCs w:val="20"/>
        </w:rPr>
        <w:t>:</w:t>
      </w:r>
    </w:p>
    <w:p w14:paraId="0000013B" w14:textId="77777777" w:rsidR="00054D27" w:rsidRPr="00800799" w:rsidRDefault="00AF622A">
      <w:pPr>
        <w:numPr>
          <w:ilvl w:val="0"/>
          <w:numId w:val="21"/>
        </w:numPr>
        <w:rPr>
          <w:sz w:val="20"/>
          <w:szCs w:val="20"/>
        </w:rPr>
      </w:pPr>
      <w:r w:rsidRPr="00800799">
        <w:rPr>
          <w:sz w:val="20"/>
          <w:szCs w:val="20"/>
        </w:rPr>
        <w:t xml:space="preserve">Navrhovaný přístup k </w:t>
      </w:r>
      <w:r w:rsidRPr="00800799">
        <w:rPr>
          <w:b/>
          <w:sz w:val="20"/>
          <w:szCs w:val="20"/>
        </w:rPr>
        <w:t>výběru subjektů implementujících finanční nástroj/holdingový fond</w:t>
      </w:r>
    </w:p>
    <w:p w14:paraId="0000013C" w14:textId="77777777" w:rsidR="00054D27" w:rsidRPr="00800799" w:rsidRDefault="00AF622A">
      <w:pPr>
        <w:numPr>
          <w:ilvl w:val="0"/>
          <w:numId w:val="21"/>
        </w:numPr>
        <w:jc w:val="both"/>
        <w:rPr>
          <w:sz w:val="20"/>
          <w:szCs w:val="20"/>
        </w:rPr>
      </w:pPr>
      <w:r w:rsidRPr="00800799">
        <w:rPr>
          <w:sz w:val="20"/>
          <w:szCs w:val="20"/>
        </w:rPr>
        <w:t xml:space="preserve">Představení </w:t>
      </w:r>
      <w:r w:rsidRPr="00800799">
        <w:rPr>
          <w:b/>
          <w:sz w:val="20"/>
          <w:szCs w:val="20"/>
        </w:rPr>
        <w:t>typových projektů</w:t>
      </w:r>
    </w:p>
    <w:p w14:paraId="0000013D" w14:textId="77777777" w:rsidR="00054D27" w:rsidRPr="00800799" w:rsidRDefault="00AF622A">
      <w:pPr>
        <w:numPr>
          <w:ilvl w:val="0"/>
          <w:numId w:val="21"/>
        </w:numPr>
        <w:jc w:val="both"/>
        <w:rPr>
          <w:sz w:val="20"/>
          <w:szCs w:val="20"/>
        </w:rPr>
      </w:pPr>
      <w:r w:rsidRPr="00800799">
        <w:rPr>
          <w:sz w:val="20"/>
          <w:szCs w:val="20"/>
        </w:rPr>
        <w:t xml:space="preserve">Doporučené vymezení </w:t>
      </w:r>
      <w:r w:rsidRPr="00800799">
        <w:rPr>
          <w:b/>
          <w:sz w:val="20"/>
          <w:szCs w:val="20"/>
        </w:rPr>
        <w:t>způsobilých výdajů</w:t>
      </w:r>
    </w:p>
    <w:p w14:paraId="0000013E" w14:textId="77777777" w:rsidR="00054D27" w:rsidRPr="00800799" w:rsidRDefault="00AF622A">
      <w:pPr>
        <w:numPr>
          <w:ilvl w:val="0"/>
          <w:numId w:val="21"/>
        </w:numPr>
        <w:jc w:val="both"/>
        <w:rPr>
          <w:sz w:val="20"/>
          <w:szCs w:val="20"/>
        </w:rPr>
      </w:pPr>
      <w:r w:rsidRPr="00800799">
        <w:rPr>
          <w:b/>
          <w:sz w:val="20"/>
          <w:szCs w:val="20"/>
        </w:rPr>
        <w:t>Doporučený režim veřejné podpory</w:t>
      </w:r>
      <w:r w:rsidRPr="00800799">
        <w:rPr>
          <w:sz w:val="20"/>
          <w:szCs w:val="20"/>
        </w:rPr>
        <w:t xml:space="preserve"> a jeho hlavní podmínky, porovnání s dalšími variantami veřejné podpory</w:t>
      </w:r>
    </w:p>
    <w:p w14:paraId="0000013F" w14:textId="77777777" w:rsidR="00054D27" w:rsidRPr="00800799" w:rsidRDefault="00AF622A">
      <w:pPr>
        <w:numPr>
          <w:ilvl w:val="0"/>
          <w:numId w:val="21"/>
        </w:numPr>
        <w:spacing w:after="160"/>
        <w:jc w:val="both"/>
        <w:rPr>
          <w:sz w:val="20"/>
          <w:szCs w:val="20"/>
        </w:rPr>
      </w:pPr>
      <w:r w:rsidRPr="00800799">
        <w:rPr>
          <w:sz w:val="20"/>
          <w:szCs w:val="20"/>
        </w:rPr>
        <w:t>Způsob ukončení finančního nástroje (</w:t>
      </w:r>
      <w:r w:rsidRPr="00800799">
        <w:rPr>
          <w:b/>
          <w:sz w:val="20"/>
          <w:szCs w:val="20"/>
        </w:rPr>
        <w:t>exitová strategie</w:t>
      </w:r>
      <w:r w:rsidRPr="00800799">
        <w:rPr>
          <w:sz w:val="20"/>
          <w:szCs w:val="20"/>
        </w:rPr>
        <w:t>)</w:t>
      </w:r>
    </w:p>
    <w:p w14:paraId="00000140" w14:textId="77777777" w:rsidR="00054D27" w:rsidRPr="00800799" w:rsidRDefault="00054D27">
      <w:pPr>
        <w:spacing w:before="240" w:after="180"/>
        <w:rPr>
          <w:sz w:val="20"/>
          <w:szCs w:val="20"/>
        </w:rPr>
        <w:sectPr w:rsidR="00054D27" w:rsidRPr="00800799">
          <w:pgSz w:w="12240" w:h="15840"/>
          <w:pgMar w:top="1440" w:right="1440" w:bottom="1440" w:left="1440" w:header="720" w:footer="720" w:gutter="0"/>
          <w:cols w:space="708"/>
        </w:sectPr>
      </w:pPr>
      <w:bookmarkStart w:id="48" w:name="_efw55fh3q1zg"/>
      <w:bookmarkEnd w:id="48"/>
    </w:p>
    <w:p w14:paraId="00000141" w14:textId="3C8EB73F" w:rsidR="00054D27" w:rsidRPr="00800799" w:rsidRDefault="00AF622A">
      <w:pPr>
        <w:pStyle w:val="Nadpis2"/>
        <w:numPr>
          <w:ilvl w:val="0"/>
          <w:numId w:val="18"/>
        </w:numPr>
        <w:rPr>
          <w:b/>
          <w:color w:val="D04A02"/>
          <w:sz w:val="28"/>
          <w:szCs w:val="28"/>
        </w:rPr>
        <w:sectPr w:rsidR="00054D27" w:rsidRPr="00800799">
          <w:pgSz w:w="15840" w:h="12240" w:orient="landscape"/>
          <w:pgMar w:top="1440" w:right="1440" w:bottom="1440" w:left="1440" w:header="720" w:footer="720" w:gutter="0"/>
          <w:cols w:space="708"/>
        </w:sectPr>
      </w:pPr>
      <w:bookmarkStart w:id="49" w:name="_8u4bykerb5ay"/>
      <w:bookmarkStart w:id="50" w:name="_Toc89067096"/>
      <w:bookmarkStart w:id="51" w:name="_Toc89232796"/>
      <w:bookmarkStart w:id="52" w:name="_Toc90364551"/>
      <w:bookmarkEnd w:id="49"/>
      <w:r w:rsidRPr="00800799">
        <w:rPr>
          <w:b/>
          <w:color w:val="D04A02"/>
          <w:sz w:val="28"/>
          <w:szCs w:val="28"/>
        </w:rPr>
        <w:lastRenderedPageBreak/>
        <w:t xml:space="preserve">Odsouhlasený harmonogram včetně hlavních milníků </w:t>
      </w:r>
      <w:bookmarkEnd w:id="50"/>
      <w:r w:rsidRPr="00800799">
        <w:rPr>
          <w:b/>
          <w:color w:val="D04A02"/>
          <w:sz w:val="28"/>
          <w:szCs w:val="28"/>
        </w:rPr>
        <w:t>projektu</w:t>
      </w:r>
      <w:bookmarkEnd w:id="51"/>
      <w:r w:rsidRPr="00800799">
        <w:rPr>
          <w:noProof/>
        </w:rPr>
        <w:drawing>
          <wp:anchor distT="114300" distB="114300" distL="114300" distR="114300" simplePos="0" relativeHeight="251658240" behindDoc="0" locked="0" layoutInCell="1" hidden="0" allowOverlap="1" wp14:anchorId="582DCBF2" wp14:editId="7C9C2208">
            <wp:simplePos x="0" y="0"/>
            <wp:positionH relativeFrom="column">
              <wp:posOffset>-628647</wp:posOffset>
            </wp:positionH>
            <wp:positionV relativeFrom="paragraph">
              <wp:posOffset>628650</wp:posOffset>
            </wp:positionV>
            <wp:extent cx="9740590" cy="3794125"/>
            <wp:effectExtent l="0" t="0" r="0" b="0"/>
            <wp:wrapSquare wrapText="bothSides" distT="114300" distB="114300" distL="114300" distR="11430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9740590" cy="3794125"/>
                    </a:xfrm>
                    <a:prstGeom prst="rect">
                      <a:avLst/>
                    </a:prstGeom>
                    <a:ln/>
                  </pic:spPr>
                </pic:pic>
              </a:graphicData>
            </a:graphic>
          </wp:anchor>
        </w:drawing>
      </w:r>
      <w:bookmarkEnd w:id="52"/>
    </w:p>
    <w:p w14:paraId="00000142" w14:textId="77777777" w:rsidR="00054D27" w:rsidRPr="00800799" w:rsidRDefault="00054D27">
      <w:pPr>
        <w:rPr>
          <w:sz w:val="20"/>
          <w:szCs w:val="20"/>
        </w:rPr>
      </w:pPr>
    </w:p>
    <w:p w14:paraId="00000143" w14:textId="77777777" w:rsidR="00054D27" w:rsidRPr="00952825" w:rsidRDefault="00AF622A">
      <w:pPr>
        <w:pStyle w:val="Nadpis2"/>
        <w:numPr>
          <w:ilvl w:val="0"/>
          <w:numId w:val="18"/>
        </w:numPr>
        <w:rPr>
          <w:b/>
          <w:color w:val="D04A02"/>
          <w:sz w:val="28"/>
          <w:szCs w:val="28"/>
        </w:rPr>
      </w:pPr>
      <w:bookmarkStart w:id="53" w:name="_4ft2htorbs40"/>
      <w:bookmarkStart w:id="54" w:name="_Toc90364552"/>
      <w:bookmarkStart w:id="55" w:name="_Toc89232797"/>
      <w:bookmarkStart w:id="56" w:name="_Toc89067097"/>
      <w:bookmarkEnd w:id="53"/>
      <w:r w:rsidRPr="00C77291">
        <w:rPr>
          <w:b/>
          <w:color w:val="D04A02"/>
          <w:sz w:val="28"/>
          <w:szCs w:val="28"/>
        </w:rPr>
        <w:t>Odso</w:t>
      </w:r>
      <w:r w:rsidRPr="00952825">
        <w:rPr>
          <w:b/>
          <w:color w:val="D04A02"/>
          <w:sz w:val="28"/>
          <w:szCs w:val="28"/>
        </w:rPr>
        <w:t>uhlasený seznam informačních podkladů a postupů pro sběr a analýzu dat pro další fázi</w:t>
      </w:r>
      <w:bookmarkEnd w:id="54"/>
      <w:bookmarkEnd w:id="55"/>
      <w:bookmarkEnd w:id="56"/>
    </w:p>
    <w:p w14:paraId="00000144" w14:textId="59BAB622" w:rsidR="00054D27" w:rsidRPr="00800799" w:rsidRDefault="00AF622A">
      <w:pPr>
        <w:spacing w:before="240" w:after="180"/>
        <w:jc w:val="both"/>
        <w:rPr>
          <w:sz w:val="20"/>
          <w:szCs w:val="20"/>
        </w:rPr>
      </w:pPr>
      <w:r w:rsidRPr="00952825">
        <w:rPr>
          <w:sz w:val="20"/>
          <w:szCs w:val="20"/>
        </w:rPr>
        <w:t xml:space="preserve">Během </w:t>
      </w:r>
      <w:r w:rsidRPr="00952825">
        <w:rPr>
          <w:b/>
          <w:sz w:val="20"/>
          <w:szCs w:val="20"/>
        </w:rPr>
        <w:t xml:space="preserve">prvních sedmi pracovních dní </w:t>
      </w:r>
      <w:r w:rsidRPr="00952825">
        <w:rPr>
          <w:sz w:val="20"/>
          <w:szCs w:val="20"/>
        </w:rPr>
        <w:t xml:space="preserve">budeme provádět </w:t>
      </w:r>
      <w:r w:rsidRPr="00381528">
        <w:rPr>
          <w:b/>
          <w:i/>
          <w:sz w:val="20"/>
          <w:szCs w:val="20"/>
          <w:u w:val="single"/>
        </w:rPr>
        <w:t xml:space="preserve">doplňkový </w:t>
      </w:r>
      <w:proofErr w:type="spellStart"/>
      <w:r w:rsidRPr="00381528">
        <w:rPr>
          <w:b/>
          <w:i/>
          <w:sz w:val="20"/>
          <w:szCs w:val="20"/>
          <w:u w:val="single"/>
        </w:rPr>
        <w:t>desk</w:t>
      </w:r>
      <w:proofErr w:type="spellEnd"/>
      <w:r w:rsidRPr="00381528">
        <w:rPr>
          <w:b/>
          <w:i/>
          <w:sz w:val="20"/>
          <w:szCs w:val="20"/>
          <w:u w:val="single"/>
        </w:rPr>
        <w:t xml:space="preserve"> </w:t>
      </w:r>
      <w:proofErr w:type="spellStart"/>
      <w:r w:rsidRPr="00381528">
        <w:rPr>
          <w:b/>
          <w:i/>
          <w:sz w:val="20"/>
          <w:szCs w:val="20"/>
          <w:u w:val="single"/>
        </w:rPr>
        <w:t>research</w:t>
      </w:r>
      <w:proofErr w:type="spellEnd"/>
      <w:r w:rsidRPr="00676862">
        <w:rPr>
          <w:sz w:val="20"/>
          <w:szCs w:val="20"/>
        </w:rPr>
        <w:t xml:space="preserve"> podkladů navazující na I. </w:t>
      </w:r>
      <w:r w:rsidR="00FF79F7" w:rsidRPr="00676862">
        <w:rPr>
          <w:sz w:val="20"/>
          <w:szCs w:val="20"/>
        </w:rPr>
        <w:t>e</w:t>
      </w:r>
      <w:r w:rsidRPr="00676862">
        <w:rPr>
          <w:sz w:val="20"/>
          <w:szCs w:val="20"/>
        </w:rPr>
        <w:t>tapu</w:t>
      </w:r>
      <w:r w:rsidR="00FF79F7" w:rsidRPr="00676862">
        <w:rPr>
          <w:sz w:val="20"/>
          <w:szCs w:val="20"/>
        </w:rPr>
        <w:t xml:space="preserve"> </w:t>
      </w:r>
      <w:r w:rsidRPr="00800799">
        <w:rPr>
          <w:sz w:val="20"/>
          <w:szCs w:val="20"/>
        </w:rPr>
        <w:t>– podrobnější analýza dat poskytnutých subjekty implementujícími finanční nástroje (</w:t>
      </w:r>
      <w:r w:rsidR="00600F43" w:rsidRPr="00800799">
        <w:rPr>
          <w:sz w:val="20"/>
          <w:szCs w:val="20"/>
        </w:rPr>
        <w:t>NRB</w:t>
      </w:r>
      <w:r w:rsidRPr="00800799">
        <w:rPr>
          <w:sz w:val="20"/>
          <w:szCs w:val="20"/>
        </w:rPr>
        <w:t xml:space="preserve">, EIF, </w:t>
      </w:r>
      <w:r w:rsidR="00600F43" w:rsidRPr="00800799">
        <w:rPr>
          <w:sz w:val="20"/>
          <w:szCs w:val="20"/>
        </w:rPr>
        <w:t>NR</w:t>
      </w:r>
      <w:r w:rsidRPr="00800799">
        <w:rPr>
          <w:sz w:val="20"/>
          <w:szCs w:val="20"/>
        </w:rPr>
        <w:t xml:space="preserve"> investiční) a také analýza další dokumentace z data </w:t>
      </w:r>
      <w:proofErr w:type="spellStart"/>
      <w:r w:rsidRPr="00800799">
        <w:rPr>
          <w:sz w:val="20"/>
          <w:szCs w:val="20"/>
        </w:rPr>
        <w:t>request</w:t>
      </w:r>
      <w:proofErr w:type="spellEnd"/>
      <w:r w:rsidRPr="00800799">
        <w:rPr>
          <w:sz w:val="20"/>
          <w:szCs w:val="20"/>
        </w:rPr>
        <w:t xml:space="preserve"> listu, která bude zahrnovat minimálně následující </w:t>
      </w:r>
      <w:r w:rsidRPr="00800799">
        <w:rPr>
          <w:b/>
          <w:sz w:val="20"/>
          <w:szCs w:val="20"/>
        </w:rPr>
        <w:t>zdroje dat</w:t>
      </w:r>
      <w:r w:rsidRPr="00800799">
        <w:rPr>
          <w:sz w:val="20"/>
          <w:szCs w:val="20"/>
        </w:rPr>
        <w:t>:</w:t>
      </w:r>
    </w:p>
    <w:p w14:paraId="00000145" w14:textId="77777777" w:rsidR="00054D27" w:rsidRPr="00800799" w:rsidRDefault="00AF622A">
      <w:pPr>
        <w:numPr>
          <w:ilvl w:val="0"/>
          <w:numId w:val="11"/>
        </w:numPr>
        <w:spacing w:before="240"/>
        <w:jc w:val="both"/>
        <w:rPr>
          <w:sz w:val="20"/>
          <w:szCs w:val="20"/>
        </w:rPr>
      </w:pPr>
      <w:r w:rsidRPr="00800799">
        <w:rPr>
          <w:sz w:val="20"/>
          <w:szCs w:val="20"/>
        </w:rPr>
        <w:t>Aktuální návrhy relevantních programů podpory OP TAK ve specifických cílech dotčených ex ante analýzou finančních nástrojů</w:t>
      </w:r>
    </w:p>
    <w:p w14:paraId="00000146" w14:textId="1B507B4C" w:rsidR="00054D27" w:rsidRPr="00800799" w:rsidRDefault="00AF622A">
      <w:pPr>
        <w:numPr>
          <w:ilvl w:val="0"/>
          <w:numId w:val="11"/>
        </w:numPr>
        <w:jc w:val="both"/>
        <w:rPr>
          <w:sz w:val="20"/>
          <w:szCs w:val="20"/>
        </w:rPr>
      </w:pPr>
      <w:r w:rsidRPr="00800799">
        <w:rPr>
          <w:sz w:val="20"/>
          <w:szCs w:val="20"/>
        </w:rPr>
        <w:t>Strategii ČMZRB</w:t>
      </w:r>
      <w:r w:rsidR="00600F43" w:rsidRPr="00800799">
        <w:rPr>
          <w:sz w:val="20"/>
          <w:szCs w:val="20"/>
        </w:rPr>
        <w:t>/NRB</w:t>
      </w:r>
      <w:r w:rsidRPr="00800799">
        <w:rPr>
          <w:sz w:val="20"/>
          <w:szCs w:val="20"/>
        </w:rPr>
        <w:t xml:space="preserve"> – národní rozvojové banky (pokud bude k dispozici, případně její draft)</w:t>
      </w:r>
    </w:p>
    <w:p w14:paraId="00000147" w14:textId="6AEA22EC" w:rsidR="00054D27" w:rsidRPr="00800799" w:rsidRDefault="00AF622A">
      <w:pPr>
        <w:numPr>
          <w:ilvl w:val="0"/>
          <w:numId w:val="11"/>
        </w:numPr>
        <w:spacing w:after="180"/>
        <w:jc w:val="both"/>
        <w:rPr>
          <w:sz w:val="20"/>
          <w:szCs w:val="20"/>
        </w:rPr>
      </w:pPr>
      <w:r w:rsidRPr="00800799">
        <w:rPr>
          <w:sz w:val="20"/>
          <w:szCs w:val="20"/>
        </w:rPr>
        <w:t xml:space="preserve">Již provedené investice, způsob zajištění </w:t>
      </w:r>
      <w:proofErr w:type="spellStart"/>
      <w:r w:rsidRPr="00800799">
        <w:rPr>
          <w:sz w:val="20"/>
          <w:szCs w:val="20"/>
        </w:rPr>
        <w:t>dealflow</w:t>
      </w:r>
      <w:proofErr w:type="spellEnd"/>
      <w:r w:rsidRPr="00800799">
        <w:rPr>
          <w:sz w:val="20"/>
          <w:szCs w:val="20"/>
        </w:rPr>
        <w:t xml:space="preserve"> a </w:t>
      </w:r>
      <w:proofErr w:type="spellStart"/>
      <w:r w:rsidRPr="00800799">
        <w:rPr>
          <w:sz w:val="20"/>
          <w:szCs w:val="20"/>
        </w:rPr>
        <w:t>project</w:t>
      </w:r>
      <w:proofErr w:type="spellEnd"/>
      <w:r w:rsidRPr="00800799">
        <w:rPr>
          <w:sz w:val="20"/>
          <w:szCs w:val="20"/>
        </w:rPr>
        <w:t xml:space="preserve"> </w:t>
      </w:r>
      <w:proofErr w:type="spellStart"/>
      <w:r w:rsidRPr="00800799">
        <w:rPr>
          <w:sz w:val="20"/>
          <w:szCs w:val="20"/>
        </w:rPr>
        <w:t>pipeline</w:t>
      </w:r>
      <w:proofErr w:type="spellEnd"/>
      <w:r w:rsidRPr="00800799">
        <w:rPr>
          <w:sz w:val="20"/>
          <w:szCs w:val="20"/>
        </w:rPr>
        <w:t xml:space="preserve"> finančních nástrojů v rámci fondů </w:t>
      </w:r>
      <w:proofErr w:type="spellStart"/>
      <w:r w:rsidRPr="00800799">
        <w:rPr>
          <w:sz w:val="20"/>
          <w:szCs w:val="20"/>
        </w:rPr>
        <w:t>fondů</w:t>
      </w:r>
      <w:proofErr w:type="spellEnd"/>
      <w:r w:rsidRPr="00800799">
        <w:rPr>
          <w:sz w:val="20"/>
          <w:szCs w:val="20"/>
        </w:rPr>
        <w:t xml:space="preserve"> OP </w:t>
      </w:r>
      <w:proofErr w:type="gramStart"/>
      <w:r w:rsidRPr="00800799">
        <w:rPr>
          <w:sz w:val="20"/>
          <w:szCs w:val="20"/>
        </w:rPr>
        <w:t>PIK - EIF</w:t>
      </w:r>
      <w:proofErr w:type="gramEnd"/>
      <w:r w:rsidRPr="00800799">
        <w:rPr>
          <w:sz w:val="20"/>
          <w:szCs w:val="20"/>
        </w:rPr>
        <w:t xml:space="preserve"> (rizikový kapitál) a </w:t>
      </w:r>
      <w:r w:rsidR="00600F43" w:rsidRPr="00800799">
        <w:rPr>
          <w:sz w:val="20"/>
          <w:szCs w:val="20"/>
        </w:rPr>
        <w:t>NR</w:t>
      </w:r>
      <w:r w:rsidRPr="00800799">
        <w:rPr>
          <w:sz w:val="20"/>
          <w:szCs w:val="20"/>
        </w:rPr>
        <w:t xml:space="preserve"> investiční (</w:t>
      </w:r>
      <w:proofErr w:type="spellStart"/>
      <w:r w:rsidRPr="00800799">
        <w:rPr>
          <w:sz w:val="20"/>
          <w:szCs w:val="20"/>
        </w:rPr>
        <w:t>Brownfields</w:t>
      </w:r>
      <w:proofErr w:type="spellEnd"/>
      <w:r w:rsidRPr="00800799">
        <w:rPr>
          <w:sz w:val="20"/>
          <w:szCs w:val="20"/>
        </w:rPr>
        <w:t>)</w:t>
      </w:r>
    </w:p>
    <w:p w14:paraId="00000148" w14:textId="322707FC" w:rsidR="00054D27" w:rsidRPr="00800799" w:rsidRDefault="00AF622A">
      <w:pPr>
        <w:spacing w:before="240" w:after="180"/>
        <w:jc w:val="both"/>
        <w:rPr>
          <w:sz w:val="20"/>
          <w:szCs w:val="20"/>
        </w:rPr>
      </w:pPr>
      <w:r w:rsidRPr="00800799">
        <w:rPr>
          <w:sz w:val="20"/>
          <w:szCs w:val="20"/>
        </w:rPr>
        <w:t xml:space="preserve">Kromě toho byly pro </w:t>
      </w:r>
      <w:proofErr w:type="spellStart"/>
      <w:r w:rsidRPr="00800799">
        <w:rPr>
          <w:sz w:val="20"/>
          <w:szCs w:val="20"/>
        </w:rPr>
        <w:t>desk</w:t>
      </w:r>
      <w:proofErr w:type="spellEnd"/>
      <w:r w:rsidRPr="00800799">
        <w:rPr>
          <w:sz w:val="20"/>
          <w:szCs w:val="20"/>
        </w:rPr>
        <w:t xml:space="preserve"> </w:t>
      </w:r>
      <w:proofErr w:type="spellStart"/>
      <w:r w:rsidRPr="00800799">
        <w:rPr>
          <w:sz w:val="20"/>
          <w:szCs w:val="20"/>
        </w:rPr>
        <w:t>research</w:t>
      </w:r>
      <w:proofErr w:type="spellEnd"/>
      <w:r w:rsidRPr="00800799">
        <w:rPr>
          <w:sz w:val="20"/>
          <w:szCs w:val="20"/>
        </w:rPr>
        <w:t xml:space="preserve"> využity minimálně následující zdroje dat:</w:t>
      </w:r>
    </w:p>
    <w:p w14:paraId="00000149" w14:textId="77777777" w:rsidR="00054D27" w:rsidRPr="00952825" w:rsidRDefault="00AF622A">
      <w:pPr>
        <w:numPr>
          <w:ilvl w:val="0"/>
          <w:numId w:val="12"/>
        </w:numPr>
        <w:spacing w:before="240"/>
        <w:jc w:val="both"/>
        <w:rPr>
          <w:sz w:val="20"/>
          <w:szCs w:val="20"/>
        </w:rPr>
      </w:pPr>
      <w:r w:rsidRPr="00C77291">
        <w:rPr>
          <w:sz w:val="20"/>
          <w:szCs w:val="20"/>
        </w:rPr>
        <w:t>Aktuální zpráva o provádění finančních nástrojů EK</w:t>
      </w:r>
    </w:p>
    <w:p w14:paraId="0000014A" w14:textId="77777777" w:rsidR="00054D27" w:rsidRPr="00676862" w:rsidRDefault="00AF622A">
      <w:pPr>
        <w:numPr>
          <w:ilvl w:val="0"/>
          <w:numId w:val="12"/>
        </w:numPr>
        <w:jc w:val="both"/>
        <w:rPr>
          <w:sz w:val="20"/>
          <w:szCs w:val="20"/>
        </w:rPr>
      </w:pPr>
      <w:r w:rsidRPr="00952825">
        <w:rPr>
          <w:sz w:val="20"/>
          <w:szCs w:val="20"/>
        </w:rPr>
        <w:t xml:space="preserve">Další dostupné podklady zahraničních zkušeností a dobré praxe (např. vyhodnocení finančních nástrojů COSME a </w:t>
      </w:r>
      <w:proofErr w:type="spellStart"/>
      <w:r w:rsidRPr="00952825">
        <w:rPr>
          <w:sz w:val="20"/>
          <w:szCs w:val="20"/>
        </w:rPr>
        <w:t>Innov</w:t>
      </w:r>
      <w:r w:rsidRPr="00381528">
        <w:rPr>
          <w:sz w:val="20"/>
          <w:szCs w:val="20"/>
        </w:rPr>
        <w:t>Fin</w:t>
      </w:r>
      <w:proofErr w:type="spellEnd"/>
      <w:r w:rsidRPr="00381528">
        <w:rPr>
          <w:sz w:val="20"/>
          <w:szCs w:val="20"/>
        </w:rPr>
        <w:t>, finančních nástrojů ESIF prováděných BGK, SIH atd.)</w:t>
      </w:r>
    </w:p>
    <w:p w14:paraId="0000014B" w14:textId="77777777" w:rsidR="00054D27" w:rsidRPr="00800799" w:rsidRDefault="00AF622A">
      <w:pPr>
        <w:numPr>
          <w:ilvl w:val="0"/>
          <w:numId w:val="12"/>
        </w:numPr>
        <w:jc w:val="both"/>
        <w:rPr>
          <w:sz w:val="20"/>
          <w:szCs w:val="20"/>
        </w:rPr>
      </w:pPr>
      <w:r w:rsidRPr="00676862">
        <w:rPr>
          <w:sz w:val="20"/>
          <w:szCs w:val="20"/>
        </w:rPr>
        <w:t>Rešerše dostupných komerčních finančních produktů pokrývajících témata relevantních s</w:t>
      </w:r>
      <w:r w:rsidRPr="00800799">
        <w:rPr>
          <w:sz w:val="20"/>
          <w:szCs w:val="20"/>
        </w:rPr>
        <w:t>pecifických cílů OP TAK</w:t>
      </w:r>
    </w:p>
    <w:p w14:paraId="0000014C" w14:textId="77777777" w:rsidR="00054D27" w:rsidRPr="00800799" w:rsidRDefault="00AF622A">
      <w:pPr>
        <w:numPr>
          <w:ilvl w:val="0"/>
          <w:numId w:val="12"/>
        </w:numPr>
        <w:jc w:val="both"/>
        <w:rPr>
          <w:sz w:val="20"/>
          <w:szCs w:val="20"/>
        </w:rPr>
      </w:pPr>
      <w:r w:rsidRPr="00800799">
        <w:rPr>
          <w:sz w:val="20"/>
          <w:szCs w:val="20"/>
        </w:rPr>
        <w:t xml:space="preserve">Národní strategie regenerací </w:t>
      </w:r>
      <w:proofErr w:type="spellStart"/>
      <w:r w:rsidRPr="00800799">
        <w:rPr>
          <w:sz w:val="20"/>
          <w:szCs w:val="20"/>
        </w:rPr>
        <w:t>brownfieldů</w:t>
      </w:r>
      <w:proofErr w:type="spellEnd"/>
      <w:r w:rsidRPr="00800799">
        <w:rPr>
          <w:sz w:val="20"/>
          <w:szCs w:val="20"/>
        </w:rPr>
        <w:t xml:space="preserve"> 2019-2024</w:t>
      </w:r>
    </w:p>
    <w:p w14:paraId="0000014D" w14:textId="77777777" w:rsidR="00054D27" w:rsidRPr="00800799" w:rsidRDefault="00AF622A">
      <w:pPr>
        <w:numPr>
          <w:ilvl w:val="0"/>
          <w:numId w:val="12"/>
        </w:numPr>
        <w:jc w:val="both"/>
        <w:rPr>
          <w:sz w:val="20"/>
          <w:szCs w:val="20"/>
        </w:rPr>
      </w:pPr>
      <w:r w:rsidRPr="00800799">
        <w:rPr>
          <w:sz w:val="20"/>
          <w:szCs w:val="20"/>
        </w:rPr>
        <w:t>Národní akční plán čisté mobility</w:t>
      </w:r>
    </w:p>
    <w:p w14:paraId="0000014E" w14:textId="77777777" w:rsidR="00054D27" w:rsidRPr="00800799" w:rsidRDefault="00AF622A">
      <w:pPr>
        <w:numPr>
          <w:ilvl w:val="0"/>
          <w:numId w:val="12"/>
        </w:numPr>
        <w:jc w:val="both"/>
        <w:rPr>
          <w:sz w:val="20"/>
          <w:szCs w:val="20"/>
        </w:rPr>
      </w:pPr>
      <w:r w:rsidRPr="00800799">
        <w:rPr>
          <w:sz w:val="20"/>
          <w:szCs w:val="20"/>
        </w:rPr>
        <w:t>Národní energetický a klimatický plán</w:t>
      </w:r>
    </w:p>
    <w:p w14:paraId="0000014F" w14:textId="77777777" w:rsidR="00054D27" w:rsidRPr="00800799" w:rsidRDefault="00AF622A">
      <w:pPr>
        <w:numPr>
          <w:ilvl w:val="0"/>
          <w:numId w:val="12"/>
        </w:numPr>
        <w:jc w:val="both"/>
        <w:rPr>
          <w:sz w:val="20"/>
          <w:szCs w:val="20"/>
        </w:rPr>
      </w:pPr>
      <w:r w:rsidRPr="00800799">
        <w:rPr>
          <w:sz w:val="20"/>
          <w:szCs w:val="20"/>
        </w:rPr>
        <w:t>Strategie Digitální Česko</w:t>
      </w:r>
    </w:p>
    <w:p w14:paraId="00000150" w14:textId="77777777" w:rsidR="00054D27" w:rsidRPr="00800799" w:rsidRDefault="00AF622A">
      <w:pPr>
        <w:numPr>
          <w:ilvl w:val="0"/>
          <w:numId w:val="12"/>
        </w:numPr>
        <w:jc w:val="both"/>
        <w:rPr>
          <w:sz w:val="20"/>
          <w:szCs w:val="20"/>
        </w:rPr>
      </w:pPr>
      <w:r w:rsidRPr="00800799">
        <w:rPr>
          <w:sz w:val="20"/>
          <w:szCs w:val="20"/>
        </w:rPr>
        <w:t>Národní plán obnovy</w:t>
      </w:r>
    </w:p>
    <w:p w14:paraId="00000151" w14:textId="77777777" w:rsidR="00054D27" w:rsidRPr="00800799" w:rsidRDefault="00AF622A">
      <w:pPr>
        <w:numPr>
          <w:ilvl w:val="0"/>
          <w:numId w:val="12"/>
        </w:numPr>
        <w:jc w:val="both"/>
        <w:rPr>
          <w:sz w:val="20"/>
          <w:szCs w:val="20"/>
        </w:rPr>
      </w:pPr>
      <w:r w:rsidRPr="00800799">
        <w:rPr>
          <w:sz w:val="20"/>
          <w:szCs w:val="20"/>
        </w:rPr>
        <w:t>Plán spravedlivé transformace</w:t>
      </w:r>
    </w:p>
    <w:p w14:paraId="00000152" w14:textId="1A1C42F6" w:rsidR="00054D27" w:rsidRPr="00800799" w:rsidRDefault="00AF622A" w:rsidP="00FF79F7">
      <w:pPr>
        <w:numPr>
          <w:ilvl w:val="0"/>
          <w:numId w:val="12"/>
        </w:numPr>
        <w:jc w:val="both"/>
        <w:rPr>
          <w:sz w:val="20"/>
          <w:szCs w:val="20"/>
        </w:rPr>
      </w:pPr>
      <w:r w:rsidRPr="00800799">
        <w:rPr>
          <w:sz w:val="20"/>
          <w:szCs w:val="20"/>
        </w:rPr>
        <w:t>Návrhy ostatních operačních programů</w:t>
      </w:r>
    </w:p>
    <w:p w14:paraId="3F56033B" w14:textId="77777777" w:rsidR="00FF79F7" w:rsidRPr="00800799" w:rsidRDefault="00FF79F7" w:rsidP="00FF79F7">
      <w:pPr>
        <w:numPr>
          <w:ilvl w:val="0"/>
          <w:numId w:val="12"/>
        </w:numPr>
        <w:jc w:val="both"/>
        <w:rPr>
          <w:sz w:val="20"/>
          <w:szCs w:val="20"/>
        </w:rPr>
      </w:pPr>
      <w:r w:rsidRPr="00800799">
        <w:rPr>
          <w:sz w:val="20"/>
          <w:szCs w:val="20"/>
        </w:rPr>
        <w:t>Strategie MSP</w:t>
      </w:r>
    </w:p>
    <w:p w14:paraId="483EF177" w14:textId="54367F9C" w:rsidR="00FF79F7" w:rsidRPr="00800799" w:rsidRDefault="00FF79F7" w:rsidP="00FF79F7">
      <w:pPr>
        <w:numPr>
          <w:ilvl w:val="0"/>
          <w:numId w:val="12"/>
        </w:numPr>
        <w:jc w:val="both"/>
        <w:rPr>
          <w:sz w:val="20"/>
          <w:szCs w:val="20"/>
        </w:rPr>
      </w:pPr>
      <w:r w:rsidRPr="00800799">
        <w:rPr>
          <w:sz w:val="20"/>
          <w:szCs w:val="20"/>
        </w:rPr>
        <w:t>Analýza Světové banky</w:t>
      </w:r>
      <w:r w:rsidRPr="00800799">
        <w:rPr>
          <w:rStyle w:val="Znakapoznpodarou"/>
          <w:sz w:val="20"/>
          <w:szCs w:val="20"/>
        </w:rPr>
        <w:footnoteReference w:id="3"/>
      </w:r>
    </w:p>
    <w:p w14:paraId="49CA6E85" w14:textId="7B3B158E" w:rsidR="00FF79F7" w:rsidRPr="00800799" w:rsidRDefault="00FF79F7" w:rsidP="00FF79F7">
      <w:pPr>
        <w:numPr>
          <w:ilvl w:val="0"/>
          <w:numId w:val="12"/>
        </w:numPr>
        <w:jc w:val="both"/>
        <w:rPr>
          <w:sz w:val="20"/>
          <w:szCs w:val="20"/>
        </w:rPr>
      </w:pPr>
      <w:r w:rsidRPr="00800799">
        <w:rPr>
          <w:sz w:val="20"/>
          <w:szCs w:val="20"/>
        </w:rPr>
        <w:t>Posouzení oblastí vhodných pro návratnou formu podpory v období 2020+</w:t>
      </w:r>
      <w:r w:rsidRPr="00800799">
        <w:rPr>
          <w:rStyle w:val="Znakapoznpodarou"/>
          <w:sz w:val="20"/>
          <w:szCs w:val="20"/>
        </w:rPr>
        <w:footnoteReference w:id="4"/>
      </w:r>
    </w:p>
    <w:p w14:paraId="4F480046" w14:textId="7684E8F3" w:rsidR="00FF79F7" w:rsidRPr="00952825" w:rsidRDefault="00FF79F7" w:rsidP="00FF79F7">
      <w:pPr>
        <w:numPr>
          <w:ilvl w:val="0"/>
          <w:numId w:val="12"/>
        </w:numPr>
        <w:jc w:val="both"/>
        <w:rPr>
          <w:sz w:val="20"/>
          <w:szCs w:val="20"/>
        </w:rPr>
      </w:pPr>
      <w:r w:rsidRPr="00C77291">
        <w:rPr>
          <w:sz w:val="20"/>
          <w:szCs w:val="20"/>
        </w:rPr>
        <w:t>Předchozí ex-ante analýza finančních nástrojů programu OP PIK</w:t>
      </w:r>
    </w:p>
    <w:p w14:paraId="183F5C97" w14:textId="04388FCA" w:rsidR="00FF79F7" w:rsidRPr="00952825" w:rsidRDefault="00FF79F7" w:rsidP="00FF79F7">
      <w:pPr>
        <w:numPr>
          <w:ilvl w:val="0"/>
          <w:numId w:val="12"/>
        </w:numPr>
        <w:jc w:val="both"/>
        <w:rPr>
          <w:sz w:val="20"/>
          <w:szCs w:val="20"/>
        </w:rPr>
      </w:pPr>
      <w:r w:rsidRPr="00952825">
        <w:rPr>
          <w:sz w:val="20"/>
          <w:szCs w:val="20"/>
        </w:rPr>
        <w:t>Výsledková evaluace specifického cíle 2.1 OP PIK z roku 2019</w:t>
      </w:r>
    </w:p>
    <w:p w14:paraId="51CFDA8E" w14:textId="0D2F6D86" w:rsidR="00FF79F7" w:rsidRPr="00676862" w:rsidRDefault="00FF79F7" w:rsidP="00FF79F7">
      <w:pPr>
        <w:numPr>
          <w:ilvl w:val="0"/>
          <w:numId w:val="12"/>
        </w:numPr>
        <w:jc w:val="both"/>
        <w:rPr>
          <w:sz w:val="20"/>
          <w:szCs w:val="20"/>
        </w:rPr>
      </w:pPr>
      <w:r w:rsidRPr="00381528">
        <w:rPr>
          <w:sz w:val="20"/>
          <w:szCs w:val="20"/>
        </w:rPr>
        <w:t>Ana</w:t>
      </w:r>
      <w:r w:rsidRPr="00676862">
        <w:rPr>
          <w:sz w:val="20"/>
          <w:szCs w:val="20"/>
        </w:rPr>
        <w:t>lýza absorpční kapacity OP TAK z roku 2020</w:t>
      </w:r>
    </w:p>
    <w:p w14:paraId="2E00614A" w14:textId="60AD53D7" w:rsidR="00FF79F7" w:rsidRPr="00800799" w:rsidRDefault="00FF79F7" w:rsidP="00FF79F7">
      <w:pPr>
        <w:numPr>
          <w:ilvl w:val="0"/>
          <w:numId w:val="12"/>
        </w:numPr>
        <w:jc w:val="both"/>
        <w:rPr>
          <w:sz w:val="20"/>
          <w:szCs w:val="20"/>
        </w:rPr>
      </w:pPr>
      <w:r w:rsidRPr="00800799">
        <w:rPr>
          <w:sz w:val="20"/>
          <w:szCs w:val="20"/>
        </w:rPr>
        <w:t>Analýzy tržní situace v jednotlivých specifických cílech OP TAK z roku 2020</w:t>
      </w:r>
    </w:p>
    <w:p w14:paraId="49418719" w14:textId="4FE88B42" w:rsidR="00FF79F7" w:rsidRPr="00800799" w:rsidRDefault="00FF79F7" w:rsidP="00FF79F7">
      <w:pPr>
        <w:numPr>
          <w:ilvl w:val="0"/>
          <w:numId w:val="12"/>
        </w:numPr>
        <w:spacing w:after="240"/>
        <w:jc w:val="both"/>
        <w:rPr>
          <w:sz w:val="20"/>
          <w:szCs w:val="20"/>
        </w:rPr>
      </w:pPr>
      <w:r w:rsidRPr="00800799">
        <w:rPr>
          <w:sz w:val="20"/>
          <w:szCs w:val="20"/>
        </w:rPr>
        <w:t xml:space="preserve">Studie proveditelnosti finančního nástroje na podporu EPC projektů Evropské investiční banky </w:t>
      </w:r>
    </w:p>
    <w:p w14:paraId="00000153" w14:textId="77777777" w:rsidR="00054D27" w:rsidRPr="00800799" w:rsidRDefault="00AF622A">
      <w:pPr>
        <w:spacing w:before="240" w:after="180"/>
        <w:jc w:val="both"/>
        <w:rPr>
          <w:sz w:val="20"/>
          <w:szCs w:val="20"/>
        </w:rPr>
      </w:pPr>
      <w:r w:rsidRPr="00800799">
        <w:rPr>
          <w:sz w:val="20"/>
          <w:szCs w:val="20"/>
        </w:rPr>
        <w:t xml:space="preserve">Zároveň k datu odevzdání této vstupní zprávy organizujeme </w:t>
      </w:r>
      <w:r w:rsidRPr="00800799">
        <w:rPr>
          <w:b/>
          <w:i/>
          <w:sz w:val="20"/>
          <w:szCs w:val="20"/>
          <w:u w:val="single"/>
        </w:rPr>
        <w:t xml:space="preserve">strukturované rozhovory s identifikovanými </w:t>
      </w:r>
      <w:proofErr w:type="spellStart"/>
      <w:r w:rsidRPr="00800799">
        <w:rPr>
          <w:b/>
          <w:i/>
          <w:sz w:val="20"/>
          <w:szCs w:val="20"/>
          <w:u w:val="single"/>
        </w:rPr>
        <w:t>stakeholdery</w:t>
      </w:r>
      <w:proofErr w:type="spellEnd"/>
      <w:r w:rsidRPr="00800799">
        <w:rPr>
          <w:sz w:val="20"/>
          <w:szCs w:val="20"/>
        </w:rPr>
        <w:t xml:space="preserve"> s cílem provést tyto rozhovory do konce roku 2021. Následuje finální list oslovených subjektů po schválení ze strany Zadavatele:</w:t>
      </w:r>
    </w:p>
    <w:tbl>
      <w:tblPr>
        <w:tblStyle w:val="af2"/>
        <w:tblW w:w="9360" w:type="dxa"/>
        <w:tblBorders>
          <w:top w:val="nil"/>
          <w:left w:val="nil"/>
          <w:bottom w:val="nil"/>
          <w:right w:val="nil"/>
          <w:insideH w:val="nil"/>
          <w:insideV w:val="nil"/>
        </w:tblBorders>
        <w:tblLayout w:type="fixed"/>
        <w:tblLook w:val="0600" w:firstRow="0" w:lastRow="0" w:firstColumn="0" w:lastColumn="0" w:noHBand="1" w:noVBand="1"/>
      </w:tblPr>
      <w:tblGrid>
        <w:gridCol w:w="3510"/>
        <w:gridCol w:w="3068"/>
        <w:gridCol w:w="1391"/>
        <w:gridCol w:w="1391"/>
      </w:tblGrid>
      <w:tr w:rsidR="00054D27" w:rsidRPr="00800799" w14:paraId="75FE96D5" w14:textId="77777777">
        <w:trPr>
          <w:trHeight w:val="795"/>
        </w:trPr>
        <w:tc>
          <w:tcPr>
            <w:tcW w:w="3510" w:type="dxa"/>
            <w:tcBorders>
              <w:top w:val="nil"/>
              <w:left w:val="nil"/>
              <w:bottom w:val="single" w:sz="8" w:space="0" w:color="A32020"/>
              <w:right w:val="single" w:sz="8" w:space="0" w:color="A32020"/>
            </w:tcBorders>
            <w:shd w:val="clear" w:color="auto" w:fill="A32020"/>
            <w:tcMar>
              <w:top w:w="100" w:type="dxa"/>
              <w:left w:w="100" w:type="dxa"/>
              <w:bottom w:w="100" w:type="dxa"/>
              <w:right w:w="100" w:type="dxa"/>
            </w:tcMar>
          </w:tcPr>
          <w:p w14:paraId="00000154" w14:textId="77777777" w:rsidR="00054D27" w:rsidRPr="00800799" w:rsidRDefault="00AF622A">
            <w:pPr>
              <w:spacing w:before="240"/>
              <w:ind w:left="90"/>
              <w:rPr>
                <w:rFonts w:ascii="Arial" w:eastAsia="Arial" w:hAnsi="Arial" w:cs="Arial"/>
                <w:b/>
                <w:color w:val="FFFFFF"/>
                <w:sz w:val="20"/>
                <w:szCs w:val="20"/>
              </w:rPr>
            </w:pPr>
            <w:r w:rsidRPr="00800799">
              <w:rPr>
                <w:b/>
                <w:color w:val="FFFFFF"/>
                <w:sz w:val="20"/>
                <w:szCs w:val="20"/>
              </w:rPr>
              <w:lastRenderedPageBreak/>
              <w:t>Organizace</w:t>
            </w:r>
          </w:p>
        </w:tc>
        <w:tc>
          <w:tcPr>
            <w:tcW w:w="3068" w:type="dxa"/>
            <w:tcBorders>
              <w:top w:val="nil"/>
              <w:left w:val="nil"/>
              <w:bottom w:val="single" w:sz="8" w:space="0" w:color="A32020"/>
              <w:right w:val="single" w:sz="8" w:space="0" w:color="A32020"/>
            </w:tcBorders>
            <w:shd w:val="clear" w:color="auto" w:fill="A32020"/>
            <w:tcMar>
              <w:top w:w="100" w:type="dxa"/>
              <w:left w:w="100" w:type="dxa"/>
              <w:bottom w:w="100" w:type="dxa"/>
              <w:right w:w="100" w:type="dxa"/>
            </w:tcMar>
          </w:tcPr>
          <w:p w14:paraId="00000155" w14:textId="77777777" w:rsidR="00054D27" w:rsidRPr="00800799" w:rsidRDefault="00AF622A">
            <w:pPr>
              <w:spacing w:before="240"/>
              <w:ind w:left="90"/>
              <w:jc w:val="center"/>
              <w:rPr>
                <w:rFonts w:ascii="Arial" w:eastAsia="Arial" w:hAnsi="Arial" w:cs="Arial"/>
                <w:b/>
                <w:color w:val="FFFFFF"/>
                <w:sz w:val="20"/>
                <w:szCs w:val="20"/>
              </w:rPr>
            </w:pPr>
            <w:r w:rsidRPr="00800799">
              <w:rPr>
                <w:b/>
                <w:color w:val="FFFFFF"/>
                <w:sz w:val="20"/>
                <w:szCs w:val="20"/>
              </w:rPr>
              <w:t>Témata</w:t>
            </w:r>
          </w:p>
        </w:tc>
        <w:tc>
          <w:tcPr>
            <w:tcW w:w="2782" w:type="dxa"/>
            <w:gridSpan w:val="2"/>
            <w:tcBorders>
              <w:top w:val="nil"/>
              <w:left w:val="nil"/>
              <w:bottom w:val="single" w:sz="8" w:space="0" w:color="A32020"/>
              <w:right w:val="nil"/>
            </w:tcBorders>
            <w:shd w:val="clear" w:color="auto" w:fill="A32020"/>
            <w:tcMar>
              <w:top w:w="100" w:type="dxa"/>
              <w:left w:w="100" w:type="dxa"/>
              <w:bottom w:w="100" w:type="dxa"/>
              <w:right w:w="100" w:type="dxa"/>
            </w:tcMar>
          </w:tcPr>
          <w:p w14:paraId="00000156" w14:textId="77777777" w:rsidR="00054D27" w:rsidRPr="00800799" w:rsidRDefault="00AF622A">
            <w:pPr>
              <w:spacing w:before="240"/>
              <w:ind w:left="90"/>
              <w:jc w:val="center"/>
              <w:rPr>
                <w:rFonts w:ascii="Arial" w:eastAsia="Arial" w:hAnsi="Arial" w:cs="Arial"/>
                <w:b/>
                <w:color w:val="FFFFFF"/>
                <w:sz w:val="20"/>
                <w:szCs w:val="20"/>
              </w:rPr>
            </w:pPr>
            <w:r w:rsidRPr="00800799">
              <w:rPr>
                <w:b/>
                <w:color w:val="FFFFFF"/>
                <w:sz w:val="20"/>
                <w:szCs w:val="20"/>
              </w:rPr>
              <w:t>Specifické cíle OP TAK</w:t>
            </w:r>
          </w:p>
        </w:tc>
      </w:tr>
      <w:tr w:rsidR="00054D27" w:rsidRPr="00800799" w14:paraId="42ED71F9" w14:textId="77777777">
        <w:trPr>
          <w:trHeight w:val="855"/>
        </w:trPr>
        <w:tc>
          <w:tcPr>
            <w:tcW w:w="9360" w:type="dxa"/>
            <w:gridSpan w:val="4"/>
            <w:tcBorders>
              <w:top w:val="nil"/>
              <w:left w:val="nil"/>
              <w:bottom w:val="single" w:sz="8" w:space="0" w:color="A32020"/>
              <w:right w:val="nil"/>
            </w:tcBorders>
            <w:shd w:val="clear" w:color="auto" w:fill="auto"/>
            <w:tcMar>
              <w:top w:w="100" w:type="dxa"/>
              <w:left w:w="100" w:type="dxa"/>
              <w:bottom w:w="100" w:type="dxa"/>
              <w:right w:w="100" w:type="dxa"/>
            </w:tcMar>
          </w:tcPr>
          <w:p w14:paraId="00000158" w14:textId="329ABD0E" w:rsidR="00054D27" w:rsidRPr="00800799" w:rsidRDefault="00AF622A">
            <w:pPr>
              <w:spacing w:before="240"/>
              <w:ind w:left="90"/>
              <w:jc w:val="center"/>
              <w:rPr>
                <w:rFonts w:ascii="Arial" w:eastAsia="Arial" w:hAnsi="Arial" w:cs="Arial"/>
                <w:b/>
                <w:sz w:val="20"/>
                <w:szCs w:val="20"/>
              </w:rPr>
            </w:pPr>
            <w:r w:rsidRPr="00800799">
              <w:rPr>
                <w:b/>
                <w:sz w:val="20"/>
                <w:szCs w:val="20"/>
              </w:rPr>
              <w:t>Asociace finančních institucí a poradců</w:t>
            </w:r>
          </w:p>
        </w:tc>
      </w:tr>
      <w:tr w:rsidR="00054D27" w:rsidRPr="00800799" w14:paraId="2A3A3C65"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5C" w14:textId="77777777" w:rsidR="00054D27" w:rsidRPr="00800799" w:rsidRDefault="00AF622A">
            <w:pPr>
              <w:spacing w:before="240"/>
              <w:ind w:left="90"/>
              <w:rPr>
                <w:rFonts w:ascii="Arial" w:eastAsia="Arial" w:hAnsi="Arial" w:cs="Arial"/>
                <w:sz w:val="20"/>
                <w:szCs w:val="20"/>
              </w:rPr>
            </w:pPr>
            <w:r w:rsidRPr="00800799">
              <w:rPr>
                <w:sz w:val="20"/>
                <w:szCs w:val="20"/>
              </w:rPr>
              <w:t>Česká bankovní asociace</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5D" w14:textId="77777777" w:rsidR="00054D27" w:rsidRPr="00800799" w:rsidRDefault="00AF622A">
            <w:pPr>
              <w:spacing w:before="240"/>
              <w:ind w:left="90"/>
              <w:jc w:val="center"/>
              <w:rPr>
                <w:rFonts w:ascii="Arial" w:eastAsia="Arial" w:hAnsi="Arial" w:cs="Arial"/>
                <w:sz w:val="20"/>
                <w:szCs w:val="20"/>
              </w:rPr>
            </w:pPr>
            <w:r w:rsidRPr="00800799">
              <w:rPr>
                <w:sz w:val="20"/>
                <w:szCs w:val="20"/>
              </w:rPr>
              <w:t>Bankovní nástroje MSP</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5F" w14:textId="77777777" w:rsidR="00054D27" w:rsidRPr="00800799" w:rsidRDefault="00AF622A">
            <w:pPr>
              <w:spacing w:before="240"/>
              <w:ind w:left="90"/>
              <w:jc w:val="center"/>
              <w:rPr>
                <w:rFonts w:ascii="Arial" w:eastAsia="Arial" w:hAnsi="Arial" w:cs="Arial"/>
                <w:sz w:val="20"/>
                <w:szCs w:val="20"/>
              </w:rPr>
            </w:pPr>
            <w:r w:rsidRPr="00800799">
              <w:rPr>
                <w:sz w:val="20"/>
                <w:szCs w:val="20"/>
              </w:rPr>
              <w:t>2.1</w:t>
            </w:r>
          </w:p>
        </w:tc>
      </w:tr>
      <w:tr w:rsidR="00054D27" w:rsidRPr="00800799" w14:paraId="172BA77D"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60" w14:textId="77777777" w:rsidR="00054D27" w:rsidRPr="00800799" w:rsidRDefault="00AF622A">
            <w:pPr>
              <w:spacing w:before="240"/>
              <w:ind w:left="90"/>
              <w:rPr>
                <w:rFonts w:ascii="Arial" w:eastAsia="Arial" w:hAnsi="Arial" w:cs="Arial"/>
                <w:sz w:val="20"/>
                <w:szCs w:val="20"/>
              </w:rPr>
            </w:pPr>
            <w:r w:rsidRPr="00800799">
              <w:rPr>
                <w:sz w:val="20"/>
                <w:szCs w:val="20"/>
              </w:rPr>
              <w:t>CVCA</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61" w14:textId="77777777" w:rsidR="00054D27" w:rsidRPr="00800799" w:rsidRDefault="00AF622A">
            <w:pPr>
              <w:spacing w:before="240"/>
              <w:ind w:left="90"/>
              <w:jc w:val="center"/>
              <w:rPr>
                <w:rFonts w:ascii="Arial" w:eastAsia="Arial" w:hAnsi="Arial" w:cs="Arial"/>
                <w:sz w:val="20"/>
                <w:szCs w:val="20"/>
              </w:rPr>
            </w:pPr>
            <w:r w:rsidRPr="00800799">
              <w:rPr>
                <w:sz w:val="20"/>
                <w:szCs w:val="20"/>
              </w:rPr>
              <w:t>Rizikový kapitál pro MSP</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63" w14:textId="77777777" w:rsidR="00054D27" w:rsidRPr="00800799" w:rsidRDefault="00AF622A">
            <w:pPr>
              <w:spacing w:before="240"/>
              <w:ind w:left="90"/>
              <w:jc w:val="center"/>
              <w:rPr>
                <w:rFonts w:ascii="Arial" w:eastAsia="Arial" w:hAnsi="Arial" w:cs="Arial"/>
                <w:sz w:val="20"/>
                <w:szCs w:val="20"/>
              </w:rPr>
            </w:pPr>
            <w:r w:rsidRPr="00800799">
              <w:rPr>
                <w:sz w:val="20"/>
                <w:szCs w:val="20"/>
              </w:rPr>
              <w:t>2.1</w:t>
            </w:r>
          </w:p>
        </w:tc>
      </w:tr>
      <w:tr w:rsidR="00054D27" w:rsidRPr="00800799" w14:paraId="00C5341D"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64" w14:textId="77777777" w:rsidR="00054D27" w:rsidRPr="00800799" w:rsidRDefault="00AF622A">
            <w:pPr>
              <w:spacing w:before="240"/>
              <w:ind w:left="90"/>
              <w:rPr>
                <w:rFonts w:ascii="Arial" w:eastAsia="Arial" w:hAnsi="Arial" w:cs="Arial"/>
                <w:sz w:val="20"/>
                <w:szCs w:val="20"/>
              </w:rPr>
            </w:pPr>
            <w:r w:rsidRPr="00800799">
              <w:rPr>
                <w:sz w:val="20"/>
                <w:szCs w:val="20"/>
              </w:rPr>
              <w:t xml:space="preserve">Czech Business Angel </w:t>
            </w:r>
            <w:proofErr w:type="spellStart"/>
            <w:r w:rsidRPr="00800799">
              <w:rPr>
                <w:sz w:val="20"/>
                <w:szCs w:val="20"/>
              </w:rPr>
              <w:t>Association</w:t>
            </w:r>
            <w:proofErr w:type="spellEnd"/>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65" w14:textId="77777777" w:rsidR="00054D27" w:rsidRPr="00800799" w:rsidRDefault="00AF622A">
            <w:pPr>
              <w:spacing w:before="240"/>
              <w:ind w:left="90"/>
              <w:jc w:val="center"/>
              <w:rPr>
                <w:rFonts w:ascii="Arial" w:eastAsia="Arial" w:hAnsi="Arial" w:cs="Arial"/>
                <w:sz w:val="20"/>
                <w:szCs w:val="20"/>
              </w:rPr>
            </w:pPr>
            <w:r w:rsidRPr="00800799">
              <w:rPr>
                <w:sz w:val="20"/>
                <w:szCs w:val="20"/>
              </w:rPr>
              <w:t>Rizikový kapitál pro MSP</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67" w14:textId="77777777" w:rsidR="00054D27" w:rsidRPr="00800799" w:rsidRDefault="00AF622A">
            <w:pPr>
              <w:spacing w:before="240"/>
              <w:ind w:left="90"/>
              <w:jc w:val="center"/>
              <w:rPr>
                <w:rFonts w:ascii="Arial" w:eastAsia="Arial" w:hAnsi="Arial" w:cs="Arial"/>
                <w:sz w:val="20"/>
                <w:szCs w:val="20"/>
              </w:rPr>
            </w:pPr>
            <w:r w:rsidRPr="00800799">
              <w:rPr>
                <w:sz w:val="20"/>
                <w:szCs w:val="20"/>
              </w:rPr>
              <w:t>2.1</w:t>
            </w:r>
          </w:p>
        </w:tc>
      </w:tr>
      <w:tr w:rsidR="00054D27" w:rsidRPr="00800799" w14:paraId="286CFDE0"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68" w14:textId="77777777" w:rsidR="00054D27" w:rsidRPr="00800799" w:rsidRDefault="00AF622A">
            <w:pPr>
              <w:spacing w:before="240"/>
              <w:ind w:left="90"/>
              <w:rPr>
                <w:rFonts w:ascii="Arial" w:eastAsia="Arial" w:hAnsi="Arial" w:cs="Arial"/>
                <w:sz w:val="20"/>
                <w:szCs w:val="20"/>
              </w:rPr>
            </w:pPr>
            <w:r w:rsidRPr="00800799">
              <w:rPr>
                <w:sz w:val="20"/>
                <w:szCs w:val="20"/>
              </w:rPr>
              <w:t>Asociace pro kapitálové trhy</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69" w14:textId="77777777" w:rsidR="00054D27" w:rsidRPr="00800799" w:rsidRDefault="00AF622A">
            <w:pPr>
              <w:spacing w:before="240"/>
              <w:ind w:left="90"/>
              <w:jc w:val="center"/>
              <w:rPr>
                <w:rFonts w:ascii="Arial" w:eastAsia="Arial" w:hAnsi="Arial" w:cs="Arial"/>
                <w:sz w:val="20"/>
                <w:szCs w:val="20"/>
              </w:rPr>
            </w:pPr>
            <w:r w:rsidRPr="00800799">
              <w:rPr>
                <w:sz w:val="20"/>
                <w:szCs w:val="20"/>
              </w:rPr>
              <w:t>Rizikový kapitál pro MSP</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6B" w14:textId="77777777" w:rsidR="00054D27" w:rsidRPr="00800799" w:rsidRDefault="00AF622A">
            <w:pPr>
              <w:spacing w:before="240"/>
              <w:ind w:left="90"/>
              <w:jc w:val="center"/>
              <w:rPr>
                <w:rFonts w:ascii="Arial" w:eastAsia="Arial" w:hAnsi="Arial" w:cs="Arial"/>
                <w:sz w:val="20"/>
                <w:szCs w:val="20"/>
              </w:rPr>
            </w:pPr>
            <w:r w:rsidRPr="00800799">
              <w:rPr>
                <w:sz w:val="20"/>
                <w:szCs w:val="20"/>
              </w:rPr>
              <w:t>2.1</w:t>
            </w:r>
          </w:p>
        </w:tc>
      </w:tr>
      <w:tr w:rsidR="00054D27" w:rsidRPr="00800799" w14:paraId="78543CD6"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6C" w14:textId="77777777" w:rsidR="00054D27" w:rsidRPr="00800799" w:rsidRDefault="00AF622A">
            <w:pPr>
              <w:spacing w:before="240"/>
              <w:ind w:left="90"/>
              <w:rPr>
                <w:rFonts w:ascii="Arial" w:eastAsia="Arial" w:hAnsi="Arial" w:cs="Arial"/>
                <w:sz w:val="20"/>
                <w:szCs w:val="20"/>
              </w:rPr>
            </w:pPr>
            <w:r w:rsidRPr="00800799">
              <w:rPr>
                <w:sz w:val="20"/>
                <w:szCs w:val="20"/>
              </w:rPr>
              <w:t>Česká leasingová a finanční asociace</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6D" w14:textId="77777777" w:rsidR="00054D27" w:rsidRPr="00800799" w:rsidRDefault="00AF622A">
            <w:pPr>
              <w:spacing w:before="240"/>
              <w:ind w:left="90"/>
              <w:jc w:val="center"/>
              <w:rPr>
                <w:rFonts w:ascii="Arial" w:eastAsia="Arial" w:hAnsi="Arial" w:cs="Arial"/>
                <w:sz w:val="20"/>
                <w:szCs w:val="20"/>
              </w:rPr>
            </w:pPr>
            <w:r w:rsidRPr="00800799">
              <w:rPr>
                <w:sz w:val="20"/>
                <w:szCs w:val="20"/>
              </w:rPr>
              <w:t>Bankovní nástroje MSP</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6F" w14:textId="77777777" w:rsidR="00054D27" w:rsidRPr="00800799" w:rsidRDefault="00AF622A">
            <w:pPr>
              <w:spacing w:before="240"/>
              <w:ind w:left="90"/>
              <w:jc w:val="center"/>
              <w:rPr>
                <w:rFonts w:ascii="Arial" w:eastAsia="Arial" w:hAnsi="Arial" w:cs="Arial"/>
                <w:sz w:val="20"/>
                <w:szCs w:val="20"/>
              </w:rPr>
            </w:pPr>
            <w:r w:rsidRPr="00800799">
              <w:rPr>
                <w:sz w:val="20"/>
                <w:szCs w:val="20"/>
              </w:rPr>
              <w:t>2.1</w:t>
            </w:r>
          </w:p>
        </w:tc>
      </w:tr>
      <w:tr w:rsidR="00054D27" w:rsidRPr="00800799" w14:paraId="52AEC781"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70" w14:textId="77777777" w:rsidR="00054D27" w:rsidRPr="00800799" w:rsidRDefault="00AF622A">
            <w:pPr>
              <w:spacing w:before="240"/>
              <w:ind w:left="90"/>
              <w:rPr>
                <w:rFonts w:ascii="Arial" w:eastAsia="Arial" w:hAnsi="Arial" w:cs="Arial"/>
                <w:sz w:val="20"/>
                <w:szCs w:val="20"/>
              </w:rPr>
            </w:pPr>
            <w:r w:rsidRPr="00800799">
              <w:rPr>
                <w:sz w:val="20"/>
                <w:szCs w:val="20"/>
              </w:rPr>
              <w:t>Česká asociace pro umělou inteligenci</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71" w14:textId="77777777" w:rsidR="00054D27" w:rsidRPr="00800799" w:rsidRDefault="00AF622A">
            <w:pPr>
              <w:spacing w:before="240"/>
              <w:ind w:left="90"/>
              <w:jc w:val="center"/>
              <w:rPr>
                <w:rFonts w:ascii="Arial" w:eastAsia="Arial" w:hAnsi="Arial" w:cs="Arial"/>
                <w:sz w:val="20"/>
                <w:szCs w:val="20"/>
              </w:rPr>
            </w:pPr>
            <w:r w:rsidRPr="00800799">
              <w:rPr>
                <w:sz w:val="20"/>
                <w:szCs w:val="20"/>
              </w:rPr>
              <w:t>Digitalizace podnikání</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73" w14:textId="77777777" w:rsidR="00054D27" w:rsidRPr="00800799" w:rsidRDefault="00AF622A">
            <w:pPr>
              <w:spacing w:before="240"/>
              <w:ind w:left="90"/>
              <w:jc w:val="center"/>
              <w:rPr>
                <w:rFonts w:ascii="Arial" w:eastAsia="Arial" w:hAnsi="Arial" w:cs="Arial"/>
                <w:sz w:val="20"/>
                <w:szCs w:val="20"/>
              </w:rPr>
            </w:pPr>
            <w:r w:rsidRPr="00800799">
              <w:rPr>
                <w:sz w:val="20"/>
                <w:szCs w:val="20"/>
              </w:rPr>
              <w:t>1.2</w:t>
            </w:r>
          </w:p>
        </w:tc>
      </w:tr>
      <w:tr w:rsidR="00FF79F7" w:rsidRPr="00800799" w14:paraId="09B74B8F"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7F157528" w14:textId="3716F747" w:rsidR="00FF79F7" w:rsidRPr="00800799" w:rsidRDefault="00FF79F7">
            <w:pPr>
              <w:spacing w:before="240"/>
              <w:ind w:left="90"/>
              <w:rPr>
                <w:rFonts w:ascii="Arial" w:hAnsi="Arial" w:cs="Arial"/>
                <w:sz w:val="20"/>
                <w:szCs w:val="20"/>
              </w:rPr>
            </w:pPr>
            <w:r w:rsidRPr="00800799">
              <w:rPr>
                <w:sz w:val="20"/>
                <w:szCs w:val="20"/>
              </w:rPr>
              <w:t>TRANSFERA</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753C8520" w14:textId="15A7DCA0" w:rsidR="00FF79F7" w:rsidRPr="00800799" w:rsidRDefault="00FF79F7">
            <w:pPr>
              <w:spacing w:before="240"/>
              <w:ind w:left="90"/>
              <w:jc w:val="center"/>
              <w:rPr>
                <w:rFonts w:ascii="Arial" w:hAnsi="Arial" w:cs="Arial"/>
                <w:sz w:val="20"/>
                <w:szCs w:val="20"/>
              </w:rPr>
            </w:pPr>
            <w:r w:rsidRPr="00800799">
              <w:rPr>
                <w:sz w:val="20"/>
                <w:szCs w:val="20"/>
              </w:rPr>
              <w:t>Rizikový kapitál</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2DCC17BC" w14:textId="5E952907" w:rsidR="00FF79F7" w:rsidRPr="00800799" w:rsidRDefault="00FF79F7">
            <w:pPr>
              <w:spacing w:before="240"/>
              <w:ind w:left="90"/>
              <w:jc w:val="center"/>
              <w:rPr>
                <w:rFonts w:ascii="Arial" w:hAnsi="Arial" w:cs="Arial"/>
                <w:sz w:val="20"/>
                <w:szCs w:val="20"/>
              </w:rPr>
            </w:pPr>
            <w:r w:rsidRPr="00800799">
              <w:rPr>
                <w:sz w:val="20"/>
                <w:szCs w:val="20"/>
              </w:rPr>
              <w:t>2.1</w:t>
            </w:r>
          </w:p>
        </w:tc>
      </w:tr>
      <w:tr w:rsidR="00BF5DB8" w:rsidRPr="00800799" w14:paraId="7CC3C714"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56D1B1BF" w14:textId="1F02F046" w:rsidR="00BF5DB8" w:rsidRPr="00EA0A6C" w:rsidRDefault="00BF5DB8" w:rsidP="00BF5DB8">
            <w:pPr>
              <w:spacing w:before="240"/>
              <w:ind w:left="90"/>
              <w:rPr>
                <w:rFonts w:ascii="Arial" w:hAnsi="Arial" w:cs="Arial"/>
                <w:sz w:val="20"/>
                <w:szCs w:val="20"/>
              </w:rPr>
            </w:pPr>
            <w:proofErr w:type="spellStart"/>
            <w:r w:rsidRPr="00800799">
              <w:rPr>
                <w:sz w:val="20"/>
                <w:szCs w:val="20"/>
              </w:rPr>
              <w:t>i&amp;i</w:t>
            </w:r>
            <w:proofErr w:type="spellEnd"/>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459CC1A8" w14:textId="583C9128" w:rsidR="00BF5DB8" w:rsidRPr="00EA0A6C" w:rsidRDefault="00BF5DB8" w:rsidP="00BF5DB8">
            <w:pPr>
              <w:spacing w:before="240"/>
              <w:ind w:left="90"/>
              <w:jc w:val="center"/>
              <w:rPr>
                <w:rFonts w:ascii="Arial" w:hAnsi="Arial" w:cs="Arial"/>
                <w:sz w:val="20"/>
                <w:szCs w:val="20"/>
              </w:rPr>
            </w:pPr>
            <w:r w:rsidRPr="00800799">
              <w:rPr>
                <w:rFonts w:ascii="Arial" w:hAnsi="Arial" w:cs="Arial"/>
                <w:sz w:val="20"/>
                <w:szCs w:val="20"/>
              </w:rPr>
              <w:t>Rizikový kapitál</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29BE18A2" w14:textId="269999D4" w:rsidR="00BF5DB8" w:rsidRPr="00EA0A6C" w:rsidRDefault="00BF5DB8" w:rsidP="00BF5DB8">
            <w:pPr>
              <w:spacing w:before="240"/>
              <w:ind w:left="90"/>
              <w:jc w:val="center"/>
              <w:rPr>
                <w:rFonts w:ascii="Arial" w:hAnsi="Arial" w:cs="Arial"/>
                <w:sz w:val="20"/>
                <w:szCs w:val="20"/>
              </w:rPr>
            </w:pPr>
            <w:r w:rsidRPr="00800799">
              <w:rPr>
                <w:rFonts w:ascii="Arial" w:hAnsi="Arial" w:cs="Arial"/>
                <w:sz w:val="20"/>
                <w:szCs w:val="20"/>
              </w:rPr>
              <w:t>2.1</w:t>
            </w:r>
          </w:p>
        </w:tc>
      </w:tr>
      <w:tr w:rsidR="00BF5DB8" w:rsidRPr="00800799" w14:paraId="1628755C"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74" w14:textId="77777777" w:rsidR="00BF5DB8" w:rsidRPr="00800799" w:rsidRDefault="00BF5DB8" w:rsidP="00BF5DB8">
            <w:pPr>
              <w:spacing w:before="240"/>
              <w:ind w:left="90"/>
              <w:rPr>
                <w:rFonts w:ascii="Arial" w:eastAsia="Arial" w:hAnsi="Arial" w:cs="Arial"/>
                <w:sz w:val="20"/>
                <w:szCs w:val="20"/>
              </w:rPr>
            </w:pPr>
            <w:r w:rsidRPr="00800799">
              <w:rPr>
                <w:sz w:val="20"/>
                <w:szCs w:val="20"/>
              </w:rPr>
              <w:t>Asociace poskytovatelů energetických služeb (APES)</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75"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Úspory energie, čistá mobilita, vodohospodářství</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77"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4.1</w:t>
            </w:r>
          </w:p>
        </w:tc>
      </w:tr>
      <w:tr w:rsidR="00BF5DB8" w:rsidRPr="00800799" w14:paraId="292B0791"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78" w14:textId="77777777" w:rsidR="00BF5DB8" w:rsidRPr="00800799" w:rsidRDefault="00BF5DB8" w:rsidP="00BF5DB8">
            <w:pPr>
              <w:spacing w:before="240"/>
              <w:ind w:left="90"/>
              <w:rPr>
                <w:rFonts w:ascii="Arial" w:eastAsia="Arial" w:hAnsi="Arial" w:cs="Arial"/>
                <w:sz w:val="20"/>
                <w:szCs w:val="20"/>
              </w:rPr>
            </w:pPr>
            <w:r w:rsidRPr="00800799">
              <w:rPr>
                <w:sz w:val="20"/>
                <w:szCs w:val="20"/>
              </w:rPr>
              <w:t>Národní centrum energetických úspor</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79" w14:textId="334A9924" w:rsidR="00BF5DB8" w:rsidRPr="00800799" w:rsidRDefault="00BF5DB8" w:rsidP="00BF5DB8">
            <w:pPr>
              <w:spacing w:before="240"/>
              <w:ind w:left="90"/>
              <w:jc w:val="center"/>
              <w:rPr>
                <w:rFonts w:ascii="Arial" w:eastAsia="Arial" w:hAnsi="Arial" w:cs="Arial"/>
                <w:sz w:val="20"/>
                <w:szCs w:val="20"/>
              </w:rPr>
            </w:pPr>
            <w:r w:rsidRPr="00800799">
              <w:rPr>
                <w:sz w:val="20"/>
                <w:szCs w:val="20"/>
              </w:rPr>
              <w:t>Úspory energie</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7B" w14:textId="4FE1D903" w:rsidR="00BF5DB8" w:rsidRPr="00800799" w:rsidRDefault="00BF5DB8" w:rsidP="00BF5DB8">
            <w:pPr>
              <w:spacing w:before="240"/>
              <w:ind w:left="90"/>
              <w:jc w:val="center"/>
              <w:rPr>
                <w:rFonts w:ascii="Arial" w:eastAsia="Arial" w:hAnsi="Arial" w:cs="Arial"/>
                <w:sz w:val="20"/>
                <w:szCs w:val="20"/>
              </w:rPr>
            </w:pPr>
            <w:r w:rsidRPr="00800799">
              <w:rPr>
                <w:rFonts w:ascii="Arial" w:eastAsia="Arial" w:hAnsi="Arial" w:cs="Arial"/>
                <w:sz w:val="20"/>
                <w:szCs w:val="20"/>
              </w:rPr>
              <w:t>4.1</w:t>
            </w:r>
          </w:p>
        </w:tc>
      </w:tr>
      <w:tr w:rsidR="00BF5DB8" w:rsidRPr="00800799" w14:paraId="72CE018A"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7C" w14:textId="77777777" w:rsidR="00BF5DB8" w:rsidRPr="00800799" w:rsidRDefault="00BF5DB8" w:rsidP="00BF5DB8">
            <w:pPr>
              <w:spacing w:before="240"/>
              <w:ind w:left="90"/>
              <w:rPr>
                <w:rFonts w:ascii="Arial" w:eastAsia="Arial" w:hAnsi="Arial" w:cs="Arial"/>
                <w:sz w:val="20"/>
                <w:szCs w:val="20"/>
              </w:rPr>
            </w:pPr>
            <w:r w:rsidRPr="00800799">
              <w:rPr>
                <w:sz w:val="20"/>
                <w:szCs w:val="20"/>
              </w:rPr>
              <w:lastRenderedPageBreak/>
              <w:t xml:space="preserve">Asociace pro </w:t>
            </w:r>
            <w:proofErr w:type="spellStart"/>
            <w:r w:rsidRPr="00800799">
              <w:rPr>
                <w:sz w:val="20"/>
                <w:szCs w:val="20"/>
              </w:rPr>
              <w:t>elektromobilitu</w:t>
            </w:r>
            <w:proofErr w:type="spellEnd"/>
            <w:r w:rsidRPr="00800799">
              <w:rPr>
                <w:sz w:val="20"/>
                <w:szCs w:val="20"/>
              </w:rPr>
              <w:t xml:space="preserve"> České republiky (APEL)</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7D"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Úspory energie, čistá mobilita, vodohospodářství</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7F"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4.4</w:t>
            </w:r>
          </w:p>
        </w:tc>
      </w:tr>
      <w:tr w:rsidR="00BF5DB8" w:rsidRPr="00800799" w14:paraId="641E105A"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80" w14:textId="77777777" w:rsidR="00BF5DB8" w:rsidRPr="00800799" w:rsidRDefault="00BF5DB8" w:rsidP="00BF5DB8">
            <w:pPr>
              <w:spacing w:before="240"/>
              <w:ind w:left="90"/>
              <w:rPr>
                <w:rFonts w:ascii="Arial" w:eastAsia="Arial" w:hAnsi="Arial" w:cs="Arial"/>
                <w:sz w:val="20"/>
                <w:szCs w:val="20"/>
              </w:rPr>
            </w:pPr>
            <w:r w:rsidRPr="00800799">
              <w:rPr>
                <w:sz w:val="20"/>
                <w:szCs w:val="20"/>
              </w:rPr>
              <w:t>Institut cirkulární ekonomiky (</w:t>
            </w:r>
            <w:proofErr w:type="spellStart"/>
            <w:r w:rsidRPr="00800799">
              <w:rPr>
                <w:sz w:val="20"/>
                <w:szCs w:val="20"/>
              </w:rPr>
              <w:t>InCiEN</w:t>
            </w:r>
            <w:proofErr w:type="spellEnd"/>
            <w:r w:rsidRPr="00800799">
              <w:rPr>
                <w:sz w:val="20"/>
                <w:szCs w:val="20"/>
              </w:rPr>
              <w:t>)</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81"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Úspory energie, čistá mobilita, vodohospodářství</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83"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5.1</w:t>
            </w:r>
          </w:p>
        </w:tc>
      </w:tr>
      <w:tr w:rsidR="00BF5DB8" w:rsidRPr="00800799" w14:paraId="70664B65" w14:textId="77777777" w:rsidTr="00BF5DB8">
        <w:trPr>
          <w:trHeight w:val="851"/>
        </w:trPr>
        <w:tc>
          <w:tcPr>
            <w:tcW w:w="9360" w:type="dxa"/>
            <w:gridSpan w:val="4"/>
            <w:tcBorders>
              <w:top w:val="nil"/>
              <w:left w:val="nil"/>
              <w:bottom w:val="single" w:sz="8" w:space="0" w:color="A32020"/>
              <w:right w:val="nil"/>
            </w:tcBorders>
            <w:shd w:val="clear" w:color="auto" w:fill="auto"/>
            <w:tcMar>
              <w:top w:w="100" w:type="dxa"/>
              <w:left w:w="100" w:type="dxa"/>
              <w:bottom w:w="100" w:type="dxa"/>
              <w:right w:w="100" w:type="dxa"/>
            </w:tcMar>
          </w:tcPr>
          <w:p w14:paraId="00000184" w14:textId="77777777" w:rsidR="00BF5DB8" w:rsidRPr="00800799" w:rsidRDefault="00BF5DB8" w:rsidP="00BF5DB8">
            <w:pPr>
              <w:spacing w:before="240"/>
              <w:ind w:left="90"/>
              <w:jc w:val="center"/>
              <w:rPr>
                <w:rFonts w:ascii="Arial" w:eastAsia="Arial" w:hAnsi="Arial" w:cs="Arial"/>
                <w:b/>
                <w:sz w:val="20"/>
                <w:szCs w:val="20"/>
              </w:rPr>
            </w:pPr>
            <w:r w:rsidRPr="00800799">
              <w:rPr>
                <w:b/>
                <w:sz w:val="20"/>
                <w:szCs w:val="20"/>
              </w:rPr>
              <w:t>Subjekty provádějící finanční nástroje</w:t>
            </w:r>
          </w:p>
        </w:tc>
      </w:tr>
      <w:tr w:rsidR="00BF5DB8" w:rsidRPr="00800799" w14:paraId="1F6767D1"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88" w14:textId="264F2740" w:rsidR="00BF5DB8" w:rsidRPr="00800799" w:rsidRDefault="00BF5DB8" w:rsidP="00BF5DB8">
            <w:pPr>
              <w:spacing w:before="240"/>
              <w:ind w:left="90"/>
              <w:rPr>
                <w:rFonts w:ascii="Arial" w:eastAsia="Arial" w:hAnsi="Arial" w:cs="Arial"/>
                <w:sz w:val="20"/>
                <w:szCs w:val="20"/>
              </w:rPr>
            </w:pPr>
            <w:r w:rsidRPr="00800799">
              <w:rPr>
                <w:rFonts w:ascii="Arial" w:eastAsia="Arial" w:hAnsi="Arial" w:cs="Arial"/>
                <w:sz w:val="20"/>
                <w:szCs w:val="20"/>
              </w:rPr>
              <w:t>NRB</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89" w14:textId="77777777" w:rsidR="00BF5DB8" w:rsidRPr="00C77291" w:rsidRDefault="00BF5DB8" w:rsidP="00BF5DB8">
            <w:pPr>
              <w:spacing w:before="240"/>
              <w:ind w:left="90"/>
              <w:jc w:val="center"/>
              <w:rPr>
                <w:rFonts w:ascii="Arial" w:eastAsia="Arial" w:hAnsi="Arial" w:cs="Arial"/>
                <w:sz w:val="20"/>
                <w:szCs w:val="20"/>
              </w:rPr>
            </w:pPr>
            <w:r w:rsidRPr="00C77291">
              <w:rPr>
                <w:rFonts w:ascii="Arial" w:eastAsia="Arial" w:hAnsi="Arial" w:cs="Arial"/>
                <w:sz w:val="20"/>
                <w:szCs w:val="20"/>
              </w:rPr>
              <w:t>Digitalizace podnikání</w:t>
            </w:r>
          </w:p>
          <w:p w14:paraId="0000018A" w14:textId="77777777" w:rsidR="00BF5DB8" w:rsidRPr="00952825" w:rsidRDefault="00BF5DB8" w:rsidP="00BF5DB8">
            <w:pPr>
              <w:spacing w:before="240"/>
              <w:ind w:left="90"/>
              <w:jc w:val="center"/>
              <w:rPr>
                <w:rFonts w:ascii="Arial" w:eastAsia="Arial" w:hAnsi="Arial" w:cs="Arial"/>
                <w:sz w:val="20"/>
                <w:szCs w:val="20"/>
              </w:rPr>
            </w:pPr>
            <w:r w:rsidRPr="00952825">
              <w:rPr>
                <w:rFonts w:ascii="Arial" w:eastAsia="Arial" w:hAnsi="Arial" w:cs="Arial"/>
                <w:sz w:val="20"/>
                <w:szCs w:val="20"/>
              </w:rPr>
              <w:t>Bankovní nástroje MSP</w:t>
            </w:r>
          </w:p>
          <w:p w14:paraId="0000018B" w14:textId="77777777" w:rsidR="00BF5DB8" w:rsidRPr="00381528" w:rsidRDefault="00BF5DB8" w:rsidP="00BF5DB8">
            <w:pPr>
              <w:spacing w:before="240"/>
              <w:ind w:left="90"/>
              <w:jc w:val="center"/>
              <w:rPr>
                <w:rFonts w:ascii="Arial" w:eastAsia="Arial" w:hAnsi="Arial" w:cs="Arial"/>
                <w:sz w:val="20"/>
                <w:szCs w:val="20"/>
              </w:rPr>
            </w:pPr>
            <w:r w:rsidRPr="00952825">
              <w:rPr>
                <w:rFonts w:ascii="Arial" w:eastAsia="Arial" w:hAnsi="Arial" w:cs="Arial"/>
                <w:sz w:val="20"/>
                <w:szCs w:val="20"/>
              </w:rPr>
              <w:t xml:space="preserve">Úspory energie, čistá mobilita, </w:t>
            </w:r>
            <w:r w:rsidRPr="003F3DD2">
              <w:rPr>
                <w:rFonts w:ascii="Arial" w:eastAsia="Arial" w:hAnsi="Arial" w:cs="Arial"/>
                <w:sz w:val="20"/>
                <w:szCs w:val="20"/>
              </w:rPr>
              <w:t>vodohospodářství</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8D" w14:textId="77777777" w:rsidR="00BF5DB8" w:rsidRPr="00676862" w:rsidRDefault="00BF5DB8" w:rsidP="00BF5DB8">
            <w:pPr>
              <w:spacing w:before="240"/>
              <w:ind w:left="90"/>
              <w:jc w:val="center"/>
              <w:rPr>
                <w:rFonts w:ascii="Arial" w:eastAsia="Arial" w:hAnsi="Arial" w:cs="Arial"/>
                <w:sz w:val="20"/>
                <w:szCs w:val="20"/>
              </w:rPr>
            </w:pPr>
            <w:r w:rsidRPr="00676862">
              <w:rPr>
                <w:rFonts w:ascii="Arial" w:eastAsia="Arial" w:hAnsi="Arial" w:cs="Arial"/>
                <w:sz w:val="20"/>
                <w:szCs w:val="20"/>
              </w:rPr>
              <w:t>1.2, 2.1, 4.1, 4.4, 5.1</w:t>
            </w:r>
          </w:p>
        </w:tc>
      </w:tr>
      <w:tr w:rsidR="00BF5DB8" w:rsidRPr="00800799" w14:paraId="5D0675CB"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8E" w14:textId="45A18FF3" w:rsidR="00BF5DB8" w:rsidRPr="00800799" w:rsidRDefault="00BF5DB8" w:rsidP="00BF5DB8">
            <w:pPr>
              <w:spacing w:before="240"/>
              <w:ind w:left="90"/>
              <w:rPr>
                <w:rFonts w:ascii="Arial" w:eastAsia="Arial" w:hAnsi="Arial" w:cs="Arial"/>
                <w:sz w:val="20"/>
                <w:szCs w:val="20"/>
              </w:rPr>
            </w:pPr>
            <w:r w:rsidRPr="00800799">
              <w:rPr>
                <w:rFonts w:ascii="Arial" w:eastAsia="Arial" w:hAnsi="Arial" w:cs="Arial"/>
                <w:sz w:val="20"/>
                <w:szCs w:val="20"/>
              </w:rPr>
              <w:t>NR investiční</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90" w14:textId="4EE74FC4" w:rsidR="00BF5DB8" w:rsidRPr="00800799" w:rsidRDefault="00BF5DB8" w:rsidP="00BF5DB8">
            <w:pPr>
              <w:spacing w:before="240"/>
              <w:ind w:left="90"/>
              <w:jc w:val="center"/>
              <w:rPr>
                <w:rFonts w:ascii="Arial" w:eastAsia="Arial" w:hAnsi="Arial" w:cs="Arial"/>
                <w:sz w:val="20"/>
                <w:szCs w:val="20"/>
              </w:rPr>
            </w:pPr>
            <w:r w:rsidRPr="00800799">
              <w:rPr>
                <w:rFonts w:ascii="Arial" w:eastAsia="Arial" w:hAnsi="Arial" w:cs="Arial"/>
                <w:sz w:val="20"/>
                <w:szCs w:val="20"/>
              </w:rPr>
              <w:t>Rizikový kapitál pro MSP</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92" w14:textId="18F17F34" w:rsidR="00BF5DB8" w:rsidRPr="00800799" w:rsidRDefault="00BF5DB8" w:rsidP="00BF5DB8">
            <w:pPr>
              <w:spacing w:before="240"/>
              <w:ind w:left="90"/>
              <w:jc w:val="center"/>
              <w:rPr>
                <w:rFonts w:ascii="Arial" w:eastAsia="Arial" w:hAnsi="Arial" w:cs="Arial"/>
                <w:sz w:val="20"/>
                <w:szCs w:val="20"/>
              </w:rPr>
            </w:pPr>
            <w:r w:rsidRPr="00800799">
              <w:rPr>
                <w:rFonts w:ascii="Arial" w:eastAsia="Arial" w:hAnsi="Arial" w:cs="Arial"/>
                <w:sz w:val="20"/>
                <w:szCs w:val="20"/>
              </w:rPr>
              <w:t>2.1</w:t>
            </w:r>
          </w:p>
        </w:tc>
      </w:tr>
      <w:tr w:rsidR="00BF5DB8" w:rsidRPr="00800799" w14:paraId="5BE1E7C7"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93" w14:textId="77777777" w:rsidR="00BF5DB8" w:rsidRPr="00800799" w:rsidRDefault="00BF5DB8" w:rsidP="00BF5DB8">
            <w:pPr>
              <w:spacing w:before="240"/>
              <w:ind w:left="90"/>
              <w:rPr>
                <w:rFonts w:ascii="Arial" w:eastAsia="Arial" w:hAnsi="Arial" w:cs="Arial"/>
                <w:sz w:val="20"/>
                <w:szCs w:val="20"/>
              </w:rPr>
            </w:pPr>
            <w:r w:rsidRPr="00800799">
              <w:rPr>
                <w:sz w:val="20"/>
                <w:szCs w:val="20"/>
              </w:rPr>
              <w:t>EIF</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94"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Rizikový kapitál pro MSP</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96"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2.1</w:t>
            </w:r>
          </w:p>
        </w:tc>
      </w:tr>
      <w:tr w:rsidR="00BF5DB8" w:rsidRPr="00800799" w14:paraId="0485A0E0"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97" w14:textId="77777777" w:rsidR="00BF5DB8" w:rsidRPr="00800799" w:rsidRDefault="00BF5DB8" w:rsidP="00BF5DB8">
            <w:pPr>
              <w:spacing w:before="240"/>
              <w:ind w:left="90"/>
              <w:rPr>
                <w:rFonts w:ascii="Arial" w:eastAsia="Arial" w:hAnsi="Arial" w:cs="Arial"/>
                <w:sz w:val="20"/>
                <w:szCs w:val="20"/>
              </w:rPr>
            </w:pPr>
            <w:r w:rsidRPr="00800799">
              <w:rPr>
                <w:sz w:val="20"/>
                <w:szCs w:val="20"/>
              </w:rPr>
              <w:t xml:space="preserve">Nation1 nebo </w:t>
            </w:r>
            <w:proofErr w:type="spellStart"/>
            <w:r w:rsidRPr="00800799">
              <w:rPr>
                <w:sz w:val="20"/>
                <w:szCs w:val="20"/>
              </w:rPr>
              <w:t>Lighthouse</w:t>
            </w:r>
            <w:proofErr w:type="spellEnd"/>
            <w:r w:rsidRPr="00800799">
              <w:rPr>
                <w:sz w:val="20"/>
                <w:szCs w:val="20"/>
              </w:rPr>
              <w:t xml:space="preserve"> </w:t>
            </w:r>
            <w:proofErr w:type="spellStart"/>
            <w:r w:rsidRPr="00800799">
              <w:rPr>
                <w:sz w:val="20"/>
                <w:szCs w:val="20"/>
              </w:rPr>
              <w:t>Ventures</w:t>
            </w:r>
            <w:proofErr w:type="spellEnd"/>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98"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Rizikový kapitál pro MSP</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9A"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2.1</w:t>
            </w:r>
          </w:p>
        </w:tc>
      </w:tr>
      <w:tr w:rsidR="00BF5DB8" w:rsidRPr="00800799" w14:paraId="15797437"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9B" w14:textId="77777777" w:rsidR="00BF5DB8" w:rsidRPr="00800799" w:rsidRDefault="00BF5DB8" w:rsidP="00BF5DB8">
            <w:pPr>
              <w:spacing w:before="240"/>
              <w:ind w:left="90"/>
              <w:rPr>
                <w:rFonts w:ascii="Arial" w:eastAsia="Arial" w:hAnsi="Arial" w:cs="Arial"/>
                <w:sz w:val="20"/>
                <w:szCs w:val="20"/>
              </w:rPr>
            </w:pPr>
            <w:r w:rsidRPr="00800799">
              <w:rPr>
                <w:sz w:val="20"/>
                <w:szCs w:val="20"/>
              </w:rPr>
              <w:t xml:space="preserve">Urban </w:t>
            </w:r>
            <w:proofErr w:type="spellStart"/>
            <w:r w:rsidRPr="00800799">
              <w:rPr>
                <w:sz w:val="20"/>
                <w:szCs w:val="20"/>
              </w:rPr>
              <w:t>Development</w:t>
            </w:r>
            <w:proofErr w:type="spellEnd"/>
            <w:r w:rsidRPr="00800799">
              <w:rPr>
                <w:sz w:val="20"/>
                <w:szCs w:val="20"/>
              </w:rPr>
              <w:t xml:space="preserve"> </w:t>
            </w:r>
            <w:proofErr w:type="spellStart"/>
            <w:r w:rsidRPr="00800799">
              <w:rPr>
                <w:sz w:val="20"/>
                <w:szCs w:val="20"/>
              </w:rPr>
              <w:t>Fund</w:t>
            </w:r>
            <w:proofErr w:type="spellEnd"/>
            <w:r w:rsidRPr="00800799">
              <w:rPr>
                <w:sz w:val="20"/>
                <w:szCs w:val="20"/>
              </w:rPr>
              <w:t xml:space="preserve"> MS</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9C" w14:textId="208BC333" w:rsidR="00BF5DB8" w:rsidRPr="00800799" w:rsidRDefault="00BF5DB8" w:rsidP="00BF5DB8">
            <w:pPr>
              <w:spacing w:before="240"/>
              <w:ind w:left="90"/>
              <w:jc w:val="center"/>
              <w:rPr>
                <w:rFonts w:ascii="Arial" w:eastAsia="Arial" w:hAnsi="Arial" w:cs="Arial"/>
                <w:sz w:val="20"/>
                <w:szCs w:val="20"/>
              </w:rPr>
            </w:pPr>
            <w:r w:rsidRPr="00800799">
              <w:rPr>
                <w:rFonts w:ascii="Arial" w:eastAsia="Arial" w:hAnsi="Arial" w:cs="Arial"/>
                <w:sz w:val="20"/>
                <w:szCs w:val="20"/>
              </w:rPr>
              <w:t>Nemovitosti</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9E" w14:textId="77777777" w:rsidR="00BF5DB8" w:rsidRPr="00C77291" w:rsidRDefault="00BF5DB8" w:rsidP="00BF5DB8">
            <w:pPr>
              <w:spacing w:before="240"/>
              <w:ind w:left="90"/>
              <w:jc w:val="center"/>
              <w:rPr>
                <w:rFonts w:ascii="Arial" w:eastAsia="Arial" w:hAnsi="Arial" w:cs="Arial"/>
                <w:sz w:val="20"/>
                <w:szCs w:val="20"/>
              </w:rPr>
            </w:pPr>
            <w:r w:rsidRPr="00C77291">
              <w:rPr>
                <w:rFonts w:ascii="Arial" w:eastAsia="Arial" w:hAnsi="Arial" w:cs="Arial"/>
                <w:sz w:val="20"/>
                <w:szCs w:val="20"/>
              </w:rPr>
              <w:t>2.1</w:t>
            </w:r>
          </w:p>
        </w:tc>
      </w:tr>
      <w:tr w:rsidR="00BF5DB8" w:rsidRPr="00800799" w14:paraId="6F6C165A" w14:textId="77777777" w:rsidTr="00BF5DB8">
        <w:trPr>
          <w:trHeight w:val="851"/>
        </w:trPr>
        <w:tc>
          <w:tcPr>
            <w:tcW w:w="9360" w:type="dxa"/>
            <w:gridSpan w:val="4"/>
            <w:tcBorders>
              <w:top w:val="nil"/>
              <w:left w:val="nil"/>
              <w:bottom w:val="single" w:sz="8" w:space="0" w:color="A32020"/>
              <w:right w:val="nil"/>
            </w:tcBorders>
            <w:shd w:val="clear" w:color="auto" w:fill="auto"/>
            <w:tcMar>
              <w:top w:w="100" w:type="dxa"/>
              <w:left w:w="100" w:type="dxa"/>
              <w:bottom w:w="100" w:type="dxa"/>
              <w:right w:w="100" w:type="dxa"/>
            </w:tcMar>
          </w:tcPr>
          <w:p w14:paraId="0000019F" w14:textId="77777777" w:rsidR="00BF5DB8" w:rsidRPr="00800799" w:rsidRDefault="00BF5DB8" w:rsidP="00BF5DB8">
            <w:pPr>
              <w:spacing w:before="240"/>
              <w:ind w:left="90"/>
              <w:jc w:val="center"/>
              <w:rPr>
                <w:rFonts w:ascii="Arial" w:eastAsia="Arial" w:hAnsi="Arial" w:cs="Arial"/>
                <w:b/>
                <w:sz w:val="20"/>
                <w:szCs w:val="20"/>
              </w:rPr>
            </w:pPr>
            <w:r w:rsidRPr="00800799">
              <w:rPr>
                <w:b/>
                <w:sz w:val="20"/>
                <w:szCs w:val="20"/>
              </w:rPr>
              <w:t>Asociace konečných příjemců</w:t>
            </w:r>
          </w:p>
        </w:tc>
      </w:tr>
      <w:tr w:rsidR="00BF5DB8" w:rsidRPr="00800799" w14:paraId="20A279A0"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A3" w14:textId="77777777" w:rsidR="00BF5DB8" w:rsidRPr="00800799" w:rsidRDefault="00BF5DB8" w:rsidP="00BF5DB8">
            <w:pPr>
              <w:spacing w:before="240"/>
              <w:ind w:left="90"/>
              <w:rPr>
                <w:rFonts w:ascii="Arial" w:eastAsia="Arial" w:hAnsi="Arial" w:cs="Arial"/>
                <w:sz w:val="20"/>
                <w:szCs w:val="20"/>
              </w:rPr>
            </w:pPr>
            <w:r w:rsidRPr="00800799">
              <w:rPr>
                <w:sz w:val="20"/>
                <w:szCs w:val="20"/>
              </w:rPr>
              <w:t>Hospodářská komora ČR</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A4"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Digitalizace podnikání</w:t>
            </w:r>
          </w:p>
          <w:p w14:paraId="000001A5"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Bankovní nástroje MSP</w:t>
            </w:r>
          </w:p>
          <w:p w14:paraId="000001A6"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Úspory energie, čistá mobilita, vodohospodářství</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A8"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1.2, 2.1, 4.1, 4.4, 5.1</w:t>
            </w:r>
          </w:p>
        </w:tc>
      </w:tr>
      <w:tr w:rsidR="00BF5DB8" w:rsidRPr="00800799" w14:paraId="1420BD94"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A9" w14:textId="77777777" w:rsidR="00BF5DB8" w:rsidRPr="00800799" w:rsidRDefault="00BF5DB8" w:rsidP="00BF5DB8">
            <w:pPr>
              <w:spacing w:before="240"/>
              <w:ind w:left="90"/>
              <w:rPr>
                <w:rFonts w:ascii="Arial" w:eastAsia="Arial" w:hAnsi="Arial" w:cs="Arial"/>
                <w:sz w:val="20"/>
                <w:szCs w:val="20"/>
              </w:rPr>
            </w:pPr>
            <w:r w:rsidRPr="00800799">
              <w:rPr>
                <w:sz w:val="20"/>
                <w:szCs w:val="20"/>
              </w:rPr>
              <w:t>Svaz průmyslu a dopravy ČR</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AA"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Digitalizace podnikání</w:t>
            </w:r>
          </w:p>
          <w:p w14:paraId="000001AB"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lastRenderedPageBreak/>
              <w:t>Bankovní nástroje MSP</w:t>
            </w:r>
          </w:p>
          <w:p w14:paraId="000001AC"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Úspory energie, čistá mobilita, vodohospodářství</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AE"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lastRenderedPageBreak/>
              <w:t>1.2, 2.1, 4.1, 4.4, 5.1</w:t>
            </w:r>
          </w:p>
        </w:tc>
      </w:tr>
      <w:tr w:rsidR="00BF5DB8" w:rsidRPr="00800799" w14:paraId="4715910F"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AF" w14:textId="77777777" w:rsidR="00BF5DB8" w:rsidRPr="00800799" w:rsidRDefault="00BF5DB8" w:rsidP="00BF5DB8">
            <w:pPr>
              <w:spacing w:before="240"/>
              <w:ind w:left="90"/>
              <w:rPr>
                <w:rFonts w:ascii="Arial" w:eastAsia="Arial" w:hAnsi="Arial" w:cs="Arial"/>
                <w:sz w:val="20"/>
                <w:szCs w:val="20"/>
              </w:rPr>
            </w:pPr>
            <w:r w:rsidRPr="00800799">
              <w:rPr>
                <w:sz w:val="20"/>
                <w:szCs w:val="20"/>
              </w:rPr>
              <w:t>Asociace malého a středního podnikání</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B0"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Digitalizace podnikání</w:t>
            </w:r>
          </w:p>
          <w:p w14:paraId="000001B1"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Bankovní nástroje MSP</w:t>
            </w:r>
          </w:p>
          <w:p w14:paraId="000001B2"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 xml:space="preserve"> </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B4"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1.2, 2.1</w:t>
            </w:r>
          </w:p>
        </w:tc>
      </w:tr>
      <w:tr w:rsidR="00BF5DB8" w:rsidRPr="00800799" w14:paraId="216AD26E"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B5" w14:textId="77777777" w:rsidR="00BF5DB8" w:rsidRPr="00800799" w:rsidRDefault="00BF5DB8" w:rsidP="00BF5DB8">
            <w:pPr>
              <w:spacing w:before="240"/>
              <w:ind w:left="90"/>
              <w:rPr>
                <w:rFonts w:ascii="Arial" w:eastAsia="Arial" w:hAnsi="Arial" w:cs="Arial"/>
                <w:sz w:val="20"/>
                <w:szCs w:val="20"/>
              </w:rPr>
            </w:pPr>
            <w:r w:rsidRPr="00800799">
              <w:rPr>
                <w:sz w:val="20"/>
                <w:szCs w:val="20"/>
              </w:rPr>
              <w:t>Sdružení automobilového průmyslu</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B6"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Úspory energie, čistá mobilita, vodohospodářství</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B8"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4.4</w:t>
            </w:r>
          </w:p>
        </w:tc>
      </w:tr>
      <w:tr w:rsidR="00BF5DB8" w:rsidRPr="00800799" w14:paraId="1A17819B"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B9" w14:textId="77777777" w:rsidR="00BF5DB8" w:rsidRPr="00800799" w:rsidRDefault="00BF5DB8" w:rsidP="00BF5DB8">
            <w:pPr>
              <w:spacing w:before="240"/>
              <w:ind w:left="90"/>
              <w:rPr>
                <w:rFonts w:ascii="Arial" w:eastAsia="Arial" w:hAnsi="Arial" w:cs="Arial"/>
                <w:sz w:val="20"/>
                <w:szCs w:val="20"/>
              </w:rPr>
            </w:pPr>
            <w:r w:rsidRPr="00800799">
              <w:rPr>
                <w:sz w:val="20"/>
                <w:szCs w:val="20"/>
              </w:rPr>
              <w:t>Šance pro budovy</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BA"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Úspory energie</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BC" w14:textId="2CCC3141" w:rsidR="00BF5DB8" w:rsidRPr="00800799" w:rsidRDefault="00BF5DB8" w:rsidP="00BF5DB8">
            <w:pPr>
              <w:spacing w:before="240"/>
              <w:ind w:left="90"/>
              <w:jc w:val="center"/>
              <w:rPr>
                <w:rFonts w:ascii="Arial" w:eastAsia="Arial" w:hAnsi="Arial" w:cs="Arial"/>
                <w:sz w:val="20"/>
                <w:szCs w:val="20"/>
              </w:rPr>
            </w:pPr>
            <w:r w:rsidRPr="00800799">
              <w:rPr>
                <w:rFonts w:ascii="Arial" w:eastAsia="Arial" w:hAnsi="Arial" w:cs="Arial"/>
                <w:sz w:val="20"/>
                <w:szCs w:val="20"/>
              </w:rPr>
              <w:t>4.1</w:t>
            </w:r>
          </w:p>
        </w:tc>
      </w:tr>
      <w:tr w:rsidR="00BF5DB8" w:rsidRPr="00800799" w14:paraId="12D3E144" w14:textId="77777777" w:rsidTr="00BF5DB8">
        <w:trPr>
          <w:trHeight w:val="851"/>
        </w:trPr>
        <w:tc>
          <w:tcPr>
            <w:tcW w:w="9360" w:type="dxa"/>
            <w:gridSpan w:val="4"/>
            <w:tcBorders>
              <w:top w:val="nil"/>
              <w:left w:val="nil"/>
              <w:bottom w:val="single" w:sz="8" w:space="0" w:color="A32020"/>
              <w:right w:val="nil"/>
            </w:tcBorders>
            <w:shd w:val="clear" w:color="auto" w:fill="auto"/>
            <w:tcMar>
              <w:top w:w="100" w:type="dxa"/>
              <w:left w:w="100" w:type="dxa"/>
              <w:bottom w:w="100" w:type="dxa"/>
              <w:right w:w="100" w:type="dxa"/>
            </w:tcMar>
          </w:tcPr>
          <w:p w14:paraId="000001BD" w14:textId="77777777" w:rsidR="00BF5DB8" w:rsidRPr="00800799" w:rsidRDefault="00BF5DB8" w:rsidP="00BF5DB8">
            <w:pPr>
              <w:spacing w:before="240"/>
              <w:ind w:left="90"/>
              <w:jc w:val="center"/>
              <w:rPr>
                <w:rFonts w:ascii="Arial" w:eastAsia="Arial" w:hAnsi="Arial" w:cs="Arial"/>
                <w:b/>
                <w:sz w:val="20"/>
                <w:szCs w:val="20"/>
              </w:rPr>
            </w:pPr>
            <w:r w:rsidRPr="00800799">
              <w:rPr>
                <w:b/>
                <w:sz w:val="20"/>
                <w:szCs w:val="20"/>
              </w:rPr>
              <w:t xml:space="preserve">Ostatní </w:t>
            </w:r>
            <w:proofErr w:type="spellStart"/>
            <w:r w:rsidRPr="00800799">
              <w:rPr>
                <w:b/>
                <w:sz w:val="20"/>
                <w:szCs w:val="20"/>
              </w:rPr>
              <w:t>stakeholdeři</w:t>
            </w:r>
            <w:proofErr w:type="spellEnd"/>
          </w:p>
        </w:tc>
      </w:tr>
      <w:tr w:rsidR="00BF5DB8" w:rsidRPr="00800799" w14:paraId="6575ABE4"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C1" w14:textId="77777777" w:rsidR="00BF5DB8" w:rsidRPr="00800799" w:rsidRDefault="00BF5DB8" w:rsidP="00BF5DB8">
            <w:pPr>
              <w:spacing w:before="240"/>
              <w:ind w:left="90"/>
              <w:rPr>
                <w:rFonts w:ascii="Arial" w:eastAsia="Arial" w:hAnsi="Arial" w:cs="Arial"/>
                <w:sz w:val="20"/>
                <w:szCs w:val="20"/>
              </w:rPr>
            </w:pPr>
            <w:proofErr w:type="spellStart"/>
            <w:r w:rsidRPr="00800799">
              <w:rPr>
                <w:sz w:val="20"/>
                <w:szCs w:val="20"/>
              </w:rPr>
              <w:t>CzechInvest</w:t>
            </w:r>
            <w:proofErr w:type="spellEnd"/>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C2"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Digitalizace podnikání</w:t>
            </w:r>
          </w:p>
          <w:p w14:paraId="000001C3"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Rizikový kapitál pro MSP</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C5"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1.2, 2.1</w:t>
            </w:r>
          </w:p>
        </w:tc>
      </w:tr>
      <w:tr w:rsidR="00BF5DB8" w:rsidRPr="00800799" w14:paraId="6E5040E3" w14:textId="77777777" w:rsidTr="00BF5DB8">
        <w:trPr>
          <w:trHeight w:val="851"/>
        </w:trPr>
        <w:tc>
          <w:tcPr>
            <w:tcW w:w="3510" w:type="dxa"/>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C6" w14:textId="77777777" w:rsidR="00BF5DB8" w:rsidRPr="00800799" w:rsidRDefault="00BF5DB8" w:rsidP="00BF5DB8">
            <w:pPr>
              <w:spacing w:before="240"/>
              <w:ind w:left="90"/>
              <w:rPr>
                <w:rFonts w:ascii="Arial" w:eastAsia="Arial" w:hAnsi="Arial" w:cs="Arial"/>
                <w:sz w:val="20"/>
                <w:szCs w:val="20"/>
              </w:rPr>
            </w:pPr>
            <w:r w:rsidRPr="00800799">
              <w:rPr>
                <w:sz w:val="20"/>
                <w:szCs w:val="20"/>
              </w:rPr>
              <w:t>Technologická agentura ČR</w:t>
            </w:r>
          </w:p>
        </w:tc>
        <w:tc>
          <w:tcPr>
            <w:tcW w:w="4459" w:type="dxa"/>
            <w:gridSpan w:val="2"/>
            <w:tcBorders>
              <w:top w:val="nil"/>
              <w:left w:val="nil"/>
              <w:bottom w:val="single" w:sz="8" w:space="0" w:color="A32020"/>
              <w:right w:val="single" w:sz="8" w:space="0" w:color="A32020"/>
            </w:tcBorders>
            <w:shd w:val="clear" w:color="auto" w:fill="auto"/>
            <w:tcMar>
              <w:top w:w="100" w:type="dxa"/>
              <w:left w:w="100" w:type="dxa"/>
              <w:bottom w:w="100" w:type="dxa"/>
              <w:right w:w="100" w:type="dxa"/>
            </w:tcMar>
          </w:tcPr>
          <w:p w14:paraId="000001C7"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Digitalizace podnikání</w:t>
            </w:r>
          </w:p>
          <w:p w14:paraId="000001C8"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Rizikový kapitál pro MSP</w:t>
            </w:r>
          </w:p>
        </w:tc>
        <w:tc>
          <w:tcPr>
            <w:tcW w:w="1391" w:type="dxa"/>
            <w:tcBorders>
              <w:top w:val="nil"/>
              <w:left w:val="nil"/>
              <w:bottom w:val="single" w:sz="8" w:space="0" w:color="A32020"/>
              <w:right w:val="nil"/>
            </w:tcBorders>
            <w:shd w:val="clear" w:color="auto" w:fill="auto"/>
            <w:tcMar>
              <w:top w:w="100" w:type="dxa"/>
              <w:left w:w="100" w:type="dxa"/>
              <w:bottom w:w="100" w:type="dxa"/>
              <w:right w:w="100" w:type="dxa"/>
            </w:tcMar>
          </w:tcPr>
          <w:p w14:paraId="000001CA"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1.2, 2.1</w:t>
            </w:r>
          </w:p>
        </w:tc>
      </w:tr>
      <w:tr w:rsidR="00BF5DB8" w:rsidRPr="00800799" w14:paraId="17D6365C" w14:textId="77777777" w:rsidTr="00BF5DB8">
        <w:trPr>
          <w:trHeight w:val="851"/>
        </w:trPr>
        <w:tc>
          <w:tcPr>
            <w:tcW w:w="3510" w:type="dxa"/>
            <w:tcBorders>
              <w:top w:val="nil"/>
              <w:left w:val="nil"/>
              <w:bottom w:val="nil"/>
              <w:right w:val="single" w:sz="8" w:space="0" w:color="A32020"/>
            </w:tcBorders>
            <w:shd w:val="clear" w:color="auto" w:fill="auto"/>
            <w:tcMar>
              <w:top w:w="100" w:type="dxa"/>
              <w:left w:w="100" w:type="dxa"/>
              <w:bottom w:w="100" w:type="dxa"/>
              <w:right w:w="100" w:type="dxa"/>
            </w:tcMar>
          </w:tcPr>
          <w:p w14:paraId="000001CB" w14:textId="77777777" w:rsidR="00BF5DB8" w:rsidRPr="00800799" w:rsidRDefault="00BF5DB8" w:rsidP="00BF5DB8">
            <w:pPr>
              <w:spacing w:before="240"/>
              <w:ind w:left="90"/>
              <w:rPr>
                <w:rFonts w:ascii="Arial" w:eastAsia="Arial" w:hAnsi="Arial" w:cs="Arial"/>
                <w:sz w:val="20"/>
                <w:szCs w:val="20"/>
              </w:rPr>
            </w:pPr>
            <w:r w:rsidRPr="00800799">
              <w:rPr>
                <w:sz w:val="20"/>
                <w:szCs w:val="20"/>
              </w:rPr>
              <w:t>Státní fond životního prostředí</w:t>
            </w:r>
          </w:p>
        </w:tc>
        <w:tc>
          <w:tcPr>
            <w:tcW w:w="4459" w:type="dxa"/>
            <w:gridSpan w:val="2"/>
            <w:tcBorders>
              <w:top w:val="nil"/>
              <w:left w:val="nil"/>
              <w:bottom w:val="nil"/>
              <w:right w:val="single" w:sz="8" w:space="0" w:color="A32020"/>
            </w:tcBorders>
            <w:shd w:val="clear" w:color="auto" w:fill="auto"/>
            <w:tcMar>
              <w:top w:w="100" w:type="dxa"/>
              <w:left w:w="100" w:type="dxa"/>
              <w:bottom w:w="100" w:type="dxa"/>
              <w:right w:w="100" w:type="dxa"/>
            </w:tcMar>
          </w:tcPr>
          <w:p w14:paraId="000001CC"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Úspory energie, čistá mobilita, vodohospodářství</w:t>
            </w:r>
          </w:p>
        </w:tc>
        <w:tc>
          <w:tcPr>
            <w:tcW w:w="1391" w:type="dxa"/>
            <w:tcBorders>
              <w:top w:val="nil"/>
              <w:left w:val="nil"/>
              <w:bottom w:val="nil"/>
              <w:right w:val="nil"/>
            </w:tcBorders>
            <w:shd w:val="clear" w:color="auto" w:fill="auto"/>
            <w:tcMar>
              <w:top w:w="100" w:type="dxa"/>
              <w:left w:w="100" w:type="dxa"/>
              <w:bottom w:w="100" w:type="dxa"/>
              <w:right w:w="100" w:type="dxa"/>
            </w:tcMar>
          </w:tcPr>
          <w:p w14:paraId="000001CE" w14:textId="77777777" w:rsidR="00BF5DB8" w:rsidRPr="00800799" w:rsidRDefault="00BF5DB8" w:rsidP="00BF5DB8">
            <w:pPr>
              <w:spacing w:before="240"/>
              <w:ind w:left="90"/>
              <w:jc w:val="center"/>
              <w:rPr>
                <w:rFonts w:ascii="Arial" w:eastAsia="Arial" w:hAnsi="Arial" w:cs="Arial"/>
                <w:sz w:val="20"/>
                <w:szCs w:val="20"/>
              </w:rPr>
            </w:pPr>
            <w:r w:rsidRPr="00800799">
              <w:rPr>
                <w:sz w:val="20"/>
                <w:szCs w:val="20"/>
              </w:rPr>
              <w:t>4.1, 4.4, 5.1</w:t>
            </w:r>
          </w:p>
        </w:tc>
      </w:tr>
    </w:tbl>
    <w:p w14:paraId="000001CF" w14:textId="77777777" w:rsidR="00054D27" w:rsidRPr="00800799" w:rsidRDefault="00054D27">
      <w:pPr>
        <w:rPr>
          <w:sz w:val="20"/>
          <w:szCs w:val="20"/>
        </w:rPr>
      </w:pPr>
    </w:p>
    <w:p w14:paraId="000001D0" w14:textId="77777777" w:rsidR="00054D27" w:rsidRPr="00800799" w:rsidRDefault="00054D27">
      <w:pPr>
        <w:rPr>
          <w:sz w:val="20"/>
          <w:szCs w:val="20"/>
        </w:rPr>
      </w:pPr>
    </w:p>
    <w:p w14:paraId="000001D1" w14:textId="77777777" w:rsidR="00054D27" w:rsidRPr="00800799" w:rsidRDefault="00AF622A">
      <w:pPr>
        <w:spacing w:before="240" w:after="180"/>
        <w:jc w:val="both"/>
        <w:rPr>
          <w:sz w:val="20"/>
          <w:szCs w:val="20"/>
        </w:rPr>
      </w:pPr>
      <w:r w:rsidRPr="00800799">
        <w:rPr>
          <w:b/>
          <w:i/>
          <w:sz w:val="20"/>
          <w:szCs w:val="20"/>
          <w:u w:val="single"/>
        </w:rPr>
        <w:t>Strukturované rozhovorů</w:t>
      </w:r>
      <w:r w:rsidRPr="00800799">
        <w:rPr>
          <w:i/>
          <w:sz w:val="20"/>
          <w:szCs w:val="20"/>
          <w:u w:val="single"/>
        </w:rPr>
        <w:t xml:space="preserve"> </w:t>
      </w:r>
      <w:r w:rsidRPr="00800799">
        <w:rPr>
          <w:b/>
          <w:i/>
          <w:sz w:val="20"/>
          <w:szCs w:val="20"/>
          <w:u w:val="single"/>
        </w:rPr>
        <w:t>týmu Dodavatele</w:t>
      </w:r>
      <w:r w:rsidRPr="00800799">
        <w:rPr>
          <w:i/>
          <w:sz w:val="20"/>
          <w:szCs w:val="20"/>
          <w:u w:val="single"/>
        </w:rPr>
        <w:t xml:space="preserve"> </w:t>
      </w:r>
      <w:r w:rsidRPr="00800799">
        <w:rPr>
          <w:b/>
          <w:i/>
          <w:sz w:val="20"/>
          <w:szCs w:val="20"/>
          <w:u w:val="single"/>
        </w:rPr>
        <w:t>s experty na straně Zadavatele</w:t>
      </w:r>
      <w:r w:rsidRPr="00800799">
        <w:rPr>
          <w:sz w:val="20"/>
          <w:szCs w:val="20"/>
        </w:rPr>
        <w:t xml:space="preserve"> budou rozčleněny na čtyři tematické oblasti Digitální podnikání, Rizikový kapitál, Bankovní nástroje a Úspory energie, čistá mobilita a voda. Předmětem rozhovorů bude feedback expertů Zadavatele na výstupy rozhovorů se </w:t>
      </w:r>
      <w:proofErr w:type="spellStart"/>
      <w:r w:rsidRPr="00800799">
        <w:rPr>
          <w:sz w:val="20"/>
          <w:szCs w:val="20"/>
        </w:rPr>
        <w:t>stakeholdery</w:t>
      </w:r>
      <w:proofErr w:type="spellEnd"/>
      <w:r w:rsidRPr="00800799">
        <w:rPr>
          <w:sz w:val="20"/>
          <w:szCs w:val="20"/>
        </w:rPr>
        <w:t>.</w:t>
      </w:r>
    </w:p>
    <w:p w14:paraId="5696CC38" w14:textId="77777777" w:rsidR="00800799" w:rsidRDefault="00AF622A">
      <w:pPr>
        <w:spacing w:before="240" w:after="180"/>
        <w:jc w:val="both"/>
        <w:rPr>
          <w:sz w:val="20"/>
          <w:szCs w:val="20"/>
        </w:rPr>
      </w:pPr>
      <w:r w:rsidRPr="00800799">
        <w:rPr>
          <w:sz w:val="20"/>
          <w:szCs w:val="20"/>
        </w:rPr>
        <w:t xml:space="preserve">Dalším krokem tržní analýzy bude provedení </w:t>
      </w:r>
      <w:r w:rsidRPr="00800799">
        <w:rPr>
          <w:b/>
          <w:i/>
          <w:sz w:val="20"/>
          <w:szCs w:val="20"/>
          <w:u w:val="single"/>
        </w:rPr>
        <w:t>doplňkového dotazníkového šetření</w:t>
      </w:r>
      <w:r w:rsidRPr="00800799">
        <w:rPr>
          <w:i/>
          <w:sz w:val="20"/>
          <w:szCs w:val="20"/>
          <w:u w:val="single"/>
        </w:rPr>
        <w:t>.</w:t>
      </w:r>
      <w:r w:rsidRPr="00800799">
        <w:rPr>
          <w:sz w:val="20"/>
          <w:szCs w:val="20"/>
        </w:rPr>
        <w:t xml:space="preserve"> Předpokládáme, že tato evaluační technika a zároveň </w:t>
      </w:r>
      <w:r w:rsidRPr="00800799">
        <w:rPr>
          <w:b/>
          <w:sz w:val="20"/>
          <w:szCs w:val="20"/>
        </w:rPr>
        <w:t>datový zdroj</w:t>
      </w:r>
      <w:r w:rsidRPr="00C77291">
        <w:rPr>
          <w:sz w:val="20"/>
          <w:szCs w:val="20"/>
        </w:rPr>
        <w:t xml:space="preserve"> bude využita zejména v oblasti </w:t>
      </w:r>
      <w:r w:rsidRPr="00C77291">
        <w:rPr>
          <w:b/>
          <w:sz w:val="20"/>
          <w:szCs w:val="20"/>
        </w:rPr>
        <w:t>vodohospodářství</w:t>
      </w:r>
      <w:r w:rsidRPr="00952825">
        <w:rPr>
          <w:sz w:val="20"/>
          <w:szCs w:val="20"/>
        </w:rPr>
        <w:t>, ke kterému zatím šetření zpracováno nebylo, osloveny budou podniky, které byly příjemci podpory ve výzvách OP PIK a OPŽP zaměřených na úsporu vody a cirkulární ekonomiku (z důvodu pochopení stávající struktury financování obdobných projektů s veřejnou podporou), dále společnosti působící v odvětvích náročných na spotřebu vody (např. potravinářský,</w:t>
      </w:r>
      <w:r w:rsidRPr="00381528">
        <w:rPr>
          <w:sz w:val="20"/>
          <w:szCs w:val="20"/>
        </w:rPr>
        <w:t xml:space="preserve"> papírenský a chemický průmysl).</w:t>
      </w:r>
    </w:p>
    <w:p w14:paraId="000001D2" w14:textId="1C49FE9F" w:rsidR="00054D27" w:rsidRPr="00800799" w:rsidRDefault="00800799">
      <w:pPr>
        <w:spacing w:before="240" w:after="180"/>
        <w:jc w:val="both"/>
        <w:rPr>
          <w:sz w:val="20"/>
          <w:szCs w:val="20"/>
        </w:rPr>
      </w:pPr>
      <w:r w:rsidRPr="00EA0A6C">
        <w:rPr>
          <w:sz w:val="20"/>
          <w:szCs w:val="20"/>
        </w:rPr>
        <w:lastRenderedPageBreak/>
        <w:t>V jednotlivých zkoumaných specifických cílech budou vytvořeny modelové příklady návratnosti projektu a různé scénáře dopadu uvažované podpory (např. úvěr/záruka, kombinace s dotací 20 %, 10 % atd.). Nutnou podmínkou pro tyto kalkulace je dostatečně robustní datová základna získaná dotazníkovým šetřením nebo strukturovanými rozhovory.</w:t>
      </w:r>
    </w:p>
    <w:p w14:paraId="000001D3" w14:textId="4F9015C6" w:rsidR="00054D27" w:rsidRPr="00C77291" w:rsidRDefault="00AF622A">
      <w:pPr>
        <w:spacing w:before="240" w:after="180"/>
        <w:jc w:val="both"/>
        <w:rPr>
          <w:sz w:val="20"/>
          <w:szCs w:val="20"/>
        </w:rPr>
      </w:pPr>
      <w:r w:rsidRPr="00800799">
        <w:rPr>
          <w:sz w:val="20"/>
          <w:szCs w:val="20"/>
        </w:rPr>
        <w:t xml:space="preserve">Stejně tak předpokládáme, že bude doplňkové dotazníkové šetření provedeno i pro </w:t>
      </w:r>
      <w:r w:rsidRPr="00800799">
        <w:rPr>
          <w:b/>
          <w:sz w:val="20"/>
          <w:szCs w:val="20"/>
        </w:rPr>
        <w:t>oblast digitalizace podnikání</w:t>
      </w:r>
      <w:r w:rsidRPr="00800799">
        <w:rPr>
          <w:sz w:val="20"/>
          <w:szCs w:val="20"/>
        </w:rPr>
        <w:t>. Osloveny budou žadatelé o podporu v programu Technologie OP PIK (zejména výzvy Digitální podnik</w:t>
      </w:r>
      <w:r w:rsidR="008C6A4F" w:rsidRPr="00800799">
        <w:rPr>
          <w:sz w:val="20"/>
          <w:szCs w:val="20"/>
        </w:rPr>
        <w:t xml:space="preserve"> a Datová centra</w:t>
      </w:r>
      <w:r w:rsidRPr="00800799">
        <w:rPr>
          <w:sz w:val="20"/>
          <w:szCs w:val="20"/>
        </w:rPr>
        <w:t xml:space="preserve">), neboť se jedná o typ společností, které by se mohly stát žadateli o podporu ve finančním nástroji OP TAK. Pro odeslání, sběr a vyhodnocení dotazníků bude využita platforma </w:t>
      </w:r>
      <w:proofErr w:type="spellStart"/>
      <w:r w:rsidRPr="00800799">
        <w:rPr>
          <w:sz w:val="20"/>
          <w:szCs w:val="20"/>
        </w:rPr>
        <w:t>PwC</w:t>
      </w:r>
      <w:proofErr w:type="spellEnd"/>
      <w:r w:rsidRPr="00800799">
        <w:rPr>
          <w:sz w:val="20"/>
          <w:szCs w:val="20"/>
        </w:rPr>
        <w:t xml:space="preserve"> využívající technologii Google </w:t>
      </w:r>
      <w:proofErr w:type="spellStart"/>
      <w:r w:rsidRPr="00800799">
        <w:rPr>
          <w:sz w:val="20"/>
          <w:szCs w:val="20"/>
        </w:rPr>
        <w:t>Forms</w:t>
      </w:r>
      <w:proofErr w:type="spellEnd"/>
    </w:p>
    <w:p w14:paraId="000001D4" w14:textId="77777777" w:rsidR="00054D27" w:rsidRPr="00800799" w:rsidRDefault="00AF622A">
      <w:pPr>
        <w:spacing w:before="240" w:after="240"/>
        <w:jc w:val="both"/>
        <w:rPr>
          <w:sz w:val="20"/>
          <w:szCs w:val="20"/>
        </w:rPr>
      </w:pPr>
      <w:r w:rsidRPr="00952825">
        <w:rPr>
          <w:b/>
          <w:sz w:val="20"/>
          <w:szCs w:val="20"/>
        </w:rPr>
        <w:t>Navržené metody mají své limity.</w:t>
      </w:r>
      <w:r w:rsidRPr="00952825">
        <w:rPr>
          <w:sz w:val="20"/>
          <w:szCs w:val="20"/>
        </w:rPr>
        <w:t xml:space="preserve"> Dotazníková šetření mohou mít nízkou míru návratnosti (response </w:t>
      </w:r>
      <w:proofErr w:type="spellStart"/>
      <w:r w:rsidRPr="00952825">
        <w:rPr>
          <w:sz w:val="20"/>
          <w:szCs w:val="20"/>
        </w:rPr>
        <w:t>rate</w:t>
      </w:r>
      <w:proofErr w:type="spellEnd"/>
      <w:r w:rsidRPr="00952825">
        <w:rPr>
          <w:sz w:val="20"/>
          <w:szCs w:val="20"/>
        </w:rPr>
        <w:t xml:space="preserve">). Rizikem použití této metody je proto např. snížená relevance závěrů. Riziko bude případně </w:t>
      </w:r>
      <w:proofErr w:type="spellStart"/>
      <w:r w:rsidRPr="00952825">
        <w:rPr>
          <w:sz w:val="20"/>
          <w:szCs w:val="20"/>
        </w:rPr>
        <w:t>mitigováno</w:t>
      </w:r>
      <w:proofErr w:type="spellEnd"/>
      <w:r w:rsidRPr="00952825">
        <w:rPr>
          <w:sz w:val="20"/>
          <w:szCs w:val="20"/>
        </w:rPr>
        <w:t xml:space="preserve"> např. nahrazením dotazníkového šetření strukturovanými rozhovory s modelovými zástupci kone</w:t>
      </w:r>
      <w:r w:rsidRPr="00381528">
        <w:rPr>
          <w:sz w:val="20"/>
          <w:szCs w:val="20"/>
        </w:rPr>
        <w:t>čných příjemců. Strukturované rozhovory nemusí přinést dostatek nových informací nebo nemusí prob</w:t>
      </w:r>
      <w:r w:rsidRPr="00676862">
        <w:rPr>
          <w:sz w:val="20"/>
          <w:szCs w:val="20"/>
        </w:rPr>
        <w:t xml:space="preserve">ěhnout z důvodu nedostatečné spolupráce dotčeného </w:t>
      </w:r>
      <w:proofErr w:type="spellStart"/>
      <w:r w:rsidRPr="00676862">
        <w:rPr>
          <w:sz w:val="20"/>
          <w:szCs w:val="20"/>
        </w:rPr>
        <w:t>stakeholdera</w:t>
      </w:r>
      <w:proofErr w:type="spellEnd"/>
      <w:r w:rsidRPr="00676862">
        <w:rPr>
          <w:sz w:val="20"/>
          <w:szCs w:val="20"/>
        </w:rPr>
        <w:t xml:space="preserve">. Toto riziko bude </w:t>
      </w:r>
      <w:proofErr w:type="spellStart"/>
      <w:r w:rsidRPr="00676862">
        <w:rPr>
          <w:sz w:val="20"/>
          <w:szCs w:val="20"/>
        </w:rPr>
        <w:t>mitigováno</w:t>
      </w:r>
      <w:proofErr w:type="spellEnd"/>
      <w:r w:rsidRPr="00676862">
        <w:rPr>
          <w:sz w:val="20"/>
          <w:szCs w:val="20"/>
        </w:rPr>
        <w:t xml:space="preserve"> případným rozšířením okruhu </w:t>
      </w:r>
      <w:proofErr w:type="spellStart"/>
      <w:r w:rsidRPr="00676862">
        <w:rPr>
          <w:sz w:val="20"/>
          <w:szCs w:val="20"/>
        </w:rPr>
        <w:t>stakeholderů</w:t>
      </w:r>
      <w:proofErr w:type="spellEnd"/>
      <w:r w:rsidRPr="00676862">
        <w:rPr>
          <w:sz w:val="20"/>
          <w:szCs w:val="20"/>
        </w:rPr>
        <w:t xml:space="preserve"> a provedením náhradním strukturovaných rozhovorů.</w:t>
      </w:r>
    </w:p>
    <w:p w14:paraId="000001D5" w14:textId="77777777" w:rsidR="00054D27" w:rsidRPr="00800799" w:rsidRDefault="00AF622A">
      <w:pPr>
        <w:pStyle w:val="Nadpis2"/>
        <w:numPr>
          <w:ilvl w:val="0"/>
          <w:numId w:val="18"/>
        </w:numPr>
        <w:rPr>
          <w:b/>
          <w:color w:val="D04A02"/>
          <w:sz w:val="28"/>
          <w:szCs w:val="28"/>
        </w:rPr>
      </w:pPr>
      <w:bookmarkStart w:id="57" w:name="_w8wf6le8v12u"/>
      <w:bookmarkStart w:id="58" w:name="_hxcq1juuihpl"/>
      <w:bookmarkStart w:id="59" w:name="_f3ejkog2ezcp"/>
      <w:bookmarkStart w:id="60" w:name="_Toc90364553"/>
      <w:bookmarkEnd w:id="57"/>
      <w:bookmarkEnd w:id="58"/>
      <w:bookmarkEnd w:id="59"/>
      <w:r w:rsidRPr="00800799">
        <w:rPr>
          <w:b/>
          <w:color w:val="D04A02"/>
          <w:sz w:val="28"/>
          <w:szCs w:val="28"/>
        </w:rPr>
        <w:t>Stručný přehled aktuálního stavu již fungujících relevantních FN</w:t>
      </w:r>
      <w:bookmarkEnd w:id="60"/>
    </w:p>
    <w:p w14:paraId="000001D6" w14:textId="77777777" w:rsidR="00054D27" w:rsidRPr="00800799" w:rsidRDefault="00AF622A">
      <w:pPr>
        <w:pStyle w:val="Nadpis3"/>
        <w:numPr>
          <w:ilvl w:val="1"/>
          <w:numId w:val="18"/>
        </w:numPr>
        <w:rPr>
          <w:color w:val="D04A02"/>
          <w:sz w:val="24"/>
          <w:szCs w:val="24"/>
        </w:rPr>
      </w:pPr>
      <w:bookmarkStart w:id="61" w:name="_Toc90364554"/>
      <w:proofErr w:type="gramStart"/>
      <w:r w:rsidRPr="00800799">
        <w:rPr>
          <w:color w:val="D04A02"/>
          <w:sz w:val="24"/>
          <w:szCs w:val="24"/>
        </w:rPr>
        <w:t>Expanze - úvěry</w:t>
      </w:r>
      <w:bookmarkEnd w:id="61"/>
      <w:proofErr w:type="gramEnd"/>
    </w:p>
    <w:p w14:paraId="000001D7" w14:textId="006526EE" w:rsidR="00054D27" w:rsidRPr="00800799" w:rsidRDefault="00AF622A">
      <w:pPr>
        <w:spacing w:before="240" w:after="240"/>
        <w:jc w:val="both"/>
        <w:rPr>
          <w:sz w:val="20"/>
          <w:szCs w:val="20"/>
        </w:rPr>
      </w:pPr>
      <w:r w:rsidRPr="00800799">
        <w:rPr>
          <w:sz w:val="20"/>
          <w:szCs w:val="20"/>
        </w:rPr>
        <w:t>Úvěrový finanční nástroj v programu Expanze OP PIK byl spuštěn v posledním čtvrtletí roku 2017. Poskytuje zvýhodněný úvěr MSP i velkým podnikům až na 45 % způsobilých výdajů projektu zaměřeného na investice ve spojení s finančním příspěvkem na úroky z komerčního kofinancujícího úvěru, jehož získání je podmínkou čerpání zvýhodněného úvěru Expanze.</w:t>
      </w:r>
    </w:p>
    <w:p w14:paraId="000001D8" w14:textId="43931BFA" w:rsidR="00054D27" w:rsidRPr="00800799" w:rsidRDefault="00AF622A">
      <w:pPr>
        <w:spacing w:before="240" w:after="240"/>
        <w:jc w:val="both"/>
        <w:rPr>
          <w:sz w:val="20"/>
          <w:szCs w:val="20"/>
        </w:rPr>
      </w:pPr>
      <w:r w:rsidRPr="00800799">
        <w:rPr>
          <w:sz w:val="20"/>
          <w:szCs w:val="20"/>
        </w:rPr>
        <w:t>Podle monitorovací zprávy bylo finančním nástrojem k 30.6.2021 podpořeno celkem 1038 podniků v objemu úvěrů přes 7,3 mld. Kč. Nejvíce úvěrů (přes 200) bylo poskytnuto v Jihomoravském kraji, a to v objemu přes 1,1 mld. Kč. Mezi podpořenými odvětvími dominuje zpracovatelský průmysl, kde bylo dosud poskytnuto 589 zvýhodněných úvěrů za více než 3,4 mld. Kč.</w:t>
      </w:r>
    </w:p>
    <w:p w14:paraId="000001D9" w14:textId="528F6510" w:rsidR="00054D27" w:rsidRPr="00800799" w:rsidRDefault="00AF622A">
      <w:pPr>
        <w:spacing w:before="240" w:after="240"/>
        <w:jc w:val="both"/>
        <w:rPr>
          <w:sz w:val="20"/>
          <w:szCs w:val="20"/>
        </w:rPr>
      </w:pPr>
      <w:r w:rsidRPr="00800799">
        <w:rPr>
          <w:sz w:val="20"/>
          <w:szCs w:val="20"/>
        </w:rPr>
        <w:t>V průběhu programovacího období došlo k řadě změn alokace finančního nástroje, která byla postupně zvýšena na více než 7,5 mld. Kč.</w:t>
      </w:r>
    </w:p>
    <w:tbl>
      <w:tblPr>
        <w:tblStyle w:val="Tabulkasmkou4zvraznn6"/>
        <w:tblW w:w="9480" w:type="dxa"/>
        <w:tblLook w:val="04A0" w:firstRow="1" w:lastRow="0" w:firstColumn="1" w:lastColumn="0" w:noHBand="0" w:noVBand="1"/>
      </w:tblPr>
      <w:tblGrid>
        <w:gridCol w:w="6720"/>
        <w:gridCol w:w="2760"/>
      </w:tblGrid>
      <w:tr w:rsidR="00AF622A" w:rsidRPr="00800799" w14:paraId="69B4F5D0" w14:textId="77777777" w:rsidTr="00AF622A">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6720" w:type="dxa"/>
            <w:hideMark/>
          </w:tcPr>
          <w:p w14:paraId="44F49083" w14:textId="77777777" w:rsidR="00AF622A" w:rsidRPr="00800799" w:rsidRDefault="00AF622A" w:rsidP="00AF622A">
            <w:pPr>
              <w:rPr>
                <w:rFonts w:eastAsia="Times New Roman"/>
                <w:color w:val="000000"/>
                <w:sz w:val="18"/>
                <w:szCs w:val="18"/>
              </w:rPr>
            </w:pPr>
            <w:r w:rsidRPr="00800799">
              <w:rPr>
                <w:rFonts w:eastAsia="Times New Roman"/>
                <w:color w:val="000000"/>
                <w:sz w:val="18"/>
                <w:szCs w:val="18"/>
              </w:rPr>
              <w:t> </w:t>
            </w:r>
          </w:p>
        </w:tc>
        <w:tc>
          <w:tcPr>
            <w:tcW w:w="2760" w:type="dxa"/>
            <w:hideMark/>
          </w:tcPr>
          <w:p w14:paraId="7558C61B" w14:textId="35FB1179" w:rsidR="00AF622A" w:rsidRPr="00800799" w:rsidRDefault="00AF622A" w:rsidP="00AF622A">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sz w:val="18"/>
                <w:szCs w:val="18"/>
              </w:rPr>
              <w:t>Stav k 30.06.2021 v CZK</w:t>
            </w:r>
          </w:p>
        </w:tc>
      </w:tr>
      <w:tr w:rsidR="00AF622A" w:rsidRPr="00800799" w14:paraId="34165432" w14:textId="77777777" w:rsidTr="00AF622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20" w:type="dxa"/>
            <w:hideMark/>
          </w:tcPr>
          <w:p w14:paraId="5E471E14" w14:textId="32547FF3" w:rsidR="00AF622A" w:rsidRPr="00800799" w:rsidRDefault="00AF622A" w:rsidP="00AF622A">
            <w:pPr>
              <w:rPr>
                <w:rFonts w:eastAsia="Times New Roman"/>
                <w:color w:val="000000"/>
                <w:sz w:val="18"/>
                <w:szCs w:val="18"/>
              </w:rPr>
            </w:pPr>
            <w:r w:rsidRPr="00800799">
              <w:rPr>
                <w:rFonts w:eastAsia="Times New Roman"/>
                <w:color w:val="000000"/>
                <w:sz w:val="18"/>
                <w:szCs w:val="18"/>
              </w:rPr>
              <w:t>Prostředky MPO převedené do fondu</w:t>
            </w:r>
          </w:p>
        </w:tc>
        <w:tc>
          <w:tcPr>
            <w:tcW w:w="2760" w:type="dxa"/>
            <w:hideMark/>
          </w:tcPr>
          <w:p w14:paraId="6959C638" w14:textId="77777777" w:rsidR="00AF622A" w:rsidRPr="00800799" w:rsidRDefault="00AF622A" w:rsidP="00AF622A">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6 825 000 000,00</w:t>
            </w:r>
          </w:p>
        </w:tc>
      </w:tr>
      <w:tr w:rsidR="00AF622A" w:rsidRPr="00800799" w14:paraId="2D0D1CCC" w14:textId="77777777" w:rsidTr="00AF622A">
        <w:trPr>
          <w:trHeight w:val="300"/>
        </w:trPr>
        <w:tc>
          <w:tcPr>
            <w:cnfStyle w:val="001000000000" w:firstRow="0" w:lastRow="0" w:firstColumn="1" w:lastColumn="0" w:oddVBand="0" w:evenVBand="0" w:oddHBand="0" w:evenHBand="0" w:firstRowFirstColumn="0" w:firstRowLastColumn="0" w:lastRowFirstColumn="0" w:lastRowLastColumn="0"/>
            <w:tcW w:w="6720" w:type="dxa"/>
            <w:hideMark/>
          </w:tcPr>
          <w:p w14:paraId="57A8D3AF" w14:textId="38D341F5" w:rsidR="00AF622A" w:rsidRPr="00800799" w:rsidRDefault="00AF622A" w:rsidP="00AF622A">
            <w:pPr>
              <w:rPr>
                <w:rFonts w:eastAsia="Times New Roman"/>
                <w:color w:val="000000"/>
                <w:sz w:val="18"/>
                <w:szCs w:val="18"/>
              </w:rPr>
            </w:pPr>
            <w:r w:rsidRPr="00800799">
              <w:rPr>
                <w:rFonts w:eastAsia="Times New Roman"/>
                <w:color w:val="000000"/>
                <w:sz w:val="18"/>
                <w:szCs w:val="18"/>
              </w:rPr>
              <w:t>Úroky z účtů vkladu MPO</w:t>
            </w:r>
          </w:p>
        </w:tc>
        <w:tc>
          <w:tcPr>
            <w:tcW w:w="2760" w:type="dxa"/>
            <w:hideMark/>
          </w:tcPr>
          <w:p w14:paraId="02CDD265" w14:textId="77777777" w:rsidR="00AF622A" w:rsidRPr="00800799" w:rsidRDefault="00AF622A" w:rsidP="00AF622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517 749,79</w:t>
            </w:r>
          </w:p>
        </w:tc>
      </w:tr>
      <w:tr w:rsidR="00AF622A" w:rsidRPr="00800799" w14:paraId="6F09D3AF" w14:textId="77777777" w:rsidTr="00AF622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720" w:type="dxa"/>
            <w:hideMark/>
          </w:tcPr>
          <w:p w14:paraId="6B16891D" w14:textId="0FA3350C" w:rsidR="00AF622A" w:rsidRPr="00800799" w:rsidRDefault="00AF622A" w:rsidP="00AF622A">
            <w:pPr>
              <w:rPr>
                <w:rFonts w:eastAsia="Times New Roman"/>
                <w:color w:val="000000"/>
                <w:sz w:val="18"/>
                <w:szCs w:val="18"/>
              </w:rPr>
            </w:pPr>
            <w:r w:rsidRPr="00800799">
              <w:rPr>
                <w:rFonts w:eastAsia="Times New Roman"/>
                <w:color w:val="000000"/>
                <w:sz w:val="18"/>
                <w:szCs w:val="18"/>
              </w:rPr>
              <w:t>Splátky jistiny Zvýhodněných úvěrů</w:t>
            </w:r>
          </w:p>
        </w:tc>
        <w:tc>
          <w:tcPr>
            <w:tcW w:w="2760" w:type="dxa"/>
            <w:hideMark/>
          </w:tcPr>
          <w:p w14:paraId="5A97078F" w14:textId="675CBA3B" w:rsidR="00AF622A" w:rsidRPr="00800799" w:rsidRDefault="00AF622A" w:rsidP="00AF622A">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648 429 086,02</w:t>
            </w:r>
          </w:p>
        </w:tc>
      </w:tr>
      <w:tr w:rsidR="00AF622A" w:rsidRPr="00800799" w14:paraId="0A23ABB9" w14:textId="77777777" w:rsidTr="00AF622A">
        <w:trPr>
          <w:trHeight w:val="328"/>
        </w:trPr>
        <w:tc>
          <w:tcPr>
            <w:cnfStyle w:val="001000000000" w:firstRow="0" w:lastRow="0" w:firstColumn="1" w:lastColumn="0" w:oddVBand="0" w:evenVBand="0" w:oddHBand="0" w:evenHBand="0" w:firstRowFirstColumn="0" w:firstRowLastColumn="0" w:lastRowFirstColumn="0" w:lastRowLastColumn="0"/>
            <w:tcW w:w="6720" w:type="dxa"/>
            <w:hideMark/>
          </w:tcPr>
          <w:p w14:paraId="670ADF80" w14:textId="7620C981" w:rsidR="00AF622A" w:rsidRPr="00800799" w:rsidRDefault="00AF622A" w:rsidP="00AF622A">
            <w:pPr>
              <w:rPr>
                <w:rFonts w:eastAsia="Times New Roman"/>
                <w:color w:val="000000"/>
                <w:sz w:val="18"/>
                <w:szCs w:val="18"/>
              </w:rPr>
            </w:pPr>
            <w:r w:rsidRPr="00800799">
              <w:rPr>
                <w:rFonts w:eastAsia="Times New Roman"/>
                <w:color w:val="000000"/>
                <w:sz w:val="18"/>
                <w:szCs w:val="18"/>
              </w:rPr>
              <w:t>Splátky úroků ze Zvýhodněných úvěrů</w:t>
            </w:r>
          </w:p>
        </w:tc>
        <w:tc>
          <w:tcPr>
            <w:tcW w:w="2760" w:type="dxa"/>
            <w:hideMark/>
          </w:tcPr>
          <w:p w14:paraId="272D2651" w14:textId="46F0EDA7" w:rsidR="00AF622A" w:rsidRPr="00800799" w:rsidRDefault="00AF622A" w:rsidP="00AF622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584 162,03</w:t>
            </w:r>
          </w:p>
        </w:tc>
      </w:tr>
      <w:tr w:rsidR="00AF622A" w:rsidRPr="00800799" w14:paraId="4C396E90" w14:textId="77777777" w:rsidTr="00AF622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20" w:type="dxa"/>
            <w:hideMark/>
          </w:tcPr>
          <w:p w14:paraId="157F97D3" w14:textId="7EC3E52F" w:rsidR="00AF622A" w:rsidRPr="00800799" w:rsidRDefault="00AF622A" w:rsidP="00AF622A">
            <w:pPr>
              <w:rPr>
                <w:rFonts w:eastAsia="Times New Roman"/>
                <w:color w:val="000000"/>
                <w:sz w:val="18"/>
                <w:szCs w:val="18"/>
              </w:rPr>
            </w:pPr>
            <w:r w:rsidRPr="00800799">
              <w:rPr>
                <w:rFonts w:eastAsia="Times New Roman"/>
                <w:color w:val="000000"/>
                <w:sz w:val="18"/>
                <w:szCs w:val="18"/>
              </w:rPr>
              <w:t>Poskytnuté Zvýhodněné úvěry (standardní)</w:t>
            </w:r>
          </w:p>
        </w:tc>
        <w:tc>
          <w:tcPr>
            <w:tcW w:w="2760" w:type="dxa"/>
            <w:hideMark/>
          </w:tcPr>
          <w:p w14:paraId="5AF0354B" w14:textId="6EB0383A" w:rsidR="00AF622A" w:rsidRPr="00800799" w:rsidRDefault="00AF622A" w:rsidP="00AF622A">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6 896 379 461,00</w:t>
            </w:r>
          </w:p>
        </w:tc>
      </w:tr>
      <w:tr w:rsidR="00AF622A" w:rsidRPr="00800799" w14:paraId="1FAD20DD" w14:textId="77777777" w:rsidTr="00AF622A">
        <w:trPr>
          <w:trHeight w:val="328"/>
        </w:trPr>
        <w:tc>
          <w:tcPr>
            <w:cnfStyle w:val="001000000000" w:firstRow="0" w:lastRow="0" w:firstColumn="1" w:lastColumn="0" w:oddVBand="0" w:evenVBand="0" w:oddHBand="0" w:evenHBand="0" w:firstRowFirstColumn="0" w:firstRowLastColumn="0" w:lastRowFirstColumn="0" w:lastRowLastColumn="0"/>
            <w:tcW w:w="6720" w:type="dxa"/>
            <w:hideMark/>
          </w:tcPr>
          <w:p w14:paraId="52536EDE" w14:textId="70B3D9A0" w:rsidR="00AF622A" w:rsidRPr="00800799" w:rsidRDefault="00AF622A" w:rsidP="00AF622A">
            <w:pPr>
              <w:rPr>
                <w:rFonts w:eastAsia="Times New Roman"/>
                <w:color w:val="000000"/>
                <w:sz w:val="18"/>
                <w:szCs w:val="18"/>
              </w:rPr>
            </w:pPr>
            <w:r w:rsidRPr="00800799">
              <w:rPr>
                <w:rFonts w:eastAsia="Times New Roman"/>
                <w:color w:val="000000"/>
                <w:sz w:val="18"/>
                <w:szCs w:val="18"/>
              </w:rPr>
              <w:t>Poskytnuté Zvýhodněné úvěry (COVID I)</w:t>
            </w:r>
          </w:p>
        </w:tc>
        <w:tc>
          <w:tcPr>
            <w:tcW w:w="2760" w:type="dxa"/>
            <w:hideMark/>
          </w:tcPr>
          <w:p w14:paraId="65D10B58" w14:textId="1C994319" w:rsidR="00AF622A" w:rsidRPr="00800799" w:rsidRDefault="00AF622A" w:rsidP="00AF622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434 465 301,00</w:t>
            </w:r>
          </w:p>
        </w:tc>
      </w:tr>
      <w:tr w:rsidR="00AF622A" w:rsidRPr="00800799" w14:paraId="3CBDB0BB" w14:textId="77777777" w:rsidTr="00AF622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20" w:type="dxa"/>
            <w:hideMark/>
          </w:tcPr>
          <w:p w14:paraId="4FD2755B" w14:textId="7A4CD3AD" w:rsidR="00AF622A" w:rsidRPr="00800799" w:rsidRDefault="00AF622A" w:rsidP="00AF622A">
            <w:pPr>
              <w:rPr>
                <w:rFonts w:eastAsia="Times New Roman"/>
                <w:color w:val="000000"/>
                <w:sz w:val="18"/>
                <w:szCs w:val="18"/>
              </w:rPr>
            </w:pPr>
            <w:r w:rsidRPr="00800799">
              <w:rPr>
                <w:rFonts w:eastAsia="Times New Roman"/>
                <w:color w:val="000000"/>
                <w:sz w:val="18"/>
                <w:szCs w:val="18"/>
              </w:rPr>
              <w:t>Poskytnuté Finanční příspěvky</w:t>
            </w:r>
          </w:p>
        </w:tc>
        <w:tc>
          <w:tcPr>
            <w:tcW w:w="2760" w:type="dxa"/>
            <w:hideMark/>
          </w:tcPr>
          <w:p w14:paraId="57ED114E" w14:textId="69FDEDF4" w:rsidR="00AF622A" w:rsidRPr="00800799" w:rsidRDefault="00AF622A" w:rsidP="00AF622A">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618 761 457,74</w:t>
            </w:r>
          </w:p>
        </w:tc>
      </w:tr>
      <w:tr w:rsidR="00AF622A" w:rsidRPr="00800799" w14:paraId="3771060B" w14:textId="77777777" w:rsidTr="00AF622A">
        <w:trPr>
          <w:trHeight w:val="328"/>
        </w:trPr>
        <w:tc>
          <w:tcPr>
            <w:cnfStyle w:val="001000000000" w:firstRow="0" w:lastRow="0" w:firstColumn="1" w:lastColumn="0" w:oddVBand="0" w:evenVBand="0" w:oddHBand="0" w:evenHBand="0" w:firstRowFirstColumn="0" w:firstRowLastColumn="0" w:lastRowFirstColumn="0" w:lastRowLastColumn="0"/>
            <w:tcW w:w="6720" w:type="dxa"/>
            <w:hideMark/>
          </w:tcPr>
          <w:p w14:paraId="5431D624" w14:textId="58A7AF01" w:rsidR="00AF622A" w:rsidRPr="00800799" w:rsidRDefault="00AF622A" w:rsidP="00AF622A">
            <w:pPr>
              <w:rPr>
                <w:rFonts w:eastAsia="Times New Roman"/>
                <w:color w:val="000000"/>
                <w:sz w:val="18"/>
                <w:szCs w:val="18"/>
              </w:rPr>
            </w:pPr>
            <w:r w:rsidRPr="00800799">
              <w:rPr>
                <w:rFonts w:eastAsia="Times New Roman"/>
                <w:color w:val="000000"/>
                <w:sz w:val="18"/>
                <w:szCs w:val="18"/>
              </w:rPr>
              <w:t>Vyplacená Základní odměna za správu Zvýhodněných úvěrů a Finančních příspěvků</w:t>
            </w:r>
          </w:p>
        </w:tc>
        <w:tc>
          <w:tcPr>
            <w:tcW w:w="2760" w:type="dxa"/>
            <w:hideMark/>
          </w:tcPr>
          <w:p w14:paraId="16F1059D" w14:textId="5860A444" w:rsidR="00AF622A" w:rsidRPr="00800799" w:rsidRDefault="00AF622A" w:rsidP="00AF622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56 710 899,12</w:t>
            </w:r>
          </w:p>
        </w:tc>
      </w:tr>
      <w:tr w:rsidR="00AF622A" w:rsidRPr="00800799" w14:paraId="6C96EE5B" w14:textId="77777777" w:rsidTr="00AF622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720" w:type="dxa"/>
            <w:hideMark/>
          </w:tcPr>
          <w:p w14:paraId="06019BB5" w14:textId="76E58CAF" w:rsidR="00AF622A" w:rsidRPr="00800799" w:rsidRDefault="00AF622A" w:rsidP="00AF622A">
            <w:pPr>
              <w:rPr>
                <w:rFonts w:eastAsia="Times New Roman"/>
                <w:color w:val="000000"/>
                <w:sz w:val="18"/>
                <w:szCs w:val="18"/>
              </w:rPr>
            </w:pPr>
            <w:r w:rsidRPr="00800799">
              <w:rPr>
                <w:rFonts w:eastAsia="Times New Roman"/>
                <w:color w:val="000000"/>
                <w:sz w:val="18"/>
                <w:szCs w:val="18"/>
              </w:rPr>
              <w:lastRenderedPageBreak/>
              <w:t>Vyplacená Výkonnostní odměna za správu Zvýhodněných úvěrů celkem</w:t>
            </w:r>
          </w:p>
        </w:tc>
        <w:tc>
          <w:tcPr>
            <w:tcW w:w="2760" w:type="dxa"/>
            <w:hideMark/>
          </w:tcPr>
          <w:p w14:paraId="06BF1BB7" w14:textId="0E1EAB95" w:rsidR="00AF622A" w:rsidRPr="00800799" w:rsidRDefault="00AF622A" w:rsidP="00AF622A">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65 424 191,36</w:t>
            </w:r>
          </w:p>
        </w:tc>
      </w:tr>
      <w:tr w:rsidR="00AF622A" w:rsidRPr="00800799" w14:paraId="35618C95" w14:textId="77777777" w:rsidTr="00AF622A">
        <w:trPr>
          <w:trHeight w:val="330"/>
        </w:trPr>
        <w:tc>
          <w:tcPr>
            <w:cnfStyle w:val="001000000000" w:firstRow="0" w:lastRow="0" w:firstColumn="1" w:lastColumn="0" w:oddVBand="0" w:evenVBand="0" w:oddHBand="0" w:evenHBand="0" w:firstRowFirstColumn="0" w:firstRowLastColumn="0" w:lastRowFirstColumn="0" w:lastRowLastColumn="0"/>
            <w:tcW w:w="6720" w:type="dxa"/>
            <w:hideMark/>
          </w:tcPr>
          <w:p w14:paraId="7542FFB5" w14:textId="7A462DF3" w:rsidR="00AF622A" w:rsidRPr="00800799" w:rsidRDefault="00AF622A" w:rsidP="00AF622A">
            <w:pPr>
              <w:rPr>
                <w:rFonts w:eastAsia="Times New Roman"/>
                <w:color w:val="000000"/>
                <w:sz w:val="18"/>
                <w:szCs w:val="18"/>
              </w:rPr>
            </w:pPr>
            <w:r w:rsidRPr="00800799">
              <w:rPr>
                <w:rFonts w:eastAsia="Times New Roman"/>
                <w:color w:val="000000"/>
                <w:sz w:val="18"/>
                <w:szCs w:val="18"/>
              </w:rPr>
              <w:t>Vyplacená Výkonnostní odměna za správu Finančních příspěvků</w:t>
            </w:r>
          </w:p>
        </w:tc>
        <w:tc>
          <w:tcPr>
            <w:tcW w:w="2760" w:type="dxa"/>
            <w:hideMark/>
          </w:tcPr>
          <w:p w14:paraId="2658BD43" w14:textId="351E37A3" w:rsidR="00AF622A" w:rsidRPr="00800799" w:rsidRDefault="00AF622A" w:rsidP="00AF622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184 607,35</w:t>
            </w:r>
          </w:p>
        </w:tc>
      </w:tr>
      <w:tr w:rsidR="00AF622A" w:rsidRPr="00800799" w14:paraId="01E86BF5" w14:textId="77777777" w:rsidTr="00AF622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720" w:type="dxa"/>
            <w:hideMark/>
          </w:tcPr>
          <w:p w14:paraId="7A5AF06A" w14:textId="095E8875" w:rsidR="00AF622A" w:rsidRPr="00800799" w:rsidRDefault="00AF622A" w:rsidP="00AF622A">
            <w:pPr>
              <w:rPr>
                <w:rFonts w:eastAsia="Times New Roman"/>
                <w:color w:val="000000"/>
                <w:sz w:val="18"/>
                <w:szCs w:val="18"/>
              </w:rPr>
            </w:pPr>
            <w:r w:rsidRPr="00800799">
              <w:rPr>
                <w:rFonts w:eastAsia="Times New Roman"/>
                <w:color w:val="000000"/>
                <w:sz w:val="18"/>
                <w:szCs w:val="18"/>
              </w:rPr>
              <w:t>Vyplacený Poplatek za správu celkem</w:t>
            </w:r>
          </w:p>
        </w:tc>
        <w:tc>
          <w:tcPr>
            <w:tcW w:w="2760" w:type="dxa"/>
            <w:hideMark/>
          </w:tcPr>
          <w:p w14:paraId="0DC60CDE" w14:textId="0D79FDEA" w:rsidR="00AF622A" w:rsidRPr="00800799" w:rsidRDefault="00AF622A" w:rsidP="00AF622A">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122 319 697,83</w:t>
            </w:r>
          </w:p>
        </w:tc>
      </w:tr>
      <w:tr w:rsidR="00AF622A" w:rsidRPr="00800799" w14:paraId="509B97B5" w14:textId="77777777" w:rsidTr="00AF622A">
        <w:trPr>
          <w:trHeight w:val="330"/>
        </w:trPr>
        <w:tc>
          <w:tcPr>
            <w:cnfStyle w:val="001000000000" w:firstRow="0" w:lastRow="0" w:firstColumn="1" w:lastColumn="0" w:oddVBand="0" w:evenVBand="0" w:oddHBand="0" w:evenHBand="0" w:firstRowFirstColumn="0" w:firstRowLastColumn="0" w:lastRowFirstColumn="0" w:lastRowLastColumn="0"/>
            <w:tcW w:w="6720" w:type="dxa"/>
          </w:tcPr>
          <w:p w14:paraId="4C82382C" w14:textId="7B7B9F8A" w:rsidR="00AF622A" w:rsidRPr="00800799" w:rsidRDefault="00AF622A" w:rsidP="00AF622A">
            <w:pPr>
              <w:rPr>
                <w:rFonts w:eastAsia="Times New Roman"/>
                <w:color w:val="000000"/>
                <w:sz w:val="18"/>
                <w:szCs w:val="18"/>
              </w:rPr>
            </w:pPr>
          </w:p>
        </w:tc>
        <w:tc>
          <w:tcPr>
            <w:tcW w:w="2760" w:type="dxa"/>
          </w:tcPr>
          <w:p w14:paraId="3AB1C33C" w14:textId="23046AA2" w:rsidR="00AF622A" w:rsidRPr="00800799" w:rsidRDefault="00AF622A" w:rsidP="00AF622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tc>
      </w:tr>
      <w:tr w:rsidR="00AF622A" w:rsidRPr="00800799" w14:paraId="20FB3545" w14:textId="77777777" w:rsidTr="00AF622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20" w:type="dxa"/>
            <w:hideMark/>
          </w:tcPr>
          <w:p w14:paraId="397D9FA8" w14:textId="64355811" w:rsidR="00AF622A" w:rsidRPr="00800799" w:rsidRDefault="00AF622A" w:rsidP="00AF622A">
            <w:pPr>
              <w:rPr>
                <w:rFonts w:eastAsia="Times New Roman"/>
                <w:color w:val="000000"/>
                <w:sz w:val="18"/>
                <w:szCs w:val="18"/>
              </w:rPr>
            </w:pPr>
            <w:r w:rsidRPr="00800799">
              <w:rPr>
                <w:rFonts w:eastAsia="Times New Roman"/>
                <w:color w:val="000000"/>
                <w:sz w:val="18"/>
                <w:szCs w:val="18"/>
              </w:rPr>
              <w:t>Výše vyčerpaných Zvýhodněných úvěrů</w:t>
            </w:r>
          </w:p>
        </w:tc>
        <w:tc>
          <w:tcPr>
            <w:tcW w:w="2760" w:type="dxa"/>
            <w:hideMark/>
          </w:tcPr>
          <w:p w14:paraId="2362D111" w14:textId="77777777" w:rsidR="00AF622A" w:rsidRPr="00800799" w:rsidRDefault="00AF622A" w:rsidP="00AF622A">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6 028 900 597,03</w:t>
            </w:r>
          </w:p>
        </w:tc>
      </w:tr>
      <w:tr w:rsidR="00AF622A" w:rsidRPr="00800799" w14:paraId="52E49A2E" w14:textId="77777777" w:rsidTr="00AF622A">
        <w:trPr>
          <w:trHeight w:val="328"/>
        </w:trPr>
        <w:tc>
          <w:tcPr>
            <w:cnfStyle w:val="001000000000" w:firstRow="0" w:lastRow="0" w:firstColumn="1" w:lastColumn="0" w:oddVBand="0" w:evenVBand="0" w:oddHBand="0" w:evenHBand="0" w:firstRowFirstColumn="0" w:firstRowLastColumn="0" w:lastRowFirstColumn="0" w:lastRowLastColumn="0"/>
            <w:tcW w:w="6720" w:type="dxa"/>
            <w:hideMark/>
          </w:tcPr>
          <w:p w14:paraId="60376577" w14:textId="75252953" w:rsidR="00AF622A" w:rsidRPr="00800799" w:rsidRDefault="00AF622A" w:rsidP="00AF622A">
            <w:pPr>
              <w:rPr>
                <w:rFonts w:eastAsia="Times New Roman"/>
                <w:color w:val="000000"/>
                <w:sz w:val="18"/>
                <w:szCs w:val="18"/>
              </w:rPr>
            </w:pPr>
            <w:r w:rsidRPr="00800799">
              <w:rPr>
                <w:rFonts w:eastAsia="Times New Roman"/>
                <w:color w:val="000000"/>
                <w:sz w:val="18"/>
                <w:szCs w:val="18"/>
              </w:rPr>
              <w:t>Zůstatek jistiny Zvýhodněných úvěrů do i po lhůtě splatnosti</w:t>
            </w:r>
          </w:p>
        </w:tc>
        <w:tc>
          <w:tcPr>
            <w:tcW w:w="2760" w:type="dxa"/>
            <w:hideMark/>
          </w:tcPr>
          <w:p w14:paraId="483C786C" w14:textId="77777777" w:rsidR="00AF622A" w:rsidRPr="00800799" w:rsidRDefault="00AF622A" w:rsidP="00AF622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5 380 471 511,01</w:t>
            </w:r>
          </w:p>
        </w:tc>
      </w:tr>
      <w:tr w:rsidR="00AF622A" w:rsidRPr="00800799" w14:paraId="09B76652" w14:textId="77777777" w:rsidTr="00AF622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20" w:type="dxa"/>
            <w:hideMark/>
          </w:tcPr>
          <w:p w14:paraId="26FBB379" w14:textId="3B8F889D" w:rsidR="00AF622A" w:rsidRPr="00800799" w:rsidRDefault="00AF622A" w:rsidP="00AF622A">
            <w:pPr>
              <w:rPr>
                <w:rFonts w:eastAsia="Times New Roman"/>
                <w:color w:val="000000"/>
                <w:sz w:val="18"/>
                <w:szCs w:val="18"/>
              </w:rPr>
            </w:pPr>
            <w:r w:rsidRPr="00800799">
              <w:rPr>
                <w:rFonts w:eastAsia="Times New Roman"/>
                <w:color w:val="000000"/>
                <w:sz w:val="18"/>
                <w:szCs w:val="18"/>
              </w:rPr>
              <w:t xml:space="preserve"> z toho: pohledávky na jistinu do splatnosti</w:t>
            </w:r>
          </w:p>
        </w:tc>
        <w:tc>
          <w:tcPr>
            <w:tcW w:w="2760" w:type="dxa"/>
            <w:hideMark/>
          </w:tcPr>
          <w:p w14:paraId="2120FDDA" w14:textId="77777777" w:rsidR="00AF622A" w:rsidRPr="00800799" w:rsidRDefault="00AF622A" w:rsidP="00AF622A">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5 369 237 912,47</w:t>
            </w:r>
          </w:p>
        </w:tc>
      </w:tr>
      <w:tr w:rsidR="00AF622A" w:rsidRPr="00800799" w14:paraId="1E7024E5" w14:textId="77777777" w:rsidTr="00AF622A">
        <w:trPr>
          <w:trHeight w:val="328"/>
        </w:trPr>
        <w:tc>
          <w:tcPr>
            <w:cnfStyle w:val="001000000000" w:firstRow="0" w:lastRow="0" w:firstColumn="1" w:lastColumn="0" w:oddVBand="0" w:evenVBand="0" w:oddHBand="0" w:evenHBand="0" w:firstRowFirstColumn="0" w:firstRowLastColumn="0" w:lastRowFirstColumn="0" w:lastRowLastColumn="0"/>
            <w:tcW w:w="6720" w:type="dxa"/>
            <w:hideMark/>
          </w:tcPr>
          <w:p w14:paraId="5BDD0E43" w14:textId="5191B080" w:rsidR="00AF622A" w:rsidRPr="00800799" w:rsidRDefault="00AF622A" w:rsidP="00AF622A">
            <w:pPr>
              <w:rPr>
                <w:rFonts w:eastAsia="Times New Roman"/>
                <w:color w:val="000000"/>
                <w:sz w:val="18"/>
                <w:szCs w:val="18"/>
              </w:rPr>
            </w:pPr>
            <w:r w:rsidRPr="00800799">
              <w:rPr>
                <w:rFonts w:eastAsia="Times New Roman"/>
                <w:color w:val="000000"/>
                <w:sz w:val="18"/>
                <w:szCs w:val="18"/>
              </w:rPr>
              <w:t xml:space="preserve">             pohledávky na jistinu po splatnosti</w:t>
            </w:r>
          </w:p>
        </w:tc>
        <w:tc>
          <w:tcPr>
            <w:tcW w:w="2760" w:type="dxa"/>
            <w:hideMark/>
          </w:tcPr>
          <w:p w14:paraId="4A78FC34" w14:textId="77777777" w:rsidR="00AF622A" w:rsidRPr="00800799" w:rsidRDefault="00AF622A" w:rsidP="00AF622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11 233 598,54</w:t>
            </w:r>
          </w:p>
        </w:tc>
      </w:tr>
      <w:tr w:rsidR="00AF622A" w:rsidRPr="00800799" w14:paraId="7977C736" w14:textId="77777777" w:rsidTr="00AF622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20" w:type="dxa"/>
            <w:hideMark/>
          </w:tcPr>
          <w:p w14:paraId="4F441C0A" w14:textId="2F6AC55B" w:rsidR="00AF622A" w:rsidRPr="00800799" w:rsidRDefault="00AF622A" w:rsidP="00AF622A">
            <w:pPr>
              <w:rPr>
                <w:rFonts w:eastAsia="Times New Roman"/>
                <w:color w:val="000000"/>
                <w:sz w:val="18"/>
                <w:szCs w:val="18"/>
              </w:rPr>
            </w:pPr>
            <w:r w:rsidRPr="00800799">
              <w:rPr>
                <w:rFonts w:eastAsia="Times New Roman"/>
                <w:color w:val="000000"/>
                <w:sz w:val="18"/>
                <w:szCs w:val="18"/>
              </w:rPr>
              <w:t>Výše jistiny Zvýhodněného úvěru odepsaná pro nedobytnost</w:t>
            </w:r>
          </w:p>
        </w:tc>
        <w:tc>
          <w:tcPr>
            <w:tcW w:w="2760" w:type="dxa"/>
            <w:hideMark/>
          </w:tcPr>
          <w:p w14:paraId="02F483FA" w14:textId="77777777" w:rsidR="00AF622A" w:rsidRPr="00800799" w:rsidRDefault="00AF622A" w:rsidP="00AF622A">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0,00</w:t>
            </w:r>
          </w:p>
        </w:tc>
      </w:tr>
      <w:tr w:rsidR="00AF622A" w:rsidRPr="00800799" w14:paraId="2E2A9A67" w14:textId="77777777" w:rsidTr="00AF622A">
        <w:trPr>
          <w:trHeight w:val="328"/>
        </w:trPr>
        <w:tc>
          <w:tcPr>
            <w:cnfStyle w:val="001000000000" w:firstRow="0" w:lastRow="0" w:firstColumn="1" w:lastColumn="0" w:oddVBand="0" w:evenVBand="0" w:oddHBand="0" w:evenHBand="0" w:firstRowFirstColumn="0" w:firstRowLastColumn="0" w:lastRowFirstColumn="0" w:lastRowLastColumn="0"/>
            <w:tcW w:w="6720" w:type="dxa"/>
            <w:hideMark/>
          </w:tcPr>
          <w:p w14:paraId="03226812" w14:textId="54EA2D43" w:rsidR="00AF622A" w:rsidRPr="00800799" w:rsidRDefault="00AF622A" w:rsidP="00AF622A">
            <w:pPr>
              <w:rPr>
                <w:rFonts w:eastAsia="Times New Roman"/>
                <w:color w:val="000000"/>
                <w:sz w:val="18"/>
                <w:szCs w:val="18"/>
              </w:rPr>
            </w:pPr>
            <w:r w:rsidRPr="00800799">
              <w:rPr>
                <w:rFonts w:eastAsia="Times New Roman"/>
                <w:color w:val="000000"/>
                <w:sz w:val="18"/>
                <w:szCs w:val="18"/>
              </w:rPr>
              <w:t>Vyplacené Finanční příspěvky</w:t>
            </w:r>
          </w:p>
        </w:tc>
        <w:tc>
          <w:tcPr>
            <w:tcW w:w="2760" w:type="dxa"/>
            <w:hideMark/>
          </w:tcPr>
          <w:p w14:paraId="59FF31E9" w14:textId="77777777" w:rsidR="00AF622A" w:rsidRPr="00800799" w:rsidRDefault="00AF622A" w:rsidP="00AF622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60 375 967,02</w:t>
            </w:r>
          </w:p>
        </w:tc>
      </w:tr>
      <w:tr w:rsidR="00AF622A" w:rsidRPr="00800799" w14:paraId="7EC93795" w14:textId="77777777" w:rsidTr="00AF622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720" w:type="dxa"/>
            <w:hideMark/>
          </w:tcPr>
          <w:p w14:paraId="33723B55" w14:textId="2BD51A82" w:rsidR="00AF622A" w:rsidRPr="00800799" w:rsidRDefault="00AF622A" w:rsidP="00AF622A">
            <w:pPr>
              <w:rPr>
                <w:rFonts w:eastAsia="Times New Roman"/>
                <w:color w:val="000000"/>
                <w:sz w:val="18"/>
                <w:szCs w:val="18"/>
              </w:rPr>
            </w:pPr>
            <w:r w:rsidRPr="00800799">
              <w:rPr>
                <w:rFonts w:eastAsia="Times New Roman"/>
                <w:color w:val="000000"/>
                <w:sz w:val="18"/>
                <w:szCs w:val="18"/>
              </w:rPr>
              <w:t>Celkové skutečné náklady podpořených projektů</w:t>
            </w:r>
          </w:p>
        </w:tc>
        <w:tc>
          <w:tcPr>
            <w:tcW w:w="2760" w:type="dxa"/>
            <w:hideMark/>
          </w:tcPr>
          <w:p w14:paraId="405B0485" w14:textId="77777777" w:rsidR="00AF622A" w:rsidRPr="00800799" w:rsidRDefault="00AF622A" w:rsidP="00AF622A">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9 446 819 891,33</w:t>
            </w:r>
          </w:p>
        </w:tc>
      </w:tr>
      <w:tr w:rsidR="00AF622A" w:rsidRPr="00800799" w14:paraId="32E66BE2" w14:textId="77777777" w:rsidTr="00AF622A">
        <w:trPr>
          <w:trHeight w:val="328"/>
        </w:trPr>
        <w:tc>
          <w:tcPr>
            <w:cnfStyle w:val="001000000000" w:firstRow="0" w:lastRow="0" w:firstColumn="1" w:lastColumn="0" w:oddVBand="0" w:evenVBand="0" w:oddHBand="0" w:evenHBand="0" w:firstRowFirstColumn="0" w:firstRowLastColumn="0" w:lastRowFirstColumn="0" w:lastRowLastColumn="0"/>
            <w:tcW w:w="6720" w:type="dxa"/>
            <w:hideMark/>
          </w:tcPr>
          <w:p w14:paraId="08664418" w14:textId="77AC6615" w:rsidR="00AF622A" w:rsidRPr="00800799" w:rsidRDefault="00AF622A" w:rsidP="00AF622A">
            <w:pPr>
              <w:rPr>
                <w:rFonts w:eastAsia="Times New Roman"/>
                <w:color w:val="000000"/>
                <w:sz w:val="18"/>
                <w:szCs w:val="18"/>
              </w:rPr>
            </w:pPr>
            <w:r w:rsidRPr="00800799">
              <w:rPr>
                <w:rFonts w:eastAsia="Times New Roman"/>
                <w:color w:val="000000"/>
                <w:sz w:val="18"/>
                <w:szCs w:val="18"/>
              </w:rPr>
              <w:t>Pákový efekt (</w:t>
            </w:r>
            <w:proofErr w:type="spellStart"/>
            <w:r w:rsidRPr="00800799">
              <w:rPr>
                <w:rFonts w:eastAsia="Times New Roman"/>
                <w:color w:val="000000"/>
                <w:sz w:val="18"/>
                <w:szCs w:val="18"/>
              </w:rPr>
              <w:t>leverage</w:t>
            </w:r>
            <w:proofErr w:type="spellEnd"/>
            <w:r w:rsidRPr="00800799">
              <w:rPr>
                <w:rFonts w:eastAsia="Times New Roman"/>
                <w:color w:val="000000"/>
                <w:sz w:val="18"/>
                <w:szCs w:val="18"/>
              </w:rPr>
              <w:t>)</w:t>
            </w:r>
          </w:p>
        </w:tc>
        <w:tc>
          <w:tcPr>
            <w:tcW w:w="2760" w:type="dxa"/>
            <w:hideMark/>
          </w:tcPr>
          <w:p w14:paraId="564F1506" w14:textId="1CF4C0BE" w:rsidR="00AF622A" w:rsidRPr="00800799" w:rsidRDefault="00AF622A" w:rsidP="00AF622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bookmarkStart w:id="62" w:name="_xv34vh141zms"/>
            <w:bookmarkStart w:id="63" w:name="_heading_h_44sinio"/>
            <w:bookmarkEnd w:id="62"/>
            <w:bookmarkEnd w:id="63"/>
            <w:r w:rsidRPr="00800799">
              <w:rPr>
                <w:rFonts w:eastAsia="Times New Roman"/>
                <w:color w:val="000000"/>
                <w:sz w:val="18"/>
                <w:szCs w:val="18"/>
              </w:rPr>
              <w:t>2,32</w:t>
            </w:r>
          </w:p>
        </w:tc>
      </w:tr>
      <w:tr w:rsidR="00AF622A" w:rsidRPr="00800799" w14:paraId="47C26E5B" w14:textId="77777777" w:rsidTr="00AF622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20" w:type="dxa"/>
            <w:hideMark/>
          </w:tcPr>
          <w:p w14:paraId="054A907E" w14:textId="286D391D" w:rsidR="00AF622A" w:rsidRPr="00800799" w:rsidRDefault="00AF622A" w:rsidP="00AF622A">
            <w:pPr>
              <w:rPr>
                <w:rFonts w:eastAsia="Times New Roman"/>
                <w:color w:val="000000"/>
                <w:sz w:val="18"/>
                <w:szCs w:val="18"/>
              </w:rPr>
            </w:pPr>
            <w:r w:rsidRPr="00800799">
              <w:rPr>
                <w:rFonts w:eastAsia="Times New Roman"/>
                <w:color w:val="000000"/>
                <w:sz w:val="18"/>
                <w:szCs w:val="18"/>
              </w:rPr>
              <w:t>Počet podniků pobírajících jinou finanční podporu než granty</w:t>
            </w:r>
          </w:p>
        </w:tc>
        <w:tc>
          <w:tcPr>
            <w:tcW w:w="2760" w:type="dxa"/>
            <w:hideMark/>
          </w:tcPr>
          <w:p w14:paraId="1895D96A" w14:textId="77777777" w:rsidR="00AF622A" w:rsidRPr="00800799" w:rsidRDefault="00AF622A" w:rsidP="00AF622A">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1 038</w:t>
            </w:r>
          </w:p>
        </w:tc>
      </w:tr>
      <w:tr w:rsidR="00AF622A" w:rsidRPr="00800799" w14:paraId="32AC4BA6" w14:textId="77777777" w:rsidTr="00AF622A">
        <w:trPr>
          <w:trHeight w:val="328"/>
        </w:trPr>
        <w:tc>
          <w:tcPr>
            <w:cnfStyle w:val="001000000000" w:firstRow="0" w:lastRow="0" w:firstColumn="1" w:lastColumn="0" w:oddVBand="0" w:evenVBand="0" w:oddHBand="0" w:evenHBand="0" w:firstRowFirstColumn="0" w:firstRowLastColumn="0" w:lastRowFirstColumn="0" w:lastRowLastColumn="0"/>
            <w:tcW w:w="6720" w:type="dxa"/>
            <w:hideMark/>
          </w:tcPr>
          <w:p w14:paraId="09107167" w14:textId="77777777" w:rsidR="00AF622A" w:rsidRPr="00800799" w:rsidRDefault="00AF622A" w:rsidP="00AF622A">
            <w:pPr>
              <w:rPr>
                <w:rFonts w:eastAsia="Times New Roman"/>
                <w:color w:val="000000"/>
                <w:sz w:val="18"/>
                <w:szCs w:val="18"/>
              </w:rPr>
            </w:pPr>
            <w:r w:rsidRPr="00800799">
              <w:rPr>
                <w:rFonts w:eastAsia="Times New Roman"/>
                <w:color w:val="000000"/>
                <w:sz w:val="18"/>
                <w:szCs w:val="18"/>
              </w:rPr>
              <w:t>Počet nových podniků, které dostávají podporu</w:t>
            </w:r>
          </w:p>
        </w:tc>
        <w:tc>
          <w:tcPr>
            <w:tcW w:w="2760" w:type="dxa"/>
            <w:hideMark/>
          </w:tcPr>
          <w:p w14:paraId="56DB35D0" w14:textId="77777777" w:rsidR="00AF622A" w:rsidRPr="00800799" w:rsidRDefault="00AF622A" w:rsidP="00AF622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134</w:t>
            </w:r>
          </w:p>
        </w:tc>
      </w:tr>
      <w:tr w:rsidR="00AF622A" w:rsidRPr="00800799" w14:paraId="2C4E01CF" w14:textId="77777777" w:rsidTr="00AF622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20" w:type="dxa"/>
            <w:hideMark/>
          </w:tcPr>
          <w:p w14:paraId="16DEE60A" w14:textId="77777777" w:rsidR="00AF622A" w:rsidRPr="00800799" w:rsidRDefault="00AF622A" w:rsidP="00AF622A">
            <w:pPr>
              <w:rPr>
                <w:rFonts w:eastAsia="Times New Roman"/>
                <w:color w:val="000000"/>
                <w:sz w:val="18"/>
                <w:szCs w:val="18"/>
              </w:rPr>
            </w:pPr>
            <w:r w:rsidRPr="00800799">
              <w:rPr>
                <w:rFonts w:eastAsia="Times New Roman"/>
                <w:color w:val="000000"/>
                <w:sz w:val="18"/>
                <w:szCs w:val="18"/>
              </w:rPr>
              <w:t>Soukromé investice odpovídající veřejné podpoře podniků (jiné než granty)</w:t>
            </w:r>
          </w:p>
        </w:tc>
        <w:tc>
          <w:tcPr>
            <w:tcW w:w="2760" w:type="dxa"/>
            <w:hideMark/>
          </w:tcPr>
          <w:p w14:paraId="002BD318" w14:textId="77777777" w:rsidR="00AF622A" w:rsidRPr="00800799" w:rsidRDefault="00AF622A" w:rsidP="00AF622A">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6 208 647 940,99</w:t>
            </w:r>
          </w:p>
        </w:tc>
      </w:tr>
      <w:tr w:rsidR="00AF622A" w:rsidRPr="00800799" w14:paraId="69310A49" w14:textId="77777777" w:rsidTr="00AF622A">
        <w:trPr>
          <w:trHeight w:val="328"/>
        </w:trPr>
        <w:tc>
          <w:tcPr>
            <w:cnfStyle w:val="001000000000" w:firstRow="0" w:lastRow="0" w:firstColumn="1" w:lastColumn="0" w:oddVBand="0" w:evenVBand="0" w:oddHBand="0" w:evenHBand="0" w:firstRowFirstColumn="0" w:firstRowLastColumn="0" w:lastRowFirstColumn="0" w:lastRowLastColumn="0"/>
            <w:tcW w:w="6720" w:type="dxa"/>
            <w:hideMark/>
          </w:tcPr>
          <w:p w14:paraId="47A81D9E" w14:textId="77777777" w:rsidR="00AF622A" w:rsidRPr="00800799" w:rsidRDefault="00AF622A" w:rsidP="00AF622A">
            <w:pPr>
              <w:rPr>
                <w:rFonts w:eastAsia="Times New Roman"/>
                <w:color w:val="000000"/>
                <w:sz w:val="18"/>
                <w:szCs w:val="18"/>
              </w:rPr>
            </w:pPr>
            <w:r w:rsidRPr="00800799">
              <w:rPr>
                <w:rFonts w:eastAsia="Times New Roman"/>
                <w:color w:val="000000"/>
                <w:sz w:val="18"/>
                <w:szCs w:val="18"/>
              </w:rPr>
              <w:t>Zvýšení zaměstnanosti v podporovaných podnicích</w:t>
            </w:r>
          </w:p>
        </w:tc>
        <w:tc>
          <w:tcPr>
            <w:tcW w:w="2760" w:type="dxa"/>
            <w:hideMark/>
          </w:tcPr>
          <w:p w14:paraId="17852033" w14:textId="77777777" w:rsidR="00AF622A" w:rsidRPr="00800799" w:rsidRDefault="00AF622A" w:rsidP="00AF622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217</w:t>
            </w:r>
          </w:p>
        </w:tc>
      </w:tr>
      <w:tr w:rsidR="00AF622A" w:rsidRPr="00800799" w14:paraId="3F724D18" w14:textId="77777777" w:rsidTr="00AF622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20" w:type="dxa"/>
            <w:hideMark/>
          </w:tcPr>
          <w:p w14:paraId="1964707B" w14:textId="77777777" w:rsidR="00AF622A" w:rsidRPr="00800799" w:rsidRDefault="00AF622A" w:rsidP="00AF622A">
            <w:pPr>
              <w:rPr>
                <w:rFonts w:eastAsia="Times New Roman"/>
                <w:color w:val="000000"/>
                <w:sz w:val="18"/>
                <w:szCs w:val="18"/>
              </w:rPr>
            </w:pPr>
            <w:r w:rsidRPr="00800799">
              <w:rPr>
                <w:rFonts w:eastAsia="Times New Roman"/>
                <w:color w:val="000000"/>
                <w:sz w:val="18"/>
                <w:szCs w:val="18"/>
              </w:rPr>
              <w:t xml:space="preserve">Počet nově vytvořených </w:t>
            </w:r>
            <w:proofErr w:type="gramStart"/>
            <w:r w:rsidRPr="00800799">
              <w:rPr>
                <w:rFonts w:eastAsia="Times New Roman"/>
                <w:color w:val="000000"/>
                <w:sz w:val="18"/>
                <w:szCs w:val="18"/>
              </w:rPr>
              <w:t>míst - ženy</w:t>
            </w:r>
            <w:proofErr w:type="gramEnd"/>
          </w:p>
        </w:tc>
        <w:tc>
          <w:tcPr>
            <w:tcW w:w="2760" w:type="dxa"/>
            <w:hideMark/>
          </w:tcPr>
          <w:p w14:paraId="3D3BEFFB" w14:textId="77777777" w:rsidR="00AF622A" w:rsidRPr="00800799" w:rsidRDefault="00AF622A" w:rsidP="00AF622A">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56</w:t>
            </w:r>
          </w:p>
        </w:tc>
      </w:tr>
      <w:tr w:rsidR="00AF622A" w:rsidRPr="00800799" w14:paraId="2F683608" w14:textId="77777777" w:rsidTr="00AF622A">
        <w:trPr>
          <w:trHeight w:val="328"/>
        </w:trPr>
        <w:tc>
          <w:tcPr>
            <w:cnfStyle w:val="001000000000" w:firstRow="0" w:lastRow="0" w:firstColumn="1" w:lastColumn="0" w:oddVBand="0" w:evenVBand="0" w:oddHBand="0" w:evenHBand="0" w:firstRowFirstColumn="0" w:firstRowLastColumn="0" w:lastRowFirstColumn="0" w:lastRowLastColumn="0"/>
            <w:tcW w:w="6720" w:type="dxa"/>
            <w:hideMark/>
          </w:tcPr>
          <w:p w14:paraId="1F04748D" w14:textId="77777777" w:rsidR="00AF622A" w:rsidRPr="00800799" w:rsidRDefault="00AF622A" w:rsidP="00AF622A">
            <w:pPr>
              <w:rPr>
                <w:rFonts w:eastAsia="Times New Roman"/>
                <w:color w:val="000000"/>
                <w:sz w:val="18"/>
                <w:szCs w:val="18"/>
              </w:rPr>
            </w:pPr>
            <w:r w:rsidRPr="00800799">
              <w:rPr>
                <w:rFonts w:eastAsia="Times New Roman"/>
                <w:color w:val="000000"/>
                <w:sz w:val="18"/>
                <w:szCs w:val="18"/>
              </w:rPr>
              <w:t xml:space="preserve">Nové a modernizované sítě NGA </w:t>
            </w:r>
          </w:p>
        </w:tc>
        <w:tc>
          <w:tcPr>
            <w:tcW w:w="2760" w:type="dxa"/>
            <w:hideMark/>
          </w:tcPr>
          <w:p w14:paraId="08F80F1B" w14:textId="77777777" w:rsidR="00AF622A" w:rsidRPr="00800799" w:rsidRDefault="00AF622A" w:rsidP="00AF622A">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0</w:t>
            </w:r>
          </w:p>
        </w:tc>
      </w:tr>
    </w:tbl>
    <w:p w14:paraId="000001EE" w14:textId="5FC3D074" w:rsidR="00054D27" w:rsidRPr="00800799" w:rsidRDefault="00AF622A">
      <w:pPr>
        <w:spacing w:before="240" w:after="240"/>
        <w:jc w:val="both"/>
        <w:rPr>
          <w:sz w:val="20"/>
          <w:szCs w:val="20"/>
        </w:rPr>
      </w:pPr>
      <w:r w:rsidRPr="00800799">
        <w:rPr>
          <w:sz w:val="20"/>
          <w:szCs w:val="20"/>
        </w:rPr>
        <w:t>Podíl nových podniků (mladších 3 let) na celkovém počtu podpořených firem dosáhl 12,9 % a bylo jich celkem dosud podpořeno 134. Zvýšení zaměstnanosti zůstává za očekáváním (pouze 217 nově vytvořených pracovních míst).</w:t>
      </w:r>
    </w:p>
    <w:p w14:paraId="000001EF" w14:textId="239AC71A" w:rsidR="00054D27" w:rsidRPr="00800799" w:rsidRDefault="00AF622A">
      <w:pPr>
        <w:pStyle w:val="Nadpis3"/>
        <w:numPr>
          <w:ilvl w:val="1"/>
          <w:numId w:val="18"/>
        </w:numPr>
        <w:rPr>
          <w:color w:val="D04A02"/>
          <w:sz w:val="24"/>
          <w:szCs w:val="24"/>
        </w:rPr>
      </w:pPr>
      <w:bookmarkStart w:id="64" w:name="_Toc90364555"/>
      <w:proofErr w:type="gramStart"/>
      <w:r w:rsidRPr="00800799">
        <w:rPr>
          <w:color w:val="D04A02"/>
          <w:sz w:val="24"/>
          <w:szCs w:val="24"/>
        </w:rPr>
        <w:t>Expanze - záruky</w:t>
      </w:r>
      <w:bookmarkEnd w:id="64"/>
      <w:proofErr w:type="gramEnd"/>
    </w:p>
    <w:p w14:paraId="000001F0" w14:textId="2E5F709D" w:rsidR="00054D27" w:rsidRPr="00800799" w:rsidRDefault="00AF622A">
      <w:pPr>
        <w:spacing w:before="240" w:after="240"/>
        <w:jc w:val="both"/>
        <w:rPr>
          <w:sz w:val="20"/>
          <w:szCs w:val="20"/>
        </w:rPr>
      </w:pPr>
      <w:r w:rsidRPr="00800799">
        <w:rPr>
          <w:sz w:val="20"/>
          <w:szCs w:val="20"/>
        </w:rPr>
        <w:t>Záruční finanční nástroj v programu Expanze OP PIK byl spuštěn v prvním čtvrtletí roku 201</w:t>
      </w:r>
      <w:r w:rsidR="000C56F0" w:rsidRPr="00800799">
        <w:rPr>
          <w:sz w:val="20"/>
          <w:szCs w:val="20"/>
        </w:rPr>
        <w:t>8</w:t>
      </w:r>
      <w:r w:rsidRPr="00800799">
        <w:rPr>
          <w:sz w:val="20"/>
          <w:szCs w:val="20"/>
        </w:rPr>
        <w:t>. Poskytuje záruku MSP až na 80 % způsobilých výdajů projektu zaměřeného na investice nebo na provozní výdaje.</w:t>
      </w:r>
    </w:p>
    <w:p w14:paraId="000001F1" w14:textId="628143B5" w:rsidR="00054D27" w:rsidRPr="00800799" w:rsidRDefault="00AF622A">
      <w:pPr>
        <w:spacing w:before="240" w:after="240"/>
        <w:jc w:val="both"/>
        <w:rPr>
          <w:sz w:val="20"/>
          <w:szCs w:val="20"/>
        </w:rPr>
      </w:pPr>
      <w:r w:rsidRPr="00800799">
        <w:rPr>
          <w:sz w:val="20"/>
          <w:szCs w:val="20"/>
        </w:rPr>
        <w:t xml:space="preserve">Podle monitorovací zprávy bylo finančním nástrojem k 30.6.2021 podpořeno celkem </w:t>
      </w:r>
      <w:r w:rsidR="00925181" w:rsidRPr="00800799">
        <w:rPr>
          <w:sz w:val="20"/>
          <w:szCs w:val="20"/>
        </w:rPr>
        <w:t>3839</w:t>
      </w:r>
      <w:r w:rsidRPr="00800799">
        <w:rPr>
          <w:sz w:val="20"/>
          <w:szCs w:val="20"/>
        </w:rPr>
        <w:t xml:space="preserve"> </w:t>
      </w:r>
      <w:r w:rsidR="00925181" w:rsidRPr="00800799">
        <w:rPr>
          <w:sz w:val="20"/>
          <w:szCs w:val="20"/>
        </w:rPr>
        <w:t xml:space="preserve">firem </w:t>
      </w:r>
      <w:r w:rsidRPr="00800799">
        <w:rPr>
          <w:sz w:val="20"/>
          <w:szCs w:val="20"/>
        </w:rPr>
        <w:t xml:space="preserve">v objemu </w:t>
      </w:r>
      <w:r w:rsidR="00925181" w:rsidRPr="00800799">
        <w:rPr>
          <w:sz w:val="20"/>
          <w:szCs w:val="20"/>
        </w:rPr>
        <w:t xml:space="preserve">záruk </w:t>
      </w:r>
      <w:r w:rsidRPr="00800799">
        <w:rPr>
          <w:sz w:val="20"/>
          <w:szCs w:val="20"/>
        </w:rPr>
        <w:t xml:space="preserve">přes </w:t>
      </w:r>
      <w:r w:rsidR="00925181" w:rsidRPr="00800799">
        <w:rPr>
          <w:sz w:val="20"/>
          <w:szCs w:val="20"/>
        </w:rPr>
        <w:t xml:space="preserve">20 mld. </w:t>
      </w:r>
      <w:r w:rsidRPr="00800799">
        <w:rPr>
          <w:sz w:val="20"/>
          <w:szCs w:val="20"/>
        </w:rPr>
        <w:t xml:space="preserve">Kč. Nejvíce </w:t>
      </w:r>
      <w:r w:rsidR="00925181" w:rsidRPr="00800799">
        <w:rPr>
          <w:sz w:val="20"/>
          <w:szCs w:val="20"/>
        </w:rPr>
        <w:t>záruk</w:t>
      </w:r>
      <w:r w:rsidRPr="00800799">
        <w:rPr>
          <w:sz w:val="20"/>
          <w:szCs w:val="20"/>
        </w:rPr>
        <w:t xml:space="preserve"> (celkem </w:t>
      </w:r>
      <w:r w:rsidR="00925181" w:rsidRPr="00800799">
        <w:rPr>
          <w:sz w:val="20"/>
          <w:szCs w:val="20"/>
        </w:rPr>
        <w:t>491</w:t>
      </w:r>
      <w:r w:rsidRPr="00800799">
        <w:rPr>
          <w:sz w:val="20"/>
          <w:szCs w:val="20"/>
        </w:rPr>
        <w:t xml:space="preserve">) bylo poskytnuto v Jihomoravském kraji, </w:t>
      </w:r>
      <w:r w:rsidR="00925181" w:rsidRPr="00800799">
        <w:rPr>
          <w:sz w:val="20"/>
          <w:szCs w:val="20"/>
        </w:rPr>
        <w:t xml:space="preserve">celkový objem záruk zde dosahuje téměř 3 mld. Kč. </w:t>
      </w:r>
      <w:r w:rsidRPr="00800799">
        <w:rPr>
          <w:sz w:val="20"/>
          <w:szCs w:val="20"/>
        </w:rPr>
        <w:t xml:space="preserve">Mezi podpořenými odvětvími dominuje </w:t>
      </w:r>
      <w:r w:rsidR="00925181" w:rsidRPr="00800799">
        <w:rPr>
          <w:sz w:val="20"/>
          <w:szCs w:val="20"/>
        </w:rPr>
        <w:t>velkoobchod a maloobchod</w:t>
      </w:r>
      <w:r w:rsidRPr="00800799">
        <w:rPr>
          <w:sz w:val="20"/>
          <w:szCs w:val="20"/>
        </w:rPr>
        <w:t xml:space="preserve">, kde bylo dosud poskytnuto </w:t>
      </w:r>
      <w:r w:rsidR="00925181" w:rsidRPr="00800799">
        <w:rPr>
          <w:sz w:val="20"/>
          <w:szCs w:val="20"/>
        </w:rPr>
        <w:t xml:space="preserve">1557 záruk </w:t>
      </w:r>
      <w:r w:rsidRPr="00800799">
        <w:rPr>
          <w:sz w:val="20"/>
          <w:szCs w:val="20"/>
        </w:rPr>
        <w:t xml:space="preserve">za více než </w:t>
      </w:r>
      <w:r w:rsidR="00925181" w:rsidRPr="00800799">
        <w:rPr>
          <w:sz w:val="20"/>
          <w:szCs w:val="20"/>
        </w:rPr>
        <w:t>8,9</w:t>
      </w:r>
      <w:r w:rsidRPr="00800799">
        <w:rPr>
          <w:sz w:val="20"/>
          <w:szCs w:val="20"/>
        </w:rPr>
        <w:t xml:space="preserve"> m</w:t>
      </w:r>
      <w:r w:rsidR="00925181" w:rsidRPr="00800799">
        <w:rPr>
          <w:sz w:val="20"/>
          <w:szCs w:val="20"/>
        </w:rPr>
        <w:t>ld</w:t>
      </w:r>
      <w:r w:rsidRPr="00800799">
        <w:rPr>
          <w:sz w:val="20"/>
          <w:szCs w:val="20"/>
        </w:rPr>
        <w:t>. Kč.</w:t>
      </w:r>
    </w:p>
    <w:p w14:paraId="000001F2" w14:textId="20317806" w:rsidR="00054D27" w:rsidRPr="00800799" w:rsidRDefault="00AF622A">
      <w:pPr>
        <w:spacing w:before="240" w:after="240"/>
        <w:jc w:val="both"/>
        <w:rPr>
          <w:sz w:val="20"/>
          <w:szCs w:val="20"/>
        </w:rPr>
      </w:pPr>
      <w:r w:rsidRPr="00800799">
        <w:rPr>
          <w:sz w:val="20"/>
          <w:szCs w:val="20"/>
        </w:rPr>
        <w:t xml:space="preserve">V průběhu programovacího období došlo k řadě změn alokace finančního nástroje, postupně </w:t>
      </w:r>
      <w:r w:rsidR="00925181" w:rsidRPr="00800799">
        <w:rPr>
          <w:sz w:val="20"/>
          <w:szCs w:val="20"/>
        </w:rPr>
        <w:t xml:space="preserve">navýšena </w:t>
      </w:r>
      <w:r w:rsidRPr="00800799">
        <w:rPr>
          <w:sz w:val="20"/>
          <w:szCs w:val="20"/>
        </w:rPr>
        <w:t xml:space="preserve">na současných </w:t>
      </w:r>
      <w:r w:rsidR="00925181" w:rsidRPr="00800799">
        <w:rPr>
          <w:sz w:val="20"/>
          <w:szCs w:val="20"/>
        </w:rPr>
        <w:t xml:space="preserve">více než 9 </w:t>
      </w:r>
      <w:r w:rsidRPr="00800799">
        <w:rPr>
          <w:sz w:val="20"/>
          <w:szCs w:val="20"/>
        </w:rPr>
        <w:t xml:space="preserve">mil. Kč. </w:t>
      </w:r>
      <w:r w:rsidR="00925181" w:rsidRPr="00800799">
        <w:rPr>
          <w:sz w:val="20"/>
          <w:szCs w:val="20"/>
        </w:rPr>
        <w:t>Součástí finančního nástroje Expanze – záruky jsou dvě portfolia. První obsahuje běžné záruky, druhé záruky COVID II.</w:t>
      </w:r>
    </w:p>
    <w:tbl>
      <w:tblPr>
        <w:tblStyle w:val="Tabulkasmkou4zvraznn6"/>
        <w:tblW w:w="9500" w:type="dxa"/>
        <w:tblLook w:val="04A0" w:firstRow="1" w:lastRow="0" w:firstColumn="1" w:lastColumn="0" w:noHBand="0" w:noVBand="1"/>
      </w:tblPr>
      <w:tblGrid>
        <w:gridCol w:w="6091"/>
        <w:gridCol w:w="3369"/>
        <w:gridCol w:w="20"/>
        <w:gridCol w:w="20"/>
      </w:tblGrid>
      <w:tr w:rsidR="00925181" w:rsidRPr="00800799" w14:paraId="7CD30E8C" w14:textId="77777777" w:rsidTr="0092518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4CA1B988" w14:textId="77777777" w:rsidR="00925181" w:rsidRPr="00800799" w:rsidRDefault="00925181" w:rsidP="00925181">
            <w:pPr>
              <w:rPr>
                <w:rFonts w:eastAsia="Times New Roman"/>
                <w:color w:val="000000"/>
                <w:sz w:val="18"/>
                <w:szCs w:val="18"/>
              </w:rPr>
            </w:pPr>
            <w:r w:rsidRPr="00800799">
              <w:rPr>
                <w:rFonts w:eastAsia="Times New Roman"/>
                <w:color w:val="000000"/>
                <w:sz w:val="18"/>
                <w:szCs w:val="18"/>
              </w:rPr>
              <w:t> </w:t>
            </w:r>
          </w:p>
        </w:tc>
        <w:tc>
          <w:tcPr>
            <w:tcW w:w="3409" w:type="dxa"/>
            <w:gridSpan w:val="3"/>
            <w:hideMark/>
          </w:tcPr>
          <w:p w14:paraId="73577291" w14:textId="77777777" w:rsidR="00925181" w:rsidRPr="00800799" w:rsidRDefault="00925181" w:rsidP="00925181">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k 30.06.2021</w:t>
            </w:r>
          </w:p>
        </w:tc>
      </w:tr>
      <w:tr w:rsidR="00925181" w:rsidRPr="00800799" w14:paraId="4403A955" w14:textId="77777777" w:rsidTr="0092518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47E20406" w14:textId="2447DA1A" w:rsidR="00925181" w:rsidRPr="00800799" w:rsidRDefault="00925181" w:rsidP="00925181">
            <w:pPr>
              <w:rPr>
                <w:rFonts w:eastAsia="Times New Roman"/>
                <w:color w:val="000000"/>
                <w:sz w:val="18"/>
                <w:szCs w:val="18"/>
              </w:rPr>
            </w:pPr>
            <w:r w:rsidRPr="00800799">
              <w:rPr>
                <w:rFonts w:eastAsia="Times New Roman"/>
                <w:color w:val="000000"/>
                <w:sz w:val="18"/>
                <w:szCs w:val="18"/>
              </w:rPr>
              <w:t>Prostředky MPO převedené do Záručního fondu E 2018</w:t>
            </w:r>
          </w:p>
        </w:tc>
        <w:tc>
          <w:tcPr>
            <w:tcW w:w="3409" w:type="dxa"/>
            <w:gridSpan w:val="3"/>
            <w:hideMark/>
          </w:tcPr>
          <w:p w14:paraId="44C13B10" w14:textId="77777777" w:rsidR="00925181" w:rsidRPr="00800799" w:rsidRDefault="00925181" w:rsidP="0092518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7 460 000 000,00</w:t>
            </w:r>
          </w:p>
        </w:tc>
      </w:tr>
      <w:tr w:rsidR="00925181" w:rsidRPr="00800799" w14:paraId="682CDE77" w14:textId="77777777" w:rsidTr="00925181">
        <w:trPr>
          <w:trHeight w:val="585"/>
        </w:trPr>
        <w:tc>
          <w:tcPr>
            <w:cnfStyle w:val="001000000000" w:firstRow="0" w:lastRow="0" w:firstColumn="1" w:lastColumn="0" w:oddVBand="0" w:evenVBand="0" w:oddHBand="0" w:evenHBand="0" w:firstRowFirstColumn="0" w:firstRowLastColumn="0" w:lastRowFirstColumn="0" w:lastRowLastColumn="0"/>
            <w:tcW w:w="6091" w:type="dxa"/>
            <w:hideMark/>
          </w:tcPr>
          <w:p w14:paraId="5B83F785" w14:textId="5D6B38B2" w:rsidR="00925181" w:rsidRPr="00800799" w:rsidRDefault="00925181" w:rsidP="00925181">
            <w:pPr>
              <w:rPr>
                <w:rFonts w:eastAsia="Times New Roman"/>
                <w:color w:val="000000"/>
                <w:sz w:val="18"/>
                <w:szCs w:val="18"/>
              </w:rPr>
            </w:pPr>
            <w:r w:rsidRPr="00800799">
              <w:rPr>
                <w:rFonts w:eastAsia="Times New Roman"/>
                <w:color w:val="000000"/>
                <w:sz w:val="18"/>
                <w:szCs w:val="18"/>
              </w:rPr>
              <w:t xml:space="preserve">Výše úroků z vkladu do Záručního fondu E 2018 </w:t>
            </w:r>
          </w:p>
        </w:tc>
        <w:tc>
          <w:tcPr>
            <w:tcW w:w="3409" w:type="dxa"/>
            <w:gridSpan w:val="3"/>
            <w:hideMark/>
          </w:tcPr>
          <w:p w14:paraId="70BB9AC1" w14:textId="77777777" w:rsidR="00925181" w:rsidRPr="00800799" w:rsidRDefault="00925181" w:rsidP="0092518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724 046,10</w:t>
            </w:r>
          </w:p>
        </w:tc>
      </w:tr>
      <w:tr w:rsidR="00925181" w:rsidRPr="00800799" w14:paraId="6A5EE57A" w14:textId="77777777" w:rsidTr="0092518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091" w:type="dxa"/>
            <w:hideMark/>
          </w:tcPr>
          <w:p w14:paraId="1C5F5AEB" w14:textId="66259A8A" w:rsidR="00925181" w:rsidRPr="00800799" w:rsidRDefault="00925181" w:rsidP="00925181">
            <w:pPr>
              <w:rPr>
                <w:rFonts w:eastAsia="Times New Roman"/>
                <w:color w:val="000000"/>
                <w:sz w:val="18"/>
                <w:szCs w:val="18"/>
              </w:rPr>
            </w:pPr>
            <w:r w:rsidRPr="00800799">
              <w:rPr>
                <w:rFonts w:eastAsia="Times New Roman"/>
                <w:color w:val="000000"/>
                <w:sz w:val="18"/>
                <w:szCs w:val="18"/>
              </w:rPr>
              <w:lastRenderedPageBreak/>
              <w:t xml:space="preserve">Prostředky převedené na Dispoziční účet portfolia 1 (běžné záruky) Záručního fondu </w:t>
            </w:r>
            <w:r w:rsidRPr="00800799">
              <w:rPr>
                <w:rFonts w:eastAsia="Times New Roman"/>
                <w:color w:val="000000"/>
                <w:sz w:val="18"/>
                <w:szCs w:val="18"/>
              </w:rPr>
              <w:br/>
              <w:t>E 2018</w:t>
            </w:r>
          </w:p>
        </w:tc>
        <w:tc>
          <w:tcPr>
            <w:tcW w:w="3409" w:type="dxa"/>
            <w:gridSpan w:val="3"/>
            <w:hideMark/>
          </w:tcPr>
          <w:p w14:paraId="112F9B20" w14:textId="77777777" w:rsidR="00925181" w:rsidRPr="00800799" w:rsidRDefault="00925181" w:rsidP="0092518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1 517 995 485,00</w:t>
            </w:r>
          </w:p>
        </w:tc>
      </w:tr>
      <w:tr w:rsidR="00925181" w:rsidRPr="00800799" w14:paraId="177B5160" w14:textId="77777777" w:rsidTr="00925181">
        <w:trPr>
          <w:trHeight w:val="570"/>
        </w:trPr>
        <w:tc>
          <w:tcPr>
            <w:cnfStyle w:val="001000000000" w:firstRow="0" w:lastRow="0" w:firstColumn="1" w:lastColumn="0" w:oddVBand="0" w:evenVBand="0" w:oddHBand="0" w:evenHBand="0" w:firstRowFirstColumn="0" w:firstRowLastColumn="0" w:lastRowFirstColumn="0" w:lastRowLastColumn="0"/>
            <w:tcW w:w="6091" w:type="dxa"/>
            <w:hideMark/>
          </w:tcPr>
          <w:p w14:paraId="559664C4" w14:textId="48AC0622" w:rsidR="00925181" w:rsidRPr="00800799" w:rsidRDefault="00925181" w:rsidP="00925181">
            <w:pPr>
              <w:rPr>
                <w:rFonts w:eastAsia="Times New Roman"/>
                <w:color w:val="000000"/>
                <w:sz w:val="18"/>
                <w:szCs w:val="18"/>
              </w:rPr>
            </w:pPr>
            <w:r w:rsidRPr="00800799">
              <w:rPr>
                <w:rFonts w:eastAsia="Times New Roman"/>
                <w:color w:val="000000"/>
                <w:sz w:val="18"/>
                <w:szCs w:val="18"/>
              </w:rPr>
              <w:t>Prostředky převedené na Dispoziční účet portfolia 2 (COVID II) Záručního fondu E 2018</w:t>
            </w:r>
          </w:p>
        </w:tc>
        <w:tc>
          <w:tcPr>
            <w:tcW w:w="3409" w:type="dxa"/>
            <w:gridSpan w:val="3"/>
            <w:hideMark/>
          </w:tcPr>
          <w:p w14:paraId="05A49F2E" w14:textId="77777777" w:rsidR="00925181" w:rsidRPr="00800799" w:rsidRDefault="00925181" w:rsidP="0092518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3 659 702 465,00</w:t>
            </w:r>
          </w:p>
        </w:tc>
      </w:tr>
      <w:tr w:rsidR="00925181" w:rsidRPr="00800799" w14:paraId="63567920" w14:textId="77777777" w:rsidTr="0092518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70ED830C" w14:textId="3F7AE2AE" w:rsidR="00925181" w:rsidRPr="00800799" w:rsidRDefault="00925181" w:rsidP="00925181">
            <w:pPr>
              <w:rPr>
                <w:rFonts w:eastAsia="Times New Roman"/>
                <w:color w:val="000000"/>
                <w:sz w:val="18"/>
                <w:szCs w:val="18"/>
              </w:rPr>
            </w:pPr>
            <w:r w:rsidRPr="00800799">
              <w:rPr>
                <w:rFonts w:eastAsia="Times New Roman"/>
                <w:color w:val="000000"/>
                <w:sz w:val="18"/>
                <w:szCs w:val="18"/>
              </w:rPr>
              <w:t>Poskytnuté Finanční příspěvky</w:t>
            </w:r>
          </w:p>
        </w:tc>
        <w:tc>
          <w:tcPr>
            <w:tcW w:w="3409" w:type="dxa"/>
            <w:gridSpan w:val="3"/>
            <w:hideMark/>
          </w:tcPr>
          <w:p w14:paraId="62C965E2" w14:textId="77777777" w:rsidR="00925181" w:rsidRPr="00800799" w:rsidRDefault="00925181" w:rsidP="0092518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1 614 489 720,00</w:t>
            </w:r>
          </w:p>
        </w:tc>
      </w:tr>
      <w:tr w:rsidR="00925181" w:rsidRPr="00800799" w14:paraId="5BE03C1A" w14:textId="77777777" w:rsidTr="00925181">
        <w:trPr>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07719B4B" w14:textId="77777777" w:rsidR="00925181" w:rsidRPr="00800799" w:rsidRDefault="00925181" w:rsidP="00925181">
            <w:pPr>
              <w:rPr>
                <w:rFonts w:eastAsia="Times New Roman"/>
                <w:color w:val="000000"/>
                <w:sz w:val="18"/>
                <w:szCs w:val="18"/>
              </w:rPr>
            </w:pPr>
            <w:r w:rsidRPr="00800799">
              <w:rPr>
                <w:rFonts w:eastAsia="Times New Roman"/>
                <w:color w:val="000000"/>
                <w:sz w:val="18"/>
                <w:szCs w:val="18"/>
              </w:rPr>
              <w:t>Vyplacená Základní odměna</w:t>
            </w:r>
          </w:p>
        </w:tc>
        <w:tc>
          <w:tcPr>
            <w:tcW w:w="3409" w:type="dxa"/>
            <w:gridSpan w:val="3"/>
            <w:hideMark/>
          </w:tcPr>
          <w:p w14:paraId="2C5F377B" w14:textId="77777777" w:rsidR="00925181" w:rsidRPr="00800799" w:rsidRDefault="00925181" w:rsidP="0092518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31 540 272,83</w:t>
            </w:r>
          </w:p>
        </w:tc>
      </w:tr>
      <w:tr w:rsidR="00925181" w:rsidRPr="00800799" w14:paraId="7F3E3924" w14:textId="77777777" w:rsidTr="0092518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446EAA28" w14:textId="77777777" w:rsidR="00925181" w:rsidRPr="00800799" w:rsidRDefault="00925181" w:rsidP="00925181">
            <w:pPr>
              <w:rPr>
                <w:rFonts w:eastAsia="Times New Roman"/>
                <w:color w:val="000000"/>
                <w:sz w:val="18"/>
                <w:szCs w:val="18"/>
              </w:rPr>
            </w:pPr>
            <w:r w:rsidRPr="00800799">
              <w:rPr>
                <w:rFonts w:eastAsia="Times New Roman"/>
                <w:color w:val="000000"/>
                <w:sz w:val="18"/>
                <w:szCs w:val="18"/>
              </w:rPr>
              <w:t>Vyplacená Výkonnostní odměna za správu záruk</w:t>
            </w:r>
          </w:p>
        </w:tc>
        <w:tc>
          <w:tcPr>
            <w:tcW w:w="3409" w:type="dxa"/>
            <w:gridSpan w:val="3"/>
            <w:hideMark/>
          </w:tcPr>
          <w:p w14:paraId="64828BE8" w14:textId="77777777" w:rsidR="00925181" w:rsidRPr="00800799" w:rsidRDefault="00925181" w:rsidP="0092518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59 988 441,94</w:t>
            </w:r>
          </w:p>
        </w:tc>
      </w:tr>
      <w:tr w:rsidR="00925181" w:rsidRPr="00800799" w14:paraId="1F2E310B" w14:textId="77777777" w:rsidTr="00925181">
        <w:trPr>
          <w:trHeight w:val="615"/>
        </w:trPr>
        <w:tc>
          <w:tcPr>
            <w:cnfStyle w:val="001000000000" w:firstRow="0" w:lastRow="0" w:firstColumn="1" w:lastColumn="0" w:oddVBand="0" w:evenVBand="0" w:oddHBand="0" w:evenHBand="0" w:firstRowFirstColumn="0" w:firstRowLastColumn="0" w:lastRowFirstColumn="0" w:lastRowLastColumn="0"/>
            <w:tcW w:w="6091" w:type="dxa"/>
            <w:hideMark/>
          </w:tcPr>
          <w:p w14:paraId="11230F92" w14:textId="77777777" w:rsidR="00925181" w:rsidRPr="00800799" w:rsidRDefault="00925181" w:rsidP="00925181">
            <w:pPr>
              <w:rPr>
                <w:rFonts w:eastAsia="Times New Roman"/>
                <w:color w:val="000000"/>
                <w:sz w:val="18"/>
                <w:szCs w:val="18"/>
              </w:rPr>
            </w:pPr>
            <w:r w:rsidRPr="00800799">
              <w:rPr>
                <w:rFonts w:eastAsia="Times New Roman"/>
                <w:color w:val="000000"/>
                <w:sz w:val="18"/>
                <w:szCs w:val="18"/>
              </w:rPr>
              <w:t>Vyplacená Výkonnostní odměna za správu Finančních prostředků</w:t>
            </w:r>
          </w:p>
        </w:tc>
        <w:tc>
          <w:tcPr>
            <w:tcW w:w="3409" w:type="dxa"/>
            <w:gridSpan w:val="3"/>
            <w:hideMark/>
          </w:tcPr>
          <w:p w14:paraId="09190053" w14:textId="77777777" w:rsidR="00925181" w:rsidRPr="00800799" w:rsidRDefault="00925181" w:rsidP="0092518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429 530,78</w:t>
            </w:r>
          </w:p>
        </w:tc>
      </w:tr>
      <w:tr w:rsidR="00925181" w:rsidRPr="00800799" w14:paraId="35F8CA0A" w14:textId="77777777" w:rsidTr="0092518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4A1C3203" w14:textId="539EAF72" w:rsidR="00925181" w:rsidRPr="00800799" w:rsidRDefault="00925181" w:rsidP="00925181">
            <w:pPr>
              <w:rPr>
                <w:rFonts w:eastAsia="Times New Roman"/>
                <w:color w:val="000000"/>
                <w:sz w:val="18"/>
                <w:szCs w:val="18"/>
              </w:rPr>
            </w:pPr>
            <w:r w:rsidRPr="00800799">
              <w:rPr>
                <w:rFonts w:eastAsia="Times New Roman"/>
                <w:color w:val="000000"/>
                <w:sz w:val="18"/>
                <w:szCs w:val="18"/>
              </w:rPr>
              <w:t>Vyplacený Poplatek za správu celkem</w:t>
            </w:r>
          </w:p>
        </w:tc>
        <w:tc>
          <w:tcPr>
            <w:tcW w:w="3409" w:type="dxa"/>
            <w:gridSpan w:val="3"/>
            <w:hideMark/>
          </w:tcPr>
          <w:p w14:paraId="36B76DB7" w14:textId="77777777" w:rsidR="00925181" w:rsidRPr="00800799" w:rsidRDefault="00925181" w:rsidP="0092518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91 958 245,55</w:t>
            </w:r>
          </w:p>
        </w:tc>
      </w:tr>
      <w:tr w:rsidR="00925181" w:rsidRPr="00800799" w14:paraId="7C489E32" w14:textId="77777777" w:rsidTr="00925181">
        <w:trPr>
          <w:gridAfter w:val="1"/>
          <w:wAfter w:w="20" w:type="dxa"/>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365F7FBB" w14:textId="08DBB5A3" w:rsidR="00925181" w:rsidRPr="00800799" w:rsidRDefault="00925181" w:rsidP="00925181">
            <w:pPr>
              <w:rPr>
                <w:rFonts w:eastAsia="Times New Roman"/>
                <w:color w:val="000000"/>
                <w:sz w:val="18"/>
                <w:szCs w:val="18"/>
              </w:rPr>
            </w:pPr>
            <w:r w:rsidRPr="00800799">
              <w:rPr>
                <w:rFonts w:eastAsia="Times New Roman"/>
                <w:color w:val="000000"/>
                <w:sz w:val="18"/>
                <w:szCs w:val="18"/>
              </w:rPr>
              <w:t>Aktuální výše ručení ze Záruk</w:t>
            </w:r>
          </w:p>
        </w:tc>
        <w:tc>
          <w:tcPr>
            <w:tcW w:w="3389" w:type="dxa"/>
            <w:gridSpan w:val="2"/>
            <w:hideMark/>
          </w:tcPr>
          <w:p w14:paraId="08B3FEF4" w14:textId="77777777" w:rsidR="00925181" w:rsidRPr="00800799" w:rsidRDefault="00925181" w:rsidP="0092518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20 453 649 668,13</w:t>
            </w:r>
          </w:p>
        </w:tc>
      </w:tr>
      <w:tr w:rsidR="00925181" w:rsidRPr="00800799" w14:paraId="22231445" w14:textId="77777777" w:rsidTr="00925181">
        <w:trPr>
          <w:gridAfter w:val="1"/>
          <w:cnfStyle w:val="000000100000" w:firstRow="0" w:lastRow="0" w:firstColumn="0" w:lastColumn="0" w:oddVBand="0" w:evenVBand="0" w:oddHBand="1" w:evenHBand="0" w:firstRowFirstColumn="0" w:firstRowLastColumn="0" w:lastRowFirstColumn="0" w:lastRowLastColumn="0"/>
          <w:wAfter w:w="20" w:type="dxa"/>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08E9CFEA" w14:textId="2DF37B92" w:rsidR="00925181" w:rsidRPr="00800799" w:rsidRDefault="00925181" w:rsidP="00925181">
            <w:pPr>
              <w:rPr>
                <w:rFonts w:eastAsia="Times New Roman"/>
                <w:color w:val="000000"/>
                <w:sz w:val="18"/>
                <w:szCs w:val="18"/>
              </w:rPr>
            </w:pPr>
            <w:r w:rsidRPr="00800799">
              <w:rPr>
                <w:rFonts w:eastAsia="Times New Roman"/>
                <w:color w:val="000000"/>
                <w:sz w:val="18"/>
                <w:szCs w:val="18"/>
              </w:rPr>
              <w:t xml:space="preserve">   z toho: portfolio 1 (běžné záruky)</w:t>
            </w:r>
          </w:p>
        </w:tc>
        <w:tc>
          <w:tcPr>
            <w:tcW w:w="3389" w:type="dxa"/>
            <w:gridSpan w:val="2"/>
            <w:hideMark/>
          </w:tcPr>
          <w:p w14:paraId="0CD9FF48" w14:textId="77777777" w:rsidR="00925181" w:rsidRPr="00800799" w:rsidRDefault="00925181" w:rsidP="0092518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9 805 955 886,43</w:t>
            </w:r>
          </w:p>
        </w:tc>
      </w:tr>
      <w:tr w:rsidR="00925181" w:rsidRPr="00800799" w14:paraId="4FB1BD4F" w14:textId="77777777" w:rsidTr="00925181">
        <w:trPr>
          <w:gridAfter w:val="1"/>
          <w:wAfter w:w="20" w:type="dxa"/>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36CD6DDD" w14:textId="3654D196" w:rsidR="00925181" w:rsidRPr="00800799" w:rsidRDefault="00925181" w:rsidP="00925181">
            <w:pPr>
              <w:rPr>
                <w:rFonts w:eastAsia="Times New Roman"/>
                <w:color w:val="000000"/>
                <w:sz w:val="18"/>
                <w:szCs w:val="18"/>
              </w:rPr>
            </w:pPr>
            <w:r w:rsidRPr="00800799">
              <w:rPr>
                <w:rFonts w:eastAsia="Times New Roman"/>
                <w:color w:val="000000"/>
                <w:sz w:val="18"/>
                <w:szCs w:val="18"/>
              </w:rPr>
              <w:t xml:space="preserve">   z toho: portfolio 2 (COVID II)</w:t>
            </w:r>
          </w:p>
        </w:tc>
        <w:tc>
          <w:tcPr>
            <w:tcW w:w="3389" w:type="dxa"/>
            <w:gridSpan w:val="2"/>
            <w:hideMark/>
          </w:tcPr>
          <w:p w14:paraId="01FC861D" w14:textId="77777777" w:rsidR="00925181" w:rsidRPr="00800799" w:rsidRDefault="00925181" w:rsidP="0092518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10 647 693 781,70</w:t>
            </w:r>
          </w:p>
        </w:tc>
      </w:tr>
      <w:tr w:rsidR="00925181" w:rsidRPr="00800799" w14:paraId="1247EF8C" w14:textId="77777777" w:rsidTr="00925181">
        <w:trPr>
          <w:gridAfter w:val="2"/>
          <w:cnfStyle w:val="000000100000" w:firstRow="0" w:lastRow="0" w:firstColumn="0" w:lastColumn="0" w:oddVBand="0" w:evenVBand="0" w:oddHBand="1" w:evenHBand="0" w:firstRowFirstColumn="0" w:firstRowLastColumn="0" w:lastRowFirstColumn="0" w:lastRowLastColumn="0"/>
          <w:wAfter w:w="40" w:type="dxa"/>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7B333933" w14:textId="5339E41A" w:rsidR="00925181" w:rsidRPr="00800799" w:rsidRDefault="00925181" w:rsidP="00925181">
            <w:pPr>
              <w:rPr>
                <w:rFonts w:eastAsia="Times New Roman"/>
                <w:color w:val="000000"/>
                <w:sz w:val="18"/>
                <w:szCs w:val="18"/>
              </w:rPr>
            </w:pPr>
            <w:r w:rsidRPr="00800799">
              <w:rPr>
                <w:rFonts w:eastAsia="Times New Roman"/>
                <w:color w:val="000000"/>
                <w:sz w:val="18"/>
                <w:szCs w:val="18"/>
              </w:rPr>
              <w:t>Pákový efekt</w:t>
            </w:r>
          </w:p>
        </w:tc>
        <w:tc>
          <w:tcPr>
            <w:tcW w:w="3369" w:type="dxa"/>
            <w:hideMark/>
          </w:tcPr>
          <w:p w14:paraId="77264592" w14:textId="77777777" w:rsidR="00925181" w:rsidRPr="00800799" w:rsidRDefault="00925181" w:rsidP="0092518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7,49</w:t>
            </w:r>
          </w:p>
        </w:tc>
      </w:tr>
      <w:tr w:rsidR="00925181" w:rsidRPr="00800799" w14:paraId="6F7A898D" w14:textId="77777777" w:rsidTr="00925181">
        <w:trPr>
          <w:gridAfter w:val="2"/>
          <w:wAfter w:w="40" w:type="dxa"/>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6CBD8AEC" w14:textId="2BD8AE43" w:rsidR="00925181" w:rsidRPr="00800799" w:rsidRDefault="00925181" w:rsidP="00925181">
            <w:pPr>
              <w:rPr>
                <w:rFonts w:eastAsia="Times New Roman"/>
                <w:color w:val="000000"/>
                <w:sz w:val="18"/>
                <w:szCs w:val="18"/>
              </w:rPr>
            </w:pPr>
            <w:r w:rsidRPr="00800799">
              <w:rPr>
                <w:rFonts w:eastAsia="Times New Roman"/>
                <w:color w:val="000000"/>
                <w:sz w:val="18"/>
                <w:szCs w:val="18"/>
              </w:rPr>
              <w:t>z toho: portfolio 1 (běžné záruky)</w:t>
            </w:r>
          </w:p>
        </w:tc>
        <w:tc>
          <w:tcPr>
            <w:tcW w:w="3369" w:type="dxa"/>
            <w:hideMark/>
          </w:tcPr>
          <w:p w14:paraId="3E87815C" w14:textId="77777777" w:rsidR="00925181" w:rsidRPr="00800799" w:rsidRDefault="00925181" w:rsidP="0092518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9,17</w:t>
            </w:r>
          </w:p>
        </w:tc>
      </w:tr>
      <w:tr w:rsidR="00925181" w:rsidRPr="00800799" w14:paraId="2BFBADCB" w14:textId="77777777" w:rsidTr="00925181">
        <w:trPr>
          <w:gridAfter w:val="2"/>
          <w:cnfStyle w:val="000000100000" w:firstRow="0" w:lastRow="0" w:firstColumn="0" w:lastColumn="0" w:oddVBand="0" w:evenVBand="0" w:oddHBand="1" w:evenHBand="0" w:firstRowFirstColumn="0" w:firstRowLastColumn="0" w:lastRowFirstColumn="0" w:lastRowLastColumn="0"/>
          <w:wAfter w:w="40" w:type="dxa"/>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4AFBCBFA" w14:textId="04195290" w:rsidR="00925181" w:rsidRPr="00800799" w:rsidRDefault="00925181" w:rsidP="00925181">
            <w:r w:rsidRPr="00800799">
              <w:rPr>
                <w:rFonts w:eastAsia="Times New Roman"/>
                <w:color w:val="000000"/>
                <w:sz w:val="18"/>
                <w:szCs w:val="18"/>
              </w:rPr>
              <w:t xml:space="preserve">             portfolio 2</w:t>
            </w:r>
            <w:r w:rsidRPr="00800799">
              <w:t xml:space="preserve"> </w:t>
            </w:r>
            <w:r w:rsidRPr="00800799">
              <w:rPr>
                <w:rFonts w:eastAsia="Times New Roman"/>
                <w:color w:val="000000"/>
                <w:sz w:val="18"/>
                <w:szCs w:val="18"/>
              </w:rPr>
              <w:t>(COVID II)</w:t>
            </w:r>
          </w:p>
        </w:tc>
        <w:tc>
          <w:tcPr>
            <w:tcW w:w="3369" w:type="dxa"/>
            <w:hideMark/>
          </w:tcPr>
          <w:p w14:paraId="38CD0312" w14:textId="77777777" w:rsidR="00925181" w:rsidRPr="00800799" w:rsidRDefault="00925181" w:rsidP="0092518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0,00</w:t>
            </w:r>
          </w:p>
        </w:tc>
      </w:tr>
      <w:tr w:rsidR="00925181" w:rsidRPr="00800799" w14:paraId="09051B6F" w14:textId="77777777" w:rsidTr="00925181">
        <w:trPr>
          <w:gridAfter w:val="2"/>
          <w:wAfter w:w="40" w:type="dxa"/>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585855E7" w14:textId="77777777" w:rsidR="00925181" w:rsidRPr="00800799" w:rsidRDefault="00925181" w:rsidP="00925181">
            <w:pPr>
              <w:rPr>
                <w:rFonts w:eastAsia="Times New Roman"/>
                <w:color w:val="000000"/>
                <w:sz w:val="18"/>
                <w:szCs w:val="18"/>
              </w:rPr>
            </w:pPr>
            <w:r w:rsidRPr="00800799">
              <w:rPr>
                <w:rFonts w:eastAsia="Times New Roman"/>
                <w:color w:val="000000"/>
                <w:sz w:val="18"/>
                <w:szCs w:val="18"/>
              </w:rPr>
              <w:t>Počet podniků pobírajících jinou finanční podporu než granty</w:t>
            </w:r>
          </w:p>
        </w:tc>
        <w:tc>
          <w:tcPr>
            <w:tcW w:w="3369" w:type="dxa"/>
            <w:hideMark/>
          </w:tcPr>
          <w:p w14:paraId="4FE46BB7" w14:textId="77777777" w:rsidR="00925181" w:rsidRPr="00800799" w:rsidRDefault="00925181" w:rsidP="0092518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3 839</w:t>
            </w:r>
          </w:p>
        </w:tc>
      </w:tr>
      <w:tr w:rsidR="00925181" w:rsidRPr="00800799" w14:paraId="6FABAB6F" w14:textId="77777777" w:rsidTr="00925181">
        <w:trPr>
          <w:gridAfter w:val="2"/>
          <w:cnfStyle w:val="000000100000" w:firstRow="0" w:lastRow="0" w:firstColumn="0" w:lastColumn="0" w:oddVBand="0" w:evenVBand="0" w:oddHBand="1" w:evenHBand="0" w:firstRowFirstColumn="0" w:firstRowLastColumn="0" w:lastRowFirstColumn="0" w:lastRowLastColumn="0"/>
          <w:wAfter w:w="40" w:type="dxa"/>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23FA1D89" w14:textId="77777777" w:rsidR="00925181" w:rsidRPr="00800799" w:rsidRDefault="00925181" w:rsidP="00925181">
            <w:pPr>
              <w:rPr>
                <w:rFonts w:eastAsia="Times New Roman"/>
                <w:color w:val="000000"/>
                <w:sz w:val="18"/>
                <w:szCs w:val="18"/>
              </w:rPr>
            </w:pPr>
            <w:r w:rsidRPr="00800799">
              <w:rPr>
                <w:rFonts w:eastAsia="Times New Roman"/>
                <w:color w:val="000000"/>
                <w:sz w:val="18"/>
                <w:szCs w:val="18"/>
              </w:rPr>
              <w:t>Počet nových podniků, které dostávají podporu</w:t>
            </w:r>
          </w:p>
        </w:tc>
        <w:tc>
          <w:tcPr>
            <w:tcW w:w="3369" w:type="dxa"/>
            <w:hideMark/>
          </w:tcPr>
          <w:p w14:paraId="4D4BCAB0" w14:textId="77777777" w:rsidR="00925181" w:rsidRPr="00800799" w:rsidRDefault="00925181" w:rsidP="0092518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230</w:t>
            </w:r>
          </w:p>
        </w:tc>
      </w:tr>
      <w:tr w:rsidR="00925181" w:rsidRPr="00800799" w14:paraId="009018BD" w14:textId="77777777" w:rsidTr="00925181">
        <w:trPr>
          <w:gridAfter w:val="2"/>
          <w:wAfter w:w="40" w:type="dxa"/>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27DCB7F0" w14:textId="77777777" w:rsidR="00925181" w:rsidRPr="00800799" w:rsidRDefault="00925181" w:rsidP="00925181">
            <w:pPr>
              <w:rPr>
                <w:rFonts w:eastAsia="Times New Roman"/>
                <w:color w:val="000000"/>
                <w:sz w:val="18"/>
                <w:szCs w:val="18"/>
              </w:rPr>
            </w:pPr>
            <w:r w:rsidRPr="00800799">
              <w:rPr>
                <w:rFonts w:eastAsia="Times New Roman"/>
                <w:color w:val="000000"/>
                <w:sz w:val="18"/>
                <w:szCs w:val="18"/>
              </w:rPr>
              <w:t>Soukromé investice odpovídající veřejné podpoře podniků (jiné než granty)</w:t>
            </w:r>
          </w:p>
        </w:tc>
        <w:tc>
          <w:tcPr>
            <w:tcW w:w="3369" w:type="dxa"/>
            <w:hideMark/>
          </w:tcPr>
          <w:p w14:paraId="59893A58" w14:textId="77777777" w:rsidR="00925181" w:rsidRPr="00800799" w:rsidRDefault="00925181" w:rsidP="0092518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3 921 645 447,10</w:t>
            </w:r>
          </w:p>
        </w:tc>
      </w:tr>
      <w:tr w:rsidR="00925181" w:rsidRPr="00800799" w14:paraId="071BB1D6" w14:textId="77777777" w:rsidTr="00925181">
        <w:trPr>
          <w:gridAfter w:val="2"/>
          <w:cnfStyle w:val="000000100000" w:firstRow="0" w:lastRow="0" w:firstColumn="0" w:lastColumn="0" w:oddVBand="0" w:evenVBand="0" w:oddHBand="1" w:evenHBand="0" w:firstRowFirstColumn="0" w:firstRowLastColumn="0" w:lastRowFirstColumn="0" w:lastRowLastColumn="0"/>
          <w:wAfter w:w="40" w:type="dxa"/>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3311CB2D" w14:textId="77777777" w:rsidR="00925181" w:rsidRPr="00800799" w:rsidRDefault="00925181" w:rsidP="00925181">
            <w:pPr>
              <w:rPr>
                <w:rFonts w:eastAsia="Times New Roman"/>
                <w:color w:val="000000"/>
                <w:sz w:val="18"/>
                <w:szCs w:val="18"/>
              </w:rPr>
            </w:pPr>
            <w:r w:rsidRPr="00800799">
              <w:rPr>
                <w:rFonts w:eastAsia="Times New Roman"/>
                <w:color w:val="000000"/>
                <w:sz w:val="18"/>
                <w:szCs w:val="18"/>
              </w:rPr>
              <w:t>Zvýšení zaměstnanosti v podporovaných podnicích</w:t>
            </w:r>
          </w:p>
        </w:tc>
        <w:tc>
          <w:tcPr>
            <w:tcW w:w="3369" w:type="dxa"/>
            <w:hideMark/>
          </w:tcPr>
          <w:p w14:paraId="4CAC3FE2" w14:textId="77777777" w:rsidR="00925181" w:rsidRPr="00800799" w:rsidRDefault="00925181" w:rsidP="0092518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6</w:t>
            </w:r>
          </w:p>
        </w:tc>
      </w:tr>
      <w:tr w:rsidR="00925181" w:rsidRPr="00800799" w14:paraId="721B7532" w14:textId="77777777" w:rsidTr="00925181">
        <w:trPr>
          <w:gridAfter w:val="2"/>
          <w:wAfter w:w="40" w:type="dxa"/>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4C8209C0" w14:textId="77777777" w:rsidR="00925181" w:rsidRPr="00800799" w:rsidRDefault="00925181" w:rsidP="00925181">
            <w:pPr>
              <w:rPr>
                <w:rFonts w:eastAsia="Times New Roman"/>
                <w:color w:val="000000"/>
                <w:sz w:val="18"/>
                <w:szCs w:val="18"/>
              </w:rPr>
            </w:pPr>
            <w:r w:rsidRPr="00800799">
              <w:rPr>
                <w:rFonts w:eastAsia="Times New Roman"/>
                <w:color w:val="000000"/>
                <w:sz w:val="18"/>
                <w:szCs w:val="18"/>
              </w:rPr>
              <w:t xml:space="preserve">Počet nově vytvořených </w:t>
            </w:r>
            <w:proofErr w:type="gramStart"/>
            <w:r w:rsidRPr="00800799">
              <w:rPr>
                <w:rFonts w:eastAsia="Times New Roman"/>
                <w:color w:val="000000"/>
                <w:sz w:val="18"/>
                <w:szCs w:val="18"/>
              </w:rPr>
              <w:t>míst - ženy</w:t>
            </w:r>
            <w:proofErr w:type="gramEnd"/>
          </w:p>
        </w:tc>
        <w:tc>
          <w:tcPr>
            <w:tcW w:w="3369" w:type="dxa"/>
            <w:hideMark/>
          </w:tcPr>
          <w:p w14:paraId="33BCEEA1" w14:textId="77777777" w:rsidR="00925181" w:rsidRPr="00800799" w:rsidRDefault="00925181" w:rsidP="0092518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6</w:t>
            </w:r>
          </w:p>
        </w:tc>
      </w:tr>
      <w:tr w:rsidR="00925181" w:rsidRPr="00800799" w14:paraId="5C174A4A" w14:textId="77777777" w:rsidTr="00925181">
        <w:trPr>
          <w:gridAfter w:val="2"/>
          <w:cnfStyle w:val="000000100000" w:firstRow="0" w:lastRow="0" w:firstColumn="0" w:lastColumn="0" w:oddVBand="0" w:evenVBand="0" w:oddHBand="1" w:evenHBand="0" w:firstRowFirstColumn="0" w:firstRowLastColumn="0" w:lastRowFirstColumn="0" w:lastRowLastColumn="0"/>
          <w:wAfter w:w="40" w:type="dxa"/>
          <w:trHeight w:val="290"/>
        </w:trPr>
        <w:tc>
          <w:tcPr>
            <w:cnfStyle w:val="001000000000" w:firstRow="0" w:lastRow="0" w:firstColumn="1" w:lastColumn="0" w:oddVBand="0" w:evenVBand="0" w:oddHBand="0" w:evenHBand="0" w:firstRowFirstColumn="0" w:firstRowLastColumn="0" w:lastRowFirstColumn="0" w:lastRowLastColumn="0"/>
            <w:tcW w:w="6091" w:type="dxa"/>
            <w:hideMark/>
          </w:tcPr>
          <w:p w14:paraId="226BEFC9" w14:textId="77777777" w:rsidR="00925181" w:rsidRPr="00800799" w:rsidRDefault="00925181" w:rsidP="00925181">
            <w:pPr>
              <w:rPr>
                <w:rFonts w:eastAsia="Times New Roman"/>
                <w:color w:val="000000"/>
                <w:sz w:val="18"/>
                <w:szCs w:val="18"/>
              </w:rPr>
            </w:pPr>
            <w:r w:rsidRPr="00800799">
              <w:rPr>
                <w:rFonts w:eastAsia="Times New Roman"/>
                <w:color w:val="000000"/>
                <w:sz w:val="18"/>
                <w:szCs w:val="18"/>
              </w:rPr>
              <w:t xml:space="preserve">Nové a modernizované sítě NGA </w:t>
            </w:r>
          </w:p>
        </w:tc>
        <w:tc>
          <w:tcPr>
            <w:tcW w:w="3369" w:type="dxa"/>
            <w:hideMark/>
          </w:tcPr>
          <w:p w14:paraId="21DAA5CC" w14:textId="77777777" w:rsidR="00925181" w:rsidRPr="00800799" w:rsidRDefault="00925181" w:rsidP="0092518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800799">
              <w:rPr>
                <w:rFonts w:eastAsia="Times New Roman"/>
                <w:color w:val="000000"/>
                <w:sz w:val="18"/>
                <w:szCs w:val="18"/>
              </w:rPr>
              <w:t>0</w:t>
            </w:r>
          </w:p>
        </w:tc>
      </w:tr>
    </w:tbl>
    <w:p w14:paraId="00000207" w14:textId="4915DF13" w:rsidR="00054D27" w:rsidRPr="00800799" w:rsidRDefault="00925181">
      <w:pPr>
        <w:spacing w:before="240" w:after="240"/>
        <w:jc w:val="both"/>
        <w:rPr>
          <w:sz w:val="20"/>
          <w:szCs w:val="20"/>
        </w:rPr>
      </w:pPr>
      <w:r w:rsidRPr="00800799">
        <w:rPr>
          <w:sz w:val="20"/>
          <w:szCs w:val="20"/>
        </w:rPr>
        <w:t>Podíl nových podniků (mladších 3 let) na celkovém počtu podpořených firem dosáhl 6 % a bylo jich celkem dosud podpořeno 230. Zvýšení zaměstnanosti patrně není na úrovni jednotlivých obchodů řádně sledováno (pouze 6 nově vytvořených pracovních míst).</w:t>
      </w:r>
    </w:p>
    <w:p w14:paraId="00000208" w14:textId="6672CD79" w:rsidR="00054D27" w:rsidRPr="00800799" w:rsidRDefault="00925181">
      <w:pPr>
        <w:spacing w:before="240" w:after="240"/>
        <w:jc w:val="both"/>
        <w:rPr>
          <w:sz w:val="20"/>
          <w:szCs w:val="20"/>
        </w:rPr>
      </w:pPr>
      <w:r w:rsidRPr="00800799">
        <w:rPr>
          <w:sz w:val="20"/>
          <w:szCs w:val="20"/>
        </w:rPr>
        <w:t>Finanční nástroj Expanze – záruky dosahuje v případě běžných záruk pákového efektu 9,17, celková výše ručení ze záruk je aktuálně ve výši 20,4 mld. Kč.</w:t>
      </w:r>
    </w:p>
    <w:p w14:paraId="00000209" w14:textId="17879BE5" w:rsidR="00054D27" w:rsidRPr="00800799" w:rsidRDefault="00AF622A">
      <w:pPr>
        <w:pStyle w:val="Nadpis3"/>
        <w:numPr>
          <w:ilvl w:val="1"/>
          <w:numId w:val="18"/>
        </w:numPr>
        <w:rPr>
          <w:color w:val="D04A02"/>
          <w:sz w:val="24"/>
          <w:szCs w:val="24"/>
        </w:rPr>
      </w:pPr>
      <w:bookmarkStart w:id="65" w:name="_Toc90364556"/>
      <w:r w:rsidRPr="00800799">
        <w:rPr>
          <w:color w:val="D04A02"/>
          <w:sz w:val="24"/>
          <w:szCs w:val="24"/>
        </w:rPr>
        <w:t>Rizikový kapitál – fond fondů</w:t>
      </w:r>
      <w:bookmarkEnd w:id="65"/>
    </w:p>
    <w:p w14:paraId="41202BA3" w14:textId="6828F317" w:rsidR="000C56F0" w:rsidRPr="00800799" w:rsidRDefault="00456B27">
      <w:pPr>
        <w:spacing w:before="240" w:after="240"/>
        <w:jc w:val="both"/>
        <w:rPr>
          <w:sz w:val="20"/>
          <w:szCs w:val="20"/>
        </w:rPr>
      </w:pPr>
      <w:r w:rsidRPr="00800799">
        <w:rPr>
          <w:sz w:val="20"/>
          <w:szCs w:val="20"/>
        </w:rPr>
        <w:t>Fond</w:t>
      </w:r>
      <w:r w:rsidR="00AF622A" w:rsidRPr="00800799">
        <w:rPr>
          <w:sz w:val="20"/>
          <w:szCs w:val="20"/>
        </w:rPr>
        <w:t xml:space="preserve"> fond</w:t>
      </w:r>
      <w:r w:rsidRPr="00800799">
        <w:rPr>
          <w:sz w:val="20"/>
          <w:szCs w:val="20"/>
        </w:rPr>
        <w:t>ů rizikového kapitálu byl spuštěn v roce 201</w:t>
      </w:r>
      <w:r w:rsidR="000C56F0" w:rsidRPr="00800799">
        <w:rPr>
          <w:sz w:val="20"/>
          <w:szCs w:val="20"/>
        </w:rPr>
        <w:t>7 s objemem prostředků OP PIK 40 mil. EUR</w:t>
      </w:r>
      <w:r w:rsidR="00AF622A" w:rsidRPr="00800799">
        <w:rPr>
          <w:sz w:val="20"/>
          <w:szCs w:val="20"/>
        </w:rPr>
        <w:t xml:space="preserve">. Správcem </w:t>
      </w:r>
      <w:r w:rsidRPr="00800799">
        <w:rPr>
          <w:sz w:val="20"/>
          <w:szCs w:val="20"/>
        </w:rPr>
        <w:t xml:space="preserve">fondu fondů </w:t>
      </w:r>
      <w:r w:rsidR="00AF622A" w:rsidRPr="00800799">
        <w:rPr>
          <w:sz w:val="20"/>
          <w:szCs w:val="20"/>
        </w:rPr>
        <w:t xml:space="preserve">je </w:t>
      </w:r>
      <w:r w:rsidRPr="00800799">
        <w:rPr>
          <w:sz w:val="20"/>
          <w:szCs w:val="20"/>
        </w:rPr>
        <w:t xml:space="preserve">Evropský investiční fond, který </w:t>
      </w:r>
      <w:r w:rsidR="000C56F0" w:rsidRPr="00800799">
        <w:rPr>
          <w:sz w:val="20"/>
          <w:szCs w:val="20"/>
        </w:rPr>
        <w:t xml:space="preserve">v roce 2019 </w:t>
      </w:r>
      <w:r w:rsidRPr="00800799">
        <w:rPr>
          <w:sz w:val="20"/>
          <w:szCs w:val="20"/>
        </w:rPr>
        <w:t>vybral dva finanční zprostředkovatele Nat</w:t>
      </w:r>
      <w:r w:rsidR="000C56F0" w:rsidRPr="00800799">
        <w:rPr>
          <w:sz w:val="20"/>
          <w:szCs w:val="20"/>
        </w:rPr>
        <w:t>io</w:t>
      </w:r>
      <w:r w:rsidRPr="00800799">
        <w:rPr>
          <w:sz w:val="20"/>
          <w:szCs w:val="20"/>
        </w:rPr>
        <w:t xml:space="preserve">n1 </w:t>
      </w:r>
      <w:r w:rsidR="000C56F0" w:rsidRPr="00800799">
        <w:rPr>
          <w:sz w:val="20"/>
          <w:szCs w:val="20"/>
        </w:rPr>
        <w:t xml:space="preserve">(16 mil. EUR) </w:t>
      </w:r>
      <w:r w:rsidRPr="00800799">
        <w:rPr>
          <w:sz w:val="20"/>
          <w:szCs w:val="20"/>
        </w:rPr>
        <w:t xml:space="preserve">a </w:t>
      </w:r>
      <w:proofErr w:type="spellStart"/>
      <w:r w:rsidRPr="00800799">
        <w:rPr>
          <w:sz w:val="20"/>
          <w:szCs w:val="20"/>
        </w:rPr>
        <w:t>Lighthouse</w:t>
      </w:r>
      <w:proofErr w:type="spellEnd"/>
      <w:r w:rsidRPr="00800799">
        <w:rPr>
          <w:sz w:val="20"/>
          <w:szCs w:val="20"/>
        </w:rPr>
        <w:t xml:space="preserve"> </w:t>
      </w:r>
      <w:proofErr w:type="spellStart"/>
      <w:r w:rsidRPr="00800799">
        <w:rPr>
          <w:sz w:val="20"/>
          <w:szCs w:val="20"/>
        </w:rPr>
        <w:t>Ventures</w:t>
      </w:r>
      <w:proofErr w:type="spellEnd"/>
      <w:r w:rsidR="000C56F0" w:rsidRPr="00800799">
        <w:rPr>
          <w:sz w:val="20"/>
          <w:szCs w:val="20"/>
        </w:rPr>
        <w:t xml:space="preserve"> (22,4 mil. EUR)</w:t>
      </w:r>
      <w:r w:rsidR="00AF622A" w:rsidRPr="00800799">
        <w:rPr>
          <w:sz w:val="20"/>
          <w:szCs w:val="20"/>
        </w:rPr>
        <w:t xml:space="preserve">. </w:t>
      </w:r>
      <w:r w:rsidRPr="00800799">
        <w:rPr>
          <w:sz w:val="20"/>
          <w:szCs w:val="20"/>
        </w:rPr>
        <w:t xml:space="preserve">Fond fondů se zaměřuje na </w:t>
      </w:r>
      <w:proofErr w:type="spellStart"/>
      <w:r w:rsidRPr="00800799">
        <w:rPr>
          <w:sz w:val="20"/>
          <w:szCs w:val="20"/>
        </w:rPr>
        <w:t>seed</w:t>
      </w:r>
      <w:proofErr w:type="spellEnd"/>
      <w:r w:rsidRPr="00800799">
        <w:rPr>
          <w:sz w:val="20"/>
          <w:szCs w:val="20"/>
        </w:rPr>
        <w:t xml:space="preserve"> a start-up investice (early </w:t>
      </w:r>
      <w:proofErr w:type="spellStart"/>
      <w:r w:rsidRPr="00800799">
        <w:rPr>
          <w:sz w:val="20"/>
          <w:szCs w:val="20"/>
        </w:rPr>
        <w:t>stage</w:t>
      </w:r>
      <w:proofErr w:type="spellEnd"/>
      <w:r w:rsidRPr="00800799">
        <w:rPr>
          <w:sz w:val="20"/>
          <w:szCs w:val="20"/>
        </w:rPr>
        <w:t xml:space="preserve"> venture </w:t>
      </w:r>
      <w:proofErr w:type="spellStart"/>
      <w:r w:rsidRPr="00800799">
        <w:rPr>
          <w:sz w:val="20"/>
          <w:szCs w:val="20"/>
        </w:rPr>
        <w:t>capital</w:t>
      </w:r>
      <w:proofErr w:type="spellEnd"/>
      <w:r w:rsidRPr="00800799">
        <w:rPr>
          <w:sz w:val="20"/>
          <w:szCs w:val="20"/>
        </w:rPr>
        <w:t>).</w:t>
      </w:r>
      <w:r w:rsidR="00AF622A" w:rsidRPr="00800799">
        <w:rPr>
          <w:sz w:val="20"/>
          <w:szCs w:val="20"/>
        </w:rPr>
        <w:t xml:space="preserve"> </w:t>
      </w:r>
    </w:p>
    <w:tbl>
      <w:tblPr>
        <w:tblStyle w:val="af5"/>
        <w:tblW w:w="9072" w:type="dxa"/>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A0" w:firstRow="1" w:lastRow="0" w:firstColumn="1" w:lastColumn="0" w:noHBand="0" w:noVBand="1"/>
      </w:tblPr>
      <w:tblGrid>
        <w:gridCol w:w="6516"/>
        <w:gridCol w:w="2556"/>
      </w:tblGrid>
      <w:tr w:rsidR="00054D27" w:rsidRPr="00800799" w14:paraId="760C63F3" w14:textId="77777777" w:rsidTr="00054D2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516" w:type="dxa"/>
          </w:tcPr>
          <w:p w14:paraId="0000020B" w14:textId="77777777" w:rsidR="00054D27" w:rsidRPr="00800799" w:rsidRDefault="00AF622A">
            <w:pPr>
              <w:jc w:val="both"/>
              <w:rPr>
                <w:rFonts w:ascii="Arial" w:hAnsi="Arial" w:cs="Arial"/>
                <w:color w:val="000000"/>
                <w:sz w:val="20"/>
                <w:szCs w:val="20"/>
              </w:rPr>
            </w:pPr>
            <w:r w:rsidRPr="00800799">
              <w:rPr>
                <w:color w:val="000000"/>
                <w:sz w:val="20"/>
                <w:szCs w:val="20"/>
              </w:rPr>
              <w:t> </w:t>
            </w:r>
          </w:p>
        </w:tc>
        <w:tc>
          <w:tcPr>
            <w:tcW w:w="2556" w:type="dxa"/>
          </w:tcPr>
          <w:p w14:paraId="0000020C" w14:textId="759DCA2F" w:rsidR="00054D27" w:rsidRPr="00800799" w:rsidRDefault="00AF62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sz w:val="20"/>
                <w:szCs w:val="20"/>
              </w:rPr>
              <w:t>Stav k 30.</w:t>
            </w:r>
            <w:r w:rsidR="00456B27" w:rsidRPr="00800799">
              <w:rPr>
                <w:sz w:val="20"/>
                <w:szCs w:val="20"/>
              </w:rPr>
              <w:t>6</w:t>
            </w:r>
            <w:r w:rsidRPr="00800799">
              <w:rPr>
                <w:sz w:val="20"/>
                <w:szCs w:val="20"/>
              </w:rPr>
              <w:t xml:space="preserve">.2021 v </w:t>
            </w:r>
            <w:r w:rsidR="00456B27" w:rsidRPr="00800799">
              <w:rPr>
                <w:sz w:val="20"/>
                <w:szCs w:val="20"/>
              </w:rPr>
              <w:t>EUR</w:t>
            </w:r>
          </w:p>
        </w:tc>
      </w:tr>
      <w:tr w:rsidR="00054D27" w:rsidRPr="00800799" w14:paraId="54634F92" w14:textId="77777777" w:rsidTr="00054D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0D" w14:textId="77777777" w:rsidR="00054D27" w:rsidRPr="00800799" w:rsidRDefault="00AF622A">
            <w:pPr>
              <w:jc w:val="both"/>
              <w:rPr>
                <w:rFonts w:ascii="Arial" w:hAnsi="Arial" w:cs="Arial"/>
                <w:color w:val="000000"/>
                <w:sz w:val="20"/>
                <w:szCs w:val="20"/>
              </w:rPr>
            </w:pPr>
            <w:r w:rsidRPr="00800799">
              <w:rPr>
                <w:color w:val="000000"/>
                <w:sz w:val="20"/>
                <w:szCs w:val="20"/>
              </w:rPr>
              <w:t>Alokace finančního nástroje</w:t>
            </w:r>
          </w:p>
        </w:tc>
        <w:tc>
          <w:tcPr>
            <w:tcW w:w="2556" w:type="dxa"/>
          </w:tcPr>
          <w:p w14:paraId="0000020E" w14:textId="6BD1FD07" w:rsidR="00054D27" w:rsidRPr="00800799" w:rsidRDefault="00456B2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40</w:t>
            </w:r>
            <w:r w:rsidR="00AF622A" w:rsidRPr="00800799">
              <w:rPr>
                <w:color w:val="000000"/>
                <w:sz w:val="20"/>
                <w:szCs w:val="20"/>
              </w:rPr>
              <w:t xml:space="preserve"> 000 000,00</w:t>
            </w:r>
          </w:p>
        </w:tc>
      </w:tr>
      <w:tr w:rsidR="00054D27" w:rsidRPr="00800799" w14:paraId="00F07C45" w14:textId="77777777" w:rsidTr="00054D27">
        <w:trPr>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0F" w14:textId="77777777" w:rsidR="00054D27" w:rsidRPr="00800799" w:rsidRDefault="00AF622A">
            <w:pPr>
              <w:jc w:val="both"/>
              <w:rPr>
                <w:rFonts w:ascii="Arial" w:hAnsi="Arial" w:cs="Arial"/>
                <w:color w:val="000000"/>
                <w:sz w:val="20"/>
                <w:szCs w:val="20"/>
              </w:rPr>
            </w:pPr>
            <w:r w:rsidRPr="00800799">
              <w:rPr>
                <w:color w:val="000000"/>
                <w:sz w:val="20"/>
                <w:szCs w:val="20"/>
              </w:rPr>
              <w:t>Počet uskutečněných tranší</w:t>
            </w:r>
          </w:p>
        </w:tc>
        <w:tc>
          <w:tcPr>
            <w:tcW w:w="2556" w:type="dxa"/>
          </w:tcPr>
          <w:p w14:paraId="00000210" w14:textId="3D3D44EA" w:rsidR="00054D27" w:rsidRPr="00800799" w:rsidRDefault="00CF565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2</w:t>
            </w:r>
          </w:p>
        </w:tc>
      </w:tr>
      <w:tr w:rsidR="00054D27" w:rsidRPr="00800799" w14:paraId="24DC0995" w14:textId="77777777" w:rsidTr="00054D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11" w14:textId="7A92E17C" w:rsidR="00054D27" w:rsidRPr="00800799" w:rsidRDefault="00AF622A">
            <w:pPr>
              <w:jc w:val="both"/>
              <w:rPr>
                <w:rFonts w:ascii="Arial" w:hAnsi="Arial" w:cs="Arial"/>
                <w:color w:val="000000"/>
                <w:sz w:val="20"/>
                <w:szCs w:val="20"/>
              </w:rPr>
            </w:pPr>
            <w:r w:rsidRPr="00800799">
              <w:rPr>
                <w:color w:val="000000"/>
                <w:sz w:val="20"/>
                <w:szCs w:val="20"/>
              </w:rPr>
              <w:lastRenderedPageBreak/>
              <w:t xml:space="preserve">Prostředky převedené do </w:t>
            </w:r>
            <w:r w:rsidR="00456B27" w:rsidRPr="00800799">
              <w:rPr>
                <w:color w:val="000000"/>
                <w:sz w:val="20"/>
                <w:szCs w:val="20"/>
              </w:rPr>
              <w:t>fondu fondů</w:t>
            </w:r>
          </w:p>
        </w:tc>
        <w:tc>
          <w:tcPr>
            <w:tcW w:w="2556" w:type="dxa"/>
          </w:tcPr>
          <w:p w14:paraId="00000212" w14:textId="7B16858B" w:rsidR="00054D27" w:rsidRPr="00800799" w:rsidRDefault="00CF565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2</w:t>
            </w:r>
            <w:r w:rsidR="00456B27" w:rsidRPr="00800799">
              <w:rPr>
                <w:color w:val="000000"/>
                <w:sz w:val="20"/>
                <w:szCs w:val="20"/>
              </w:rPr>
              <w:t>0 000 000</w:t>
            </w:r>
          </w:p>
        </w:tc>
      </w:tr>
      <w:tr w:rsidR="00054D27" w:rsidRPr="00800799" w14:paraId="28685A8B" w14:textId="77777777" w:rsidTr="00054D27">
        <w:trPr>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13" w14:textId="77777777" w:rsidR="00054D27" w:rsidRPr="00800799" w:rsidRDefault="00AF622A">
            <w:pPr>
              <w:jc w:val="both"/>
              <w:rPr>
                <w:rFonts w:ascii="Arial" w:hAnsi="Arial" w:cs="Arial"/>
                <w:sz w:val="20"/>
                <w:szCs w:val="20"/>
              </w:rPr>
            </w:pPr>
            <w:r w:rsidRPr="00800799">
              <w:rPr>
                <w:sz w:val="20"/>
                <w:szCs w:val="20"/>
              </w:rPr>
              <w:t xml:space="preserve">Úroky z účtů vkladu do </w:t>
            </w:r>
            <w:r w:rsidRPr="00800799">
              <w:rPr>
                <w:color w:val="000000"/>
                <w:sz w:val="20"/>
                <w:szCs w:val="20"/>
              </w:rPr>
              <w:t>finančního nástroje</w:t>
            </w:r>
          </w:p>
        </w:tc>
        <w:tc>
          <w:tcPr>
            <w:tcW w:w="2556" w:type="dxa"/>
          </w:tcPr>
          <w:p w14:paraId="00000214" w14:textId="73177D62" w:rsidR="00054D27" w:rsidRPr="00800799" w:rsidRDefault="00456B2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-18 162</w:t>
            </w:r>
          </w:p>
        </w:tc>
      </w:tr>
      <w:tr w:rsidR="00054D27" w:rsidRPr="00800799" w14:paraId="5FCE4D62" w14:textId="77777777" w:rsidTr="00054D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516" w:type="dxa"/>
          </w:tcPr>
          <w:p w14:paraId="00000217" w14:textId="36B717BF" w:rsidR="00054D27" w:rsidRPr="00800799" w:rsidRDefault="00AF622A">
            <w:pPr>
              <w:jc w:val="both"/>
              <w:rPr>
                <w:rFonts w:ascii="Arial" w:hAnsi="Arial" w:cs="Arial"/>
                <w:color w:val="000000"/>
                <w:sz w:val="20"/>
                <w:szCs w:val="20"/>
              </w:rPr>
            </w:pPr>
            <w:r w:rsidRPr="00800799">
              <w:rPr>
                <w:color w:val="000000"/>
                <w:sz w:val="20"/>
                <w:szCs w:val="20"/>
              </w:rPr>
              <w:t>Vyplacená základní odměna za správu</w:t>
            </w:r>
            <w:r w:rsidR="00456B27" w:rsidRPr="00800799">
              <w:rPr>
                <w:color w:val="000000"/>
                <w:sz w:val="20"/>
                <w:szCs w:val="20"/>
              </w:rPr>
              <w:t xml:space="preserve"> </w:t>
            </w:r>
            <w:r w:rsidRPr="00800799">
              <w:rPr>
                <w:color w:val="000000"/>
                <w:sz w:val="20"/>
                <w:szCs w:val="20"/>
              </w:rPr>
              <w:t>Fondu</w:t>
            </w:r>
            <w:r w:rsidR="00456B27" w:rsidRPr="00800799">
              <w:rPr>
                <w:color w:val="000000"/>
                <w:sz w:val="20"/>
                <w:szCs w:val="20"/>
              </w:rPr>
              <w:t xml:space="preserve"> fondů</w:t>
            </w:r>
          </w:p>
        </w:tc>
        <w:tc>
          <w:tcPr>
            <w:tcW w:w="2556" w:type="dxa"/>
          </w:tcPr>
          <w:p w14:paraId="00000218" w14:textId="31C014CC" w:rsidR="00054D27" w:rsidRPr="00800799" w:rsidRDefault="000C56F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498 558</w:t>
            </w:r>
          </w:p>
        </w:tc>
      </w:tr>
      <w:tr w:rsidR="00054D27" w:rsidRPr="00800799" w14:paraId="087B969A" w14:textId="77777777" w:rsidTr="00054D27">
        <w:trPr>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19" w14:textId="06A6B851" w:rsidR="00054D27" w:rsidRPr="00800799" w:rsidRDefault="00AF622A">
            <w:pPr>
              <w:rPr>
                <w:rFonts w:ascii="Arial" w:hAnsi="Arial" w:cs="Arial"/>
                <w:color w:val="000000"/>
                <w:sz w:val="20"/>
                <w:szCs w:val="20"/>
              </w:rPr>
            </w:pPr>
            <w:r w:rsidRPr="00800799">
              <w:rPr>
                <w:color w:val="000000"/>
                <w:sz w:val="20"/>
                <w:szCs w:val="20"/>
              </w:rPr>
              <w:t xml:space="preserve">Vyplacená výkonnostní odměna za správu </w:t>
            </w:r>
            <w:r w:rsidR="00456B27" w:rsidRPr="00800799">
              <w:rPr>
                <w:color w:val="000000"/>
                <w:sz w:val="20"/>
                <w:szCs w:val="20"/>
              </w:rPr>
              <w:t>Fondu fondů</w:t>
            </w:r>
          </w:p>
        </w:tc>
        <w:tc>
          <w:tcPr>
            <w:tcW w:w="2556" w:type="dxa"/>
          </w:tcPr>
          <w:p w14:paraId="0000021A" w14:textId="225D48E6" w:rsidR="00054D27" w:rsidRPr="00800799" w:rsidRDefault="000C56F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41 010</w:t>
            </w:r>
          </w:p>
        </w:tc>
      </w:tr>
      <w:tr w:rsidR="00054D27" w:rsidRPr="00800799" w14:paraId="084D37F0" w14:textId="77777777" w:rsidTr="00054D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1B" w14:textId="77777777" w:rsidR="00054D27" w:rsidRPr="00800799" w:rsidRDefault="00AF622A">
            <w:pPr>
              <w:rPr>
                <w:rFonts w:ascii="Arial" w:hAnsi="Arial" w:cs="Arial"/>
                <w:color w:val="000000"/>
                <w:sz w:val="20"/>
                <w:szCs w:val="20"/>
              </w:rPr>
            </w:pPr>
            <w:r w:rsidRPr="00800799">
              <w:rPr>
                <w:color w:val="000000"/>
                <w:sz w:val="20"/>
                <w:szCs w:val="20"/>
              </w:rPr>
              <w:t>Vyplacený Poplatek za správu celkem</w:t>
            </w:r>
          </w:p>
        </w:tc>
        <w:tc>
          <w:tcPr>
            <w:tcW w:w="2556" w:type="dxa"/>
          </w:tcPr>
          <w:p w14:paraId="0000021C" w14:textId="53998E28" w:rsidR="00054D27" w:rsidRPr="00800799" w:rsidRDefault="000C56F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539 568</w:t>
            </w:r>
          </w:p>
        </w:tc>
      </w:tr>
    </w:tbl>
    <w:p w14:paraId="0000021D" w14:textId="27FA93D5" w:rsidR="00054D27" w:rsidRPr="00800799" w:rsidRDefault="000C56F0">
      <w:pPr>
        <w:spacing w:before="240" w:after="240"/>
        <w:jc w:val="both"/>
        <w:rPr>
          <w:sz w:val="20"/>
          <w:szCs w:val="20"/>
        </w:rPr>
      </w:pPr>
      <w:r w:rsidRPr="00800799">
        <w:rPr>
          <w:sz w:val="20"/>
          <w:szCs w:val="20"/>
        </w:rPr>
        <w:t xml:space="preserve">Podle monitorovací zprávy bylo rizikovým kapitálem k 30.6.2021 podpořeno celkem 42 firem v objemu přes 12,2 mil. EUR. Nejvíce projektů (celkem 19) bylo poskytnuto v Jihomoravském kraji, následuje Středočeský kraj (16 investic). Mezi podpořenými odvětvími převažuje programování, kde bylo dosud podpořeno 29 </w:t>
      </w:r>
      <w:proofErr w:type="spellStart"/>
      <w:r w:rsidRPr="00800799">
        <w:rPr>
          <w:sz w:val="20"/>
          <w:szCs w:val="20"/>
        </w:rPr>
        <w:t>startupů</w:t>
      </w:r>
      <w:proofErr w:type="spellEnd"/>
      <w:r w:rsidRPr="00800799">
        <w:rPr>
          <w:sz w:val="20"/>
          <w:szCs w:val="20"/>
        </w:rPr>
        <w:t>.</w:t>
      </w:r>
    </w:p>
    <w:tbl>
      <w:tblPr>
        <w:tblStyle w:val="af6"/>
        <w:tblW w:w="9072" w:type="dxa"/>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A0" w:firstRow="1" w:lastRow="0" w:firstColumn="1" w:lastColumn="0" w:noHBand="0" w:noVBand="1"/>
      </w:tblPr>
      <w:tblGrid>
        <w:gridCol w:w="6516"/>
        <w:gridCol w:w="2556"/>
      </w:tblGrid>
      <w:tr w:rsidR="00054D27" w:rsidRPr="00800799" w14:paraId="1567A930" w14:textId="77777777" w:rsidTr="00054D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1E" w14:textId="77777777" w:rsidR="00054D27" w:rsidRPr="00800799" w:rsidRDefault="00AF622A">
            <w:pPr>
              <w:jc w:val="both"/>
              <w:rPr>
                <w:rFonts w:ascii="Arial" w:hAnsi="Arial" w:cs="Arial"/>
                <w:sz w:val="20"/>
                <w:szCs w:val="20"/>
              </w:rPr>
            </w:pPr>
            <w:r w:rsidRPr="00800799">
              <w:rPr>
                <w:sz w:val="20"/>
                <w:szCs w:val="20"/>
              </w:rPr>
              <w:t> </w:t>
            </w:r>
          </w:p>
        </w:tc>
        <w:tc>
          <w:tcPr>
            <w:tcW w:w="2556" w:type="dxa"/>
          </w:tcPr>
          <w:p w14:paraId="0000021F" w14:textId="77777777" w:rsidR="00054D27" w:rsidRPr="00800799" w:rsidRDefault="00AF62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00799">
              <w:rPr>
                <w:sz w:val="20"/>
                <w:szCs w:val="20"/>
              </w:rPr>
              <w:t>Údaje k 30.9.2021 v CZK</w:t>
            </w:r>
          </w:p>
        </w:tc>
      </w:tr>
      <w:tr w:rsidR="00054D27" w:rsidRPr="00800799" w14:paraId="44D2565A" w14:textId="77777777" w:rsidTr="00054D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20" w14:textId="63F134FE" w:rsidR="00054D27" w:rsidRPr="00800799" w:rsidRDefault="00AF622A">
            <w:pPr>
              <w:jc w:val="both"/>
              <w:rPr>
                <w:rFonts w:ascii="Arial" w:hAnsi="Arial" w:cs="Arial"/>
                <w:color w:val="000000"/>
                <w:sz w:val="20"/>
                <w:szCs w:val="20"/>
              </w:rPr>
            </w:pPr>
            <w:r w:rsidRPr="00800799">
              <w:rPr>
                <w:color w:val="000000"/>
                <w:sz w:val="20"/>
                <w:szCs w:val="20"/>
              </w:rPr>
              <w:t>Výše realizovaných investic</w:t>
            </w:r>
          </w:p>
        </w:tc>
        <w:tc>
          <w:tcPr>
            <w:tcW w:w="2556" w:type="dxa"/>
          </w:tcPr>
          <w:p w14:paraId="00000221" w14:textId="6E26741E" w:rsidR="00054D27" w:rsidRPr="00800799" w:rsidRDefault="000C56F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12 255 577</w:t>
            </w:r>
          </w:p>
        </w:tc>
      </w:tr>
      <w:tr w:rsidR="00054D27" w:rsidRPr="00800799" w14:paraId="54479236" w14:textId="77777777" w:rsidTr="00054D27">
        <w:trPr>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22" w14:textId="39883F0A" w:rsidR="00054D27" w:rsidRPr="00800799" w:rsidRDefault="00AF622A">
            <w:pPr>
              <w:jc w:val="both"/>
              <w:rPr>
                <w:rFonts w:ascii="Arial" w:hAnsi="Arial" w:cs="Arial"/>
                <w:color w:val="000000"/>
                <w:sz w:val="20"/>
                <w:szCs w:val="20"/>
              </w:rPr>
            </w:pPr>
            <w:r w:rsidRPr="00800799">
              <w:rPr>
                <w:color w:val="000000"/>
                <w:sz w:val="20"/>
                <w:szCs w:val="20"/>
              </w:rPr>
              <w:t>Aktuální hodnota realizovaných investic</w:t>
            </w:r>
          </w:p>
        </w:tc>
        <w:tc>
          <w:tcPr>
            <w:tcW w:w="2556" w:type="dxa"/>
          </w:tcPr>
          <w:p w14:paraId="00000223" w14:textId="1FAA80CF" w:rsidR="00054D27" w:rsidRPr="00800799" w:rsidRDefault="000C56F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19 941 104</w:t>
            </w:r>
          </w:p>
        </w:tc>
      </w:tr>
      <w:tr w:rsidR="00054D27" w:rsidRPr="00800799" w14:paraId="58C10173" w14:textId="77777777" w:rsidTr="00054D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24" w14:textId="77777777" w:rsidR="00054D27" w:rsidRPr="00800799" w:rsidRDefault="00AF622A">
            <w:pPr>
              <w:jc w:val="both"/>
              <w:rPr>
                <w:rFonts w:ascii="Arial" w:hAnsi="Arial" w:cs="Arial"/>
                <w:color w:val="000000"/>
                <w:sz w:val="20"/>
                <w:szCs w:val="20"/>
              </w:rPr>
            </w:pPr>
            <w:r w:rsidRPr="00800799">
              <w:rPr>
                <w:color w:val="000000"/>
                <w:sz w:val="20"/>
                <w:szCs w:val="20"/>
              </w:rPr>
              <w:t>Výše investic odepsaných pro nedobytnost (výše nedobytných investic)</w:t>
            </w:r>
          </w:p>
        </w:tc>
        <w:tc>
          <w:tcPr>
            <w:tcW w:w="2556" w:type="dxa"/>
          </w:tcPr>
          <w:p w14:paraId="00000225" w14:textId="77777777" w:rsidR="00054D27" w:rsidRPr="00800799"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0,00</w:t>
            </w:r>
          </w:p>
        </w:tc>
      </w:tr>
      <w:tr w:rsidR="00054D27" w:rsidRPr="00800799" w14:paraId="7F617ED3" w14:textId="77777777" w:rsidTr="00054D27">
        <w:trPr>
          <w:trHeight w:val="315"/>
        </w:trPr>
        <w:tc>
          <w:tcPr>
            <w:cnfStyle w:val="001000000000" w:firstRow="0" w:lastRow="0" w:firstColumn="1" w:lastColumn="0" w:oddVBand="0" w:evenVBand="0" w:oddHBand="0" w:evenHBand="0" w:firstRowFirstColumn="0" w:firstRowLastColumn="0" w:lastRowFirstColumn="0" w:lastRowLastColumn="0"/>
            <w:tcW w:w="6516" w:type="dxa"/>
          </w:tcPr>
          <w:p w14:paraId="00000226" w14:textId="537DC5D6" w:rsidR="00054D27" w:rsidRPr="00800799" w:rsidRDefault="00AF622A">
            <w:pPr>
              <w:jc w:val="both"/>
              <w:rPr>
                <w:rFonts w:ascii="Arial" w:hAnsi="Arial" w:cs="Arial"/>
                <w:color w:val="000000"/>
                <w:sz w:val="20"/>
                <w:szCs w:val="20"/>
              </w:rPr>
            </w:pPr>
            <w:r w:rsidRPr="00800799">
              <w:rPr>
                <w:color w:val="000000"/>
                <w:sz w:val="20"/>
                <w:szCs w:val="20"/>
              </w:rPr>
              <w:t>Hodnota vkladu MPO</w:t>
            </w:r>
          </w:p>
        </w:tc>
        <w:tc>
          <w:tcPr>
            <w:tcW w:w="2556" w:type="dxa"/>
          </w:tcPr>
          <w:p w14:paraId="00000227" w14:textId="09880335" w:rsidR="00054D27" w:rsidRPr="00800799" w:rsidRDefault="000C56F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18 439 667</w:t>
            </w:r>
          </w:p>
        </w:tc>
      </w:tr>
      <w:tr w:rsidR="00054D27" w:rsidRPr="00800799" w14:paraId="5A4B73FD" w14:textId="77777777" w:rsidTr="00054D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28" w14:textId="77777777" w:rsidR="00054D27" w:rsidRPr="00800799" w:rsidRDefault="00AF622A">
            <w:pPr>
              <w:jc w:val="both"/>
              <w:rPr>
                <w:rFonts w:ascii="Arial" w:hAnsi="Arial" w:cs="Arial"/>
                <w:color w:val="000000"/>
                <w:sz w:val="20"/>
                <w:szCs w:val="20"/>
              </w:rPr>
            </w:pPr>
            <w:r w:rsidRPr="00800799">
              <w:rPr>
                <w:color w:val="000000"/>
                <w:sz w:val="20"/>
                <w:szCs w:val="20"/>
              </w:rPr>
              <w:t>Výše soukromého spolufinancování při realizovaných investicích</w:t>
            </w:r>
          </w:p>
        </w:tc>
        <w:tc>
          <w:tcPr>
            <w:tcW w:w="2556" w:type="dxa"/>
          </w:tcPr>
          <w:p w14:paraId="00000229" w14:textId="0DA45586" w:rsidR="00054D27" w:rsidRPr="00800799" w:rsidRDefault="000C56F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6 850 545</w:t>
            </w:r>
          </w:p>
        </w:tc>
      </w:tr>
    </w:tbl>
    <w:p w14:paraId="0000022A" w14:textId="316FCA34" w:rsidR="00054D27" w:rsidRPr="00800799" w:rsidRDefault="000C56F0">
      <w:pPr>
        <w:spacing w:before="240" w:after="240"/>
        <w:jc w:val="both"/>
        <w:rPr>
          <w:sz w:val="20"/>
          <w:szCs w:val="20"/>
        </w:rPr>
      </w:pPr>
      <w:r w:rsidRPr="00800799">
        <w:rPr>
          <w:sz w:val="20"/>
          <w:szCs w:val="20"/>
        </w:rPr>
        <w:t>I</w:t>
      </w:r>
      <w:r w:rsidR="00AF622A" w:rsidRPr="00800799">
        <w:rPr>
          <w:sz w:val="20"/>
          <w:szCs w:val="20"/>
        </w:rPr>
        <w:t xml:space="preserve">nvestice fondu </w:t>
      </w:r>
      <w:r w:rsidRPr="00800799">
        <w:rPr>
          <w:sz w:val="20"/>
          <w:szCs w:val="20"/>
        </w:rPr>
        <w:t xml:space="preserve">fondů </w:t>
      </w:r>
      <w:r w:rsidR="00AF622A" w:rsidRPr="00800799">
        <w:rPr>
          <w:sz w:val="20"/>
          <w:szCs w:val="20"/>
        </w:rPr>
        <w:t xml:space="preserve">se </w:t>
      </w:r>
      <w:r w:rsidRPr="00800799">
        <w:rPr>
          <w:sz w:val="20"/>
          <w:szCs w:val="20"/>
        </w:rPr>
        <w:t xml:space="preserve">zatím </w:t>
      </w:r>
      <w:r w:rsidR="00AF622A" w:rsidRPr="00800799">
        <w:rPr>
          <w:sz w:val="20"/>
          <w:szCs w:val="20"/>
        </w:rPr>
        <w:t>ukazuj</w:t>
      </w:r>
      <w:r w:rsidRPr="00800799">
        <w:rPr>
          <w:sz w:val="20"/>
          <w:szCs w:val="20"/>
        </w:rPr>
        <w:t>í</w:t>
      </w:r>
      <w:r w:rsidR="00AF622A" w:rsidRPr="00800799">
        <w:rPr>
          <w:sz w:val="20"/>
          <w:szCs w:val="20"/>
        </w:rPr>
        <w:t xml:space="preserve"> jako úspěšn</w:t>
      </w:r>
      <w:r w:rsidRPr="00800799">
        <w:rPr>
          <w:sz w:val="20"/>
          <w:szCs w:val="20"/>
        </w:rPr>
        <w:t>é</w:t>
      </w:r>
      <w:r w:rsidR="00AF622A" w:rsidRPr="00800799">
        <w:rPr>
          <w:sz w:val="20"/>
          <w:szCs w:val="20"/>
        </w:rPr>
        <w:t xml:space="preserve">, když podle </w:t>
      </w:r>
      <w:r w:rsidRPr="00800799">
        <w:rPr>
          <w:sz w:val="20"/>
          <w:szCs w:val="20"/>
        </w:rPr>
        <w:t xml:space="preserve">pololetní </w:t>
      </w:r>
      <w:r w:rsidR="00AF622A" w:rsidRPr="00800799">
        <w:rPr>
          <w:sz w:val="20"/>
          <w:szCs w:val="20"/>
        </w:rPr>
        <w:t>monitorovací zprávy k 30.</w:t>
      </w:r>
      <w:r w:rsidRPr="00800799">
        <w:rPr>
          <w:sz w:val="20"/>
          <w:szCs w:val="20"/>
        </w:rPr>
        <w:t>6</w:t>
      </w:r>
      <w:r w:rsidR="00AF622A" w:rsidRPr="00800799">
        <w:rPr>
          <w:sz w:val="20"/>
          <w:szCs w:val="20"/>
        </w:rPr>
        <w:t xml:space="preserve">.2021 již vykázala zhodnocení přes 13 %. Zároveň </w:t>
      </w:r>
      <w:r w:rsidRPr="00800799">
        <w:rPr>
          <w:sz w:val="20"/>
          <w:szCs w:val="20"/>
        </w:rPr>
        <w:t>fond fondů</w:t>
      </w:r>
      <w:r w:rsidR="00AF622A" w:rsidRPr="00800799">
        <w:rPr>
          <w:sz w:val="20"/>
          <w:szCs w:val="20"/>
        </w:rPr>
        <w:t xml:space="preserve"> vykazuje pákový efekt </w:t>
      </w:r>
      <w:r w:rsidRPr="00800799">
        <w:rPr>
          <w:sz w:val="20"/>
          <w:szCs w:val="20"/>
        </w:rPr>
        <w:t>přibližně</w:t>
      </w:r>
      <w:r w:rsidR="00AF622A" w:rsidRPr="00800799">
        <w:rPr>
          <w:sz w:val="20"/>
          <w:szCs w:val="20"/>
        </w:rPr>
        <w:t xml:space="preserve"> </w:t>
      </w:r>
      <w:r w:rsidRPr="00800799">
        <w:rPr>
          <w:sz w:val="20"/>
          <w:szCs w:val="20"/>
        </w:rPr>
        <w:t>1,6x.</w:t>
      </w:r>
    </w:p>
    <w:p w14:paraId="0000022B" w14:textId="1A688CBF" w:rsidR="00054D27" w:rsidRPr="00800799" w:rsidRDefault="00AF622A">
      <w:pPr>
        <w:pStyle w:val="Nadpis3"/>
        <w:numPr>
          <w:ilvl w:val="1"/>
          <w:numId w:val="18"/>
        </w:numPr>
        <w:rPr>
          <w:color w:val="D04A02"/>
          <w:sz w:val="24"/>
          <w:szCs w:val="24"/>
        </w:rPr>
      </w:pPr>
      <w:bookmarkStart w:id="66" w:name="_Toc90364557"/>
      <w:r w:rsidRPr="00800799">
        <w:rPr>
          <w:color w:val="D04A02"/>
          <w:sz w:val="24"/>
          <w:szCs w:val="24"/>
        </w:rPr>
        <w:t>Rizikový kapitál – IPO fond</w:t>
      </w:r>
      <w:bookmarkEnd w:id="66"/>
    </w:p>
    <w:p w14:paraId="0000022C" w14:textId="77777777" w:rsidR="00054D27" w:rsidRPr="00800799" w:rsidRDefault="00AF622A">
      <w:pPr>
        <w:spacing w:before="240" w:after="240"/>
        <w:jc w:val="both"/>
        <w:rPr>
          <w:sz w:val="20"/>
          <w:szCs w:val="20"/>
        </w:rPr>
      </w:pPr>
      <w:r w:rsidRPr="00800799">
        <w:rPr>
          <w:sz w:val="20"/>
          <w:szCs w:val="20"/>
        </w:rPr>
        <w:t>IPO fond je posledním finančním nástrojem OP PIK, který byl spuštěn na počátku roku 2021. Správcem finančního nástroje je Národní rozvojová investiční, a.s. Finanční nástroj disponuje alokací 332 mil. Kč určenou na kapitálové investice do společností kotovaných na veřejně obchodovaných trzích, a to během primárního úpisu akcií. Zatím jedinou multilaterální obchodní platformou, která se přihlásila do výzvy IPO fondu je trh Start Burzy cenných papírů Praha (BCPP).</w:t>
      </w:r>
    </w:p>
    <w:tbl>
      <w:tblPr>
        <w:tblStyle w:val="af7"/>
        <w:tblW w:w="9072" w:type="dxa"/>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A0" w:firstRow="1" w:lastRow="0" w:firstColumn="1" w:lastColumn="0" w:noHBand="0" w:noVBand="1"/>
      </w:tblPr>
      <w:tblGrid>
        <w:gridCol w:w="6516"/>
        <w:gridCol w:w="2556"/>
      </w:tblGrid>
      <w:tr w:rsidR="00054D27" w:rsidRPr="00800799" w14:paraId="1BAD9D2F" w14:textId="77777777" w:rsidTr="00054D2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516" w:type="dxa"/>
          </w:tcPr>
          <w:p w14:paraId="0000022D" w14:textId="77777777" w:rsidR="00054D27" w:rsidRPr="00EA0A6C" w:rsidRDefault="00AF622A">
            <w:pPr>
              <w:jc w:val="both"/>
              <w:rPr>
                <w:rFonts w:ascii="Arial" w:hAnsi="Arial" w:cs="Arial"/>
                <w:color w:val="000000"/>
                <w:sz w:val="20"/>
                <w:szCs w:val="20"/>
              </w:rPr>
            </w:pPr>
            <w:r w:rsidRPr="00800799">
              <w:rPr>
                <w:color w:val="000000"/>
                <w:sz w:val="20"/>
                <w:szCs w:val="20"/>
              </w:rPr>
              <w:t> </w:t>
            </w:r>
          </w:p>
        </w:tc>
        <w:tc>
          <w:tcPr>
            <w:tcW w:w="2556" w:type="dxa"/>
          </w:tcPr>
          <w:p w14:paraId="0000022E" w14:textId="77777777" w:rsidR="00054D27" w:rsidRPr="00EA0A6C" w:rsidRDefault="00AF62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sz w:val="20"/>
                <w:szCs w:val="20"/>
              </w:rPr>
              <w:t>Stav k 30.9.2021 v CZK</w:t>
            </w:r>
          </w:p>
        </w:tc>
      </w:tr>
      <w:tr w:rsidR="00054D27" w:rsidRPr="00800799" w14:paraId="6E73D99B" w14:textId="77777777" w:rsidTr="00054D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2F" w14:textId="77777777" w:rsidR="00054D27" w:rsidRPr="00EA0A6C" w:rsidRDefault="00AF622A">
            <w:pPr>
              <w:jc w:val="both"/>
              <w:rPr>
                <w:rFonts w:ascii="Arial" w:hAnsi="Arial" w:cs="Arial"/>
                <w:color w:val="000000"/>
                <w:sz w:val="20"/>
                <w:szCs w:val="20"/>
              </w:rPr>
            </w:pPr>
            <w:r w:rsidRPr="00800799">
              <w:rPr>
                <w:color w:val="000000"/>
                <w:sz w:val="20"/>
                <w:szCs w:val="20"/>
              </w:rPr>
              <w:t>Alokace finančního nástroje</w:t>
            </w:r>
          </w:p>
        </w:tc>
        <w:tc>
          <w:tcPr>
            <w:tcW w:w="2556" w:type="dxa"/>
          </w:tcPr>
          <w:p w14:paraId="00000230" w14:textId="77777777" w:rsidR="00054D27" w:rsidRPr="00EA0A6C"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332 000 000,00</w:t>
            </w:r>
          </w:p>
        </w:tc>
      </w:tr>
      <w:tr w:rsidR="00054D27" w:rsidRPr="00800799" w14:paraId="6D6FFEB9" w14:textId="77777777" w:rsidTr="00054D27">
        <w:trPr>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31" w14:textId="77777777" w:rsidR="00054D27" w:rsidRPr="00EA0A6C" w:rsidRDefault="00AF622A">
            <w:pPr>
              <w:jc w:val="both"/>
              <w:rPr>
                <w:rFonts w:ascii="Arial" w:hAnsi="Arial" w:cs="Arial"/>
                <w:color w:val="000000"/>
                <w:sz w:val="20"/>
                <w:szCs w:val="20"/>
              </w:rPr>
            </w:pPr>
            <w:r w:rsidRPr="00800799">
              <w:rPr>
                <w:color w:val="000000"/>
                <w:sz w:val="20"/>
                <w:szCs w:val="20"/>
              </w:rPr>
              <w:t>Počet uskutečněných tranší</w:t>
            </w:r>
          </w:p>
        </w:tc>
        <w:tc>
          <w:tcPr>
            <w:tcW w:w="2556" w:type="dxa"/>
          </w:tcPr>
          <w:p w14:paraId="00000232" w14:textId="77777777" w:rsidR="00054D27" w:rsidRPr="00EA0A6C" w:rsidRDefault="00AF62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1</w:t>
            </w:r>
          </w:p>
        </w:tc>
      </w:tr>
      <w:tr w:rsidR="00054D27" w:rsidRPr="00800799" w14:paraId="7C8C034D" w14:textId="77777777" w:rsidTr="00054D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33" w14:textId="77777777" w:rsidR="00054D27" w:rsidRPr="00EA0A6C" w:rsidRDefault="00AF622A">
            <w:pPr>
              <w:jc w:val="both"/>
              <w:rPr>
                <w:rFonts w:ascii="Arial" w:hAnsi="Arial" w:cs="Arial"/>
                <w:color w:val="000000"/>
                <w:sz w:val="20"/>
                <w:szCs w:val="20"/>
              </w:rPr>
            </w:pPr>
            <w:r w:rsidRPr="00800799">
              <w:rPr>
                <w:color w:val="000000"/>
                <w:sz w:val="20"/>
                <w:szCs w:val="20"/>
              </w:rPr>
              <w:lastRenderedPageBreak/>
              <w:t>Prostředky převedené do finančního nástroje</w:t>
            </w:r>
          </w:p>
        </w:tc>
        <w:tc>
          <w:tcPr>
            <w:tcW w:w="2556" w:type="dxa"/>
          </w:tcPr>
          <w:p w14:paraId="00000234" w14:textId="77777777" w:rsidR="00054D27" w:rsidRPr="00EA0A6C"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83 000 000,00</w:t>
            </w:r>
          </w:p>
        </w:tc>
      </w:tr>
      <w:tr w:rsidR="00054D27" w:rsidRPr="00800799" w14:paraId="2267AA2B" w14:textId="77777777" w:rsidTr="00054D27">
        <w:trPr>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35" w14:textId="77777777" w:rsidR="00054D27" w:rsidRPr="00EA0A6C" w:rsidRDefault="00AF622A">
            <w:pPr>
              <w:jc w:val="both"/>
              <w:rPr>
                <w:rFonts w:ascii="Arial" w:hAnsi="Arial" w:cs="Arial"/>
                <w:sz w:val="20"/>
                <w:szCs w:val="20"/>
              </w:rPr>
            </w:pPr>
            <w:r w:rsidRPr="00800799">
              <w:rPr>
                <w:sz w:val="20"/>
                <w:szCs w:val="20"/>
              </w:rPr>
              <w:t xml:space="preserve">Úroky z účtů vkladu do </w:t>
            </w:r>
            <w:r w:rsidRPr="00800799">
              <w:rPr>
                <w:color w:val="000000"/>
                <w:sz w:val="20"/>
                <w:szCs w:val="20"/>
              </w:rPr>
              <w:t>finančního nástroje</w:t>
            </w:r>
          </w:p>
        </w:tc>
        <w:tc>
          <w:tcPr>
            <w:tcW w:w="2556" w:type="dxa"/>
          </w:tcPr>
          <w:p w14:paraId="00000236" w14:textId="77777777" w:rsidR="00054D27" w:rsidRPr="00EA0A6C" w:rsidRDefault="00AF62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8 313,21</w:t>
            </w:r>
          </w:p>
        </w:tc>
      </w:tr>
      <w:tr w:rsidR="00054D27" w:rsidRPr="00800799" w14:paraId="7DF7FD92" w14:textId="77777777" w:rsidTr="00054D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37" w14:textId="77777777" w:rsidR="00054D27" w:rsidRPr="00EA0A6C" w:rsidRDefault="00AF622A">
            <w:pPr>
              <w:jc w:val="both"/>
              <w:rPr>
                <w:rFonts w:ascii="Arial" w:hAnsi="Arial" w:cs="Arial"/>
                <w:sz w:val="20"/>
                <w:szCs w:val="20"/>
              </w:rPr>
            </w:pPr>
            <w:r w:rsidRPr="00800799">
              <w:rPr>
                <w:color w:val="000000"/>
                <w:sz w:val="20"/>
                <w:szCs w:val="20"/>
              </w:rPr>
              <w:t>Ostatní příjmy IPO Fondu (vrácené prostředky z ukončených investic, přijaté dividendy, uhrazené sankce)</w:t>
            </w:r>
          </w:p>
        </w:tc>
        <w:tc>
          <w:tcPr>
            <w:tcW w:w="2556" w:type="dxa"/>
          </w:tcPr>
          <w:p w14:paraId="00000238" w14:textId="77777777" w:rsidR="00054D27" w:rsidRPr="00EA0A6C"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0,00</w:t>
            </w:r>
          </w:p>
        </w:tc>
      </w:tr>
      <w:tr w:rsidR="00054D27" w:rsidRPr="00800799" w14:paraId="2DC7D4F5" w14:textId="77777777" w:rsidTr="00054D27">
        <w:trPr>
          <w:trHeight w:val="510"/>
        </w:trPr>
        <w:tc>
          <w:tcPr>
            <w:cnfStyle w:val="001000000000" w:firstRow="0" w:lastRow="0" w:firstColumn="1" w:lastColumn="0" w:oddVBand="0" w:evenVBand="0" w:oddHBand="0" w:evenHBand="0" w:firstRowFirstColumn="0" w:firstRowLastColumn="0" w:lastRowFirstColumn="0" w:lastRowLastColumn="0"/>
            <w:tcW w:w="6516" w:type="dxa"/>
          </w:tcPr>
          <w:p w14:paraId="00000239" w14:textId="77777777" w:rsidR="00054D27" w:rsidRPr="00EA0A6C" w:rsidRDefault="00AF622A">
            <w:pPr>
              <w:jc w:val="both"/>
              <w:rPr>
                <w:rFonts w:ascii="Arial" w:hAnsi="Arial" w:cs="Arial"/>
                <w:color w:val="000000"/>
                <w:sz w:val="20"/>
                <w:szCs w:val="20"/>
              </w:rPr>
            </w:pPr>
            <w:r w:rsidRPr="00800799">
              <w:rPr>
                <w:color w:val="000000"/>
                <w:sz w:val="20"/>
                <w:szCs w:val="20"/>
              </w:rPr>
              <w:t>Vyplacená základní odměna za správu IPO Fondu</w:t>
            </w:r>
          </w:p>
        </w:tc>
        <w:tc>
          <w:tcPr>
            <w:tcW w:w="2556" w:type="dxa"/>
          </w:tcPr>
          <w:p w14:paraId="0000023A" w14:textId="77777777" w:rsidR="00054D27" w:rsidRPr="00EA0A6C" w:rsidRDefault="00AF62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10 836 111,12</w:t>
            </w:r>
          </w:p>
        </w:tc>
      </w:tr>
      <w:tr w:rsidR="00054D27" w:rsidRPr="00800799" w14:paraId="66418BD9" w14:textId="77777777" w:rsidTr="00054D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3B" w14:textId="77777777" w:rsidR="00054D27" w:rsidRPr="00EA0A6C" w:rsidRDefault="00AF622A">
            <w:pPr>
              <w:rPr>
                <w:rFonts w:ascii="Arial" w:hAnsi="Arial" w:cs="Arial"/>
                <w:color w:val="000000"/>
                <w:sz w:val="20"/>
                <w:szCs w:val="20"/>
              </w:rPr>
            </w:pPr>
            <w:r w:rsidRPr="00800799">
              <w:rPr>
                <w:color w:val="000000"/>
                <w:sz w:val="20"/>
                <w:szCs w:val="20"/>
              </w:rPr>
              <w:t xml:space="preserve">Vyplacená výkonnostní odměna za správu IPO Fondu celkem </w:t>
            </w:r>
          </w:p>
        </w:tc>
        <w:tc>
          <w:tcPr>
            <w:tcW w:w="2556" w:type="dxa"/>
          </w:tcPr>
          <w:p w14:paraId="0000023C" w14:textId="77777777" w:rsidR="00054D27" w:rsidRPr="00EA0A6C"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18 178,77</w:t>
            </w:r>
          </w:p>
        </w:tc>
      </w:tr>
      <w:tr w:rsidR="00054D27" w:rsidRPr="00800799" w14:paraId="7B9F03A8" w14:textId="77777777" w:rsidTr="00054D27">
        <w:trPr>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3D" w14:textId="77777777" w:rsidR="00054D27" w:rsidRPr="00EA0A6C" w:rsidRDefault="00AF622A">
            <w:pPr>
              <w:rPr>
                <w:rFonts w:ascii="Arial" w:hAnsi="Arial" w:cs="Arial"/>
                <w:color w:val="000000"/>
                <w:sz w:val="20"/>
                <w:szCs w:val="20"/>
              </w:rPr>
            </w:pPr>
            <w:r w:rsidRPr="00800799">
              <w:rPr>
                <w:color w:val="000000"/>
                <w:sz w:val="20"/>
                <w:szCs w:val="20"/>
              </w:rPr>
              <w:t>Vyplacený Poplatek za správu celkem</w:t>
            </w:r>
          </w:p>
        </w:tc>
        <w:tc>
          <w:tcPr>
            <w:tcW w:w="2556" w:type="dxa"/>
          </w:tcPr>
          <w:p w14:paraId="0000023E" w14:textId="77777777" w:rsidR="00054D27" w:rsidRPr="00EA0A6C" w:rsidRDefault="00AF62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10 854 289,89</w:t>
            </w:r>
          </w:p>
        </w:tc>
      </w:tr>
    </w:tbl>
    <w:p w14:paraId="0000023F" w14:textId="77777777" w:rsidR="00054D27" w:rsidRPr="00800799" w:rsidRDefault="00AF622A">
      <w:pPr>
        <w:spacing w:before="240" w:after="240"/>
        <w:jc w:val="both"/>
        <w:rPr>
          <w:sz w:val="20"/>
          <w:szCs w:val="20"/>
        </w:rPr>
      </w:pPr>
      <w:r w:rsidRPr="00800799">
        <w:rPr>
          <w:sz w:val="20"/>
          <w:szCs w:val="20"/>
        </w:rPr>
        <w:t xml:space="preserve">Z důvodu omezení investiční strategie – nástroj je určen pouze pro malé a střední podniky, fond nemůže být aktivní na sekundárním trhu a nesmí podporovat podniky s převažujícími aktivitami na území </w:t>
      </w:r>
      <w:proofErr w:type="spellStart"/>
      <w:r w:rsidRPr="00800799">
        <w:rPr>
          <w:sz w:val="20"/>
          <w:szCs w:val="20"/>
        </w:rPr>
        <w:t>hl.m</w:t>
      </w:r>
      <w:proofErr w:type="spellEnd"/>
      <w:r w:rsidRPr="00800799">
        <w:rPr>
          <w:sz w:val="20"/>
          <w:szCs w:val="20"/>
        </w:rPr>
        <w:t>. Prahy – a také z důvodu zpomalení nových úpisů na trhu Start BCPP z důvodu pandemie COVID-19, byla dosud zrealizována jediná investice IPO fondu v nominální výši necelých 12 milionů Kč.</w:t>
      </w:r>
    </w:p>
    <w:tbl>
      <w:tblPr>
        <w:tblStyle w:val="af8"/>
        <w:tblW w:w="9072" w:type="dxa"/>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A0" w:firstRow="1" w:lastRow="0" w:firstColumn="1" w:lastColumn="0" w:noHBand="0" w:noVBand="1"/>
      </w:tblPr>
      <w:tblGrid>
        <w:gridCol w:w="6516"/>
        <w:gridCol w:w="2556"/>
      </w:tblGrid>
      <w:tr w:rsidR="00054D27" w:rsidRPr="00800799" w14:paraId="1E5C3F97" w14:textId="77777777" w:rsidTr="00054D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40" w14:textId="77777777" w:rsidR="00054D27" w:rsidRPr="00800799" w:rsidRDefault="00AF622A">
            <w:pPr>
              <w:jc w:val="both"/>
              <w:rPr>
                <w:rFonts w:ascii="Arial" w:hAnsi="Arial" w:cs="Arial"/>
                <w:sz w:val="20"/>
                <w:szCs w:val="20"/>
              </w:rPr>
            </w:pPr>
            <w:r w:rsidRPr="00800799">
              <w:rPr>
                <w:sz w:val="20"/>
                <w:szCs w:val="20"/>
              </w:rPr>
              <w:t> </w:t>
            </w:r>
          </w:p>
        </w:tc>
        <w:tc>
          <w:tcPr>
            <w:tcW w:w="2556" w:type="dxa"/>
          </w:tcPr>
          <w:p w14:paraId="00000241" w14:textId="77777777" w:rsidR="00054D27" w:rsidRPr="00800799" w:rsidRDefault="00AF62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00799">
              <w:rPr>
                <w:sz w:val="20"/>
                <w:szCs w:val="20"/>
              </w:rPr>
              <w:t>Údaje k 30.9.2021 v CZK</w:t>
            </w:r>
          </w:p>
        </w:tc>
      </w:tr>
      <w:tr w:rsidR="00054D27" w:rsidRPr="00800799" w14:paraId="54004B90" w14:textId="77777777" w:rsidTr="00054D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42" w14:textId="77777777" w:rsidR="00054D27" w:rsidRPr="00800799" w:rsidRDefault="00AF622A">
            <w:pPr>
              <w:jc w:val="both"/>
              <w:rPr>
                <w:rFonts w:ascii="Arial" w:hAnsi="Arial" w:cs="Arial"/>
                <w:color w:val="000000"/>
                <w:sz w:val="20"/>
                <w:szCs w:val="20"/>
              </w:rPr>
            </w:pPr>
            <w:r w:rsidRPr="00800799">
              <w:rPr>
                <w:color w:val="000000"/>
                <w:sz w:val="20"/>
                <w:szCs w:val="20"/>
              </w:rPr>
              <w:t>Výše realizovaných investic IPO Fondu</w:t>
            </w:r>
          </w:p>
        </w:tc>
        <w:tc>
          <w:tcPr>
            <w:tcW w:w="2556" w:type="dxa"/>
          </w:tcPr>
          <w:p w14:paraId="00000243" w14:textId="77777777" w:rsidR="00054D27" w:rsidRPr="00800799"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11 986 000,00</w:t>
            </w:r>
          </w:p>
        </w:tc>
      </w:tr>
      <w:tr w:rsidR="00054D27" w:rsidRPr="00800799" w14:paraId="2A5FA6A2" w14:textId="77777777" w:rsidTr="00054D27">
        <w:trPr>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44" w14:textId="77777777" w:rsidR="00054D27" w:rsidRPr="00800799" w:rsidRDefault="00AF622A">
            <w:pPr>
              <w:jc w:val="both"/>
              <w:rPr>
                <w:rFonts w:ascii="Arial" w:hAnsi="Arial" w:cs="Arial"/>
                <w:color w:val="000000"/>
                <w:sz w:val="20"/>
                <w:szCs w:val="20"/>
              </w:rPr>
            </w:pPr>
            <w:r w:rsidRPr="00800799">
              <w:rPr>
                <w:color w:val="000000"/>
                <w:sz w:val="20"/>
                <w:szCs w:val="20"/>
              </w:rPr>
              <w:t>Aktuální hodnota realizovaných investic IPO Fondu</w:t>
            </w:r>
          </w:p>
        </w:tc>
        <w:tc>
          <w:tcPr>
            <w:tcW w:w="2556" w:type="dxa"/>
          </w:tcPr>
          <w:p w14:paraId="00000245" w14:textId="77777777" w:rsidR="00054D27" w:rsidRPr="00800799" w:rsidRDefault="00AF62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13 553 400,00</w:t>
            </w:r>
          </w:p>
        </w:tc>
      </w:tr>
      <w:tr w:rsidR="00054D27" w:rsidRPr="00800799" w14:paraId="32886E18" w14:textId="77777777" w:rsidTr="00054D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46" w14:textId="77777777" w:rsidR="00054D27" w:rsidRPr="00800799" w:rsidRDefault="00AF622A">
            <w:pPr>
              <w:jc w:val="both"/>
              <w:rPr>
                <w:rFonts w:ascii="Arial" w:hAnsi="Arial" w:cs="Arial"/>
                <w:color w:val="000000"/>
                <w:sz w:val="20"/>
                <w:szCs w:val="20"/>
              </w:rPr>
            </w:pPr>
            <w:r w:rsidRPr="00800799">
              <w:rPr>
                <w:color w:val="000000"/>
                <w:sz w:val="20"/>
                <w:szCs w:val="20"/>
              </w:rPr>
              <w:t>Výše investic odepsaných pro nedobytnost (výše nedobytných investic)</w:t>
            </w:r>
          </w:p>
        </w:tc>
        <w:tc>
          <w:tcPr>
            <w:tcW w:w="2556" w:type="dxa"/>
          </w:tcPr>
          <w:p w14:paraId="00000247" w14:textId="77777777" w:rsidR="00054D27" w:rsidRPr="00800799"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0,00</w:t>
            </w:r>
          </w:p>
        </w:tc>
      </w:tr>
      <w:tr w:rsidR="00054D27" w:rsidRPr="00800799" w14:paraId="36F44F02" w14:textId="77777777" w:rsidTr="00054D27">
        <w:trPr>
          <w:trHeight w:val="315"/>
        </w:trPr>
        <w:tc>
          <w:tcPr>
            <w:cnfStyle w:val="001000000000" w:firstRow="0" w:lastRow="0" w:firstColumn="1" w:lastColumn="0" w:oddVBand="0" w:evenVBand="0" w:oddHBand="0" w:evenHBand="0" w:firstRowFirstColumn="0" w:firstRowLastColumn="0" w:lastRowFirstColumn="0" w:lastRowLastColumn="0"/>
            <w:tcW w:w="6516" w:type="dxa"/>
          </w:tcPr>
          <w:p w14:paraId="00000248" w14:textId="77777777" w:rsidR="00054D27" w:rsidRPr="00800799" w:rsidRDefault="00AF622A">
            <w:pPr>
              <w:jc w:val="both"/>
              <w:rPr>
                <w:rFonts w:ascii="Arial" w:hAnsi="Arial" w:cs="Arial"/>
                <w:color w:val="000000"/>
                <w:sz w:val="20"/>
                <w:szCs w:val="20"/>
              </w:rPr>
            </w:pPr>
            <w:r w:rsidRPr="00800799">
              <w:rPr>
                <w:color w:val="000000"/>
                <w:sz w:val="20"/>
                <w:szCs w:val="20"/>
              </w:rPr>
              <w:t>Hodnota vkladu MPO do IPO Fondu (součet hodnoty investic a peněžních prostředků fondu)</w:t>
            </w:r>
          </w:p>
        </w:tc>
        <w:tc>
          <w:tcPr>
            <w:tcW w:w="2556" w:type="dxa"/>
          </w:tcPr>
          <w:p w14:paraId="00000249" w14:textId="77777777" w:rsidR="00054D27" w:rsidRPr="00800799" w:rsidRDefault="00AF62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73 721 423,32</w:t>
            </w:r>
          </w:p>
        </w:tc>
      </w:tr>
      <w:tr w:rsidR="00054D27" w:rsidRPr="00800799" w14:paraId="5587D3B8" w14:textId="77777777" w:rsidTr="00054D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6" w:type="dxa"/>
          </w:tcPr>
          <w:p w14:paraId="0000024A" w14:textId="77777777" w:rsidR="00054D27" w:rsidRPr="00800799" w:rsidRDefault="00AF622A">
            <w:pPr>
              <w:jc w:val="both"/>
              <w:rPr>
                <w:rFonts w:ascii="Arial" w:hAnsi="Arial" w:cs="Arial"/>
                <w:color w:val="000000"/>
                <w:sz w:val="20"/>
                <w:szCs w:val="20"/>
              </w:rPr>
            </w:pPr>
            <w:r w:rsidRPr="00800799">
              <w:rPr>
                <w:color w:val="000000"/>
                <w:sz w:val="20"/>
                <w:szCs w:val="20"/>
              </w:rPr>
              <w:t>Výše soukromého spolufinancování při realizovaných investicích</w:t>
            </w:r>
          </w:p>
        </w:tc>
        <w:tc>
          <w:tcPr>
            <w:tcW w:w="2556" w:type="dxa"/>
          </w:tcPr>
          <w:p w14:paraId="0000024B" w14:textId="77777777" w:rsidR="00054D27" w:rsidRPr="00800799"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28 548 000,00</w:t>
            </w:r>
          </w:p>
        </w:tc>
      </w:tr>
    </w:tbl>
    <w:p w14:paraId="0000024C" w14:textId="77777777" w:rsidR="00054D27" w:rsidRPr="00800799" w:rsidRDefault="00AF622A">
      <w:pPr>
        <w:spacing w:before="240" w:after="240"/>
        <w:jc w:val="both"/>
        <w:rPr>
          <w:sz w:val="20"/>
          <w:szCs w:val="20"/>
        </w:rPr>
      </w:pPr>
      <w:r w:rsidRPr="00800799">
        <w:rPr>
          <w:sz w:val="20"/>
          <w:szCs w:val="20"/>
        </w:rPr>
        <w:t xml:space="preserve">Jediná dosavadní investice IPO fondu – výrobce </w:t>
      </w:r>
      <w:proofErr w:type="spellStart"/>
      <w:r w:rsidRPr="00800799">
        <w:rPr>
          <w:sz w:val="20"/>
          <w:szCs w:val="20"/>
        </w:rPr>
        <w:t>dronů</w:t>
      </w:r>
      <w:proofErr w:type="spellEnd"/>
      <w:r w:rsidRPr="00800799">
        <w:rPr>
          <w:sz w:val="20"/>
          <w:szCs w:val="20"/>
        </w:rPr>
        <w:t xml:space="preserve"> </w:t>
      </w:r>
      <w:proofErr w:type="spellStart"/>
      <w:r w:rsidRPr="00800799">
        <w:rPr>
          <w:sz w:val="20"/>
          <w:szCs w:val="20"/>
        </w:rPr>
        <w:t>Primoco</w:t>
      </w:r>
      <w:proofErr w:type="spellEnd"/>
      <w:r w:rsidRPr="00800799">
        <w:rPr>
          <w:sz w:val="20"/>
          <w:szCs w:val="20"/>
        </w:rPr>
        <w:t xml:space="preserve"> UAV SE se ukazuje podle počátečních dat jako velmi úspěšná, když podle čtvrtletní monitorovací zprávy k 30.9.2021 již vykázala zhodnocení přes 13 %. Zároveň finanční nástroj vykazuje pákový efekt vyšší než 2x v důsledku nastavení investiční strategie IPO fondu, podle které nemůže podíl IPO fondu na primárním úpisu akcií činit více než 30 %.</w:t>
      </w:r>
    </w:p>
    <w:p w14:paraId="0000024D" w14:textId="16C3F2D8" w:rsidR="00054D27" w:rsidRPr="00800799" w:rsidRDefault="00AF622A">
      <w:pPr>
        <w:pStyle w:val="Nadpis3"/>
        <w:numPr>
          <w:ilvl w:val="1"/>
          <w:numId w:val="18"/>
        </w:numPr>
        <w:rPr>
          <w:color w:val="D04A02"/>
          <w:sz w:val="24"/>
          <w:szCs w:val="24"/>
        </w:rPr>
      </w:pPr>
      <w:bookmarkStart w:id="67" w:name="_Toc90364558"/>
      <w:r w:rsidRPr="00800799">
        <w:rPr>
          <w:color w:val="D04A02"/>
          <w:sz w:val="24"/>
          <w:szCs w:val="24"/>
        </w:rPr>
        <w:t>Fond fondů Nemovitosti – ITI Ostrava</w:t>
      </w:r>
      <w:bookmarkEnd w:id="67"/>
    </w:p>
    <w:p w14:paraId="0000024E" w14:textId="77777777" w:rsidR="00054D27" w:rsidRPr="00800799" w:rsidRDefault="00AF622A">
      <w:pPr>
        <w:spacing w:before="240" w:after="240"/>
        <w:jc w:val="both"/>
        <w:rPr>
          <w:sz w:val="20"/>
          <w:szCs w:val="20"/>
        </w:rPr>
      </w:pPr>
      <w:r w:rsidRPr="00800799">
        <w:rPr>
          <w:sz w:val="20"/>
          <w:szCs w:val="20"/>
        </w:rPr>
        <w:t xml:space="preserve">Fond fondů Nemovitosti – ITI Ostrava disponuje alokací 496 mil. Kč určenou na financování projektů vybraných Rozvojových fondů (finančních zprostředkovatelů) na území ostravské aglomerace. V rámci zadávacího řízení správce fondu fondů, Národní rozvojová investiční, a.s., (NR investiční) vybral v roce 2020 jednoho finančního zprostředkovatele, Urban </w:t>
      </w:r>
      <w:proofErr w:type="spellStart"/>
      <w:r w:rsidRPr="00800799">
        <w:rPr>
          <w:sz w:val="20"/>
          <w:szCs w:val="20"/>
        </w:rPr>
        <w:t>Development</w:t>
      </w:r>
      <w:proofErr w:type="spellEnd"/>
      <w:r w:rsidRPr="00800799">
        <w:rPr>
          <w:sz w:val="20"/>
          <w:szCs w:val="20"/>
        </w:rPr>
        <w:t xml:space="preserve"> </w:t>
      </w:r>
      <w:proofErr w:type="spellStart"/>
      <w:r w:rsidRPr="00800799">
        <w:rPr>
          <w:sz w:val="20"/>
          <w:szCs w:val="20"/>
        </w:rPr>
        <w:t>Fund</w:t>
      </w:r>
      <w:proofErr w:type="spellEnd"/>
      <w:r w:rsidRPr="00800799">
        <w:rPr>
          <w:sz w:val="20"/>
          <w:szCs w:val="20"/>
        </w:rPr>
        <w:t xml:space="preserve"> MS, s.r.o., (UDF MS) který založil rozvojový fond jako svoji 100 % vlastněnou dceřinou společnost.</w:t>
      </w:r>
    </w:p>
    <w:p w14:paraId="0000024F" w14:textId="77777777" w:rsidR="00054D27" w:rsidRPr="00800799" w:rsidRDefault="00AF622A">
      <w:pPr>
        <w:spacing w:before="240" w:after="240"/>
        <w:jc w:val="both"/>
        <w:rPr>
          <w:sz w:val="20"/>
          <w:szCs w:val="20"/>
        </w:rPr>
      </w:pPr>
      <w:r w:rsidRPr="00800799">
        <w:rPr>
          <w:sz w:val="20"/>
          <w:szCs w:val="20"/>
        </w:rPr>
        <w:t>Podle monitorovací zprávy k 30.9.2021 zatím nebyla uskutečněna žádná investice rozvojového fondu. V březnu 2022 proběhne ověření milníku rozvojového fondu ze strany NR investiční.</w:t>
      </w:r>
    </w:p>
    <w:tbl>
      <w:tblPr>
        <w:tblStyle w:val="af9"/>
        <w:tblW w:w="9072" w:type="dxa"/>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A0" w:firstRow="1" w:lastRow="0" w:firstColumn="1" w:lastColumn="0" w:noHBand="0" w:noVBand="1"/>
      </w:tblPr>
      <w:tblGrid>
        <w:gridCol w:w="6653"/>
        <w:gridCol w:w="2419"/>
      </w:tblGrid>
      <w:tr w:rsidR="00054D27" w:rsidRPr="00800799" w14:paraId="56D22B6F" w14:textId="77777777" w:rsidTr="00054D2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53" w:type="dxa"/>
          </w:tcPr>
          <w:p w14:paraId="00000250" w14:textId="77777777" w:rsidR="00054D27" w:rsidRPr="00800799" w:rsidRDefault="00AF622A">
            <w:pPr>
              <w:jc w:val="both"/>
              <w:rPr>
                <w:rFonts w:ascii="Arial" w:hAnsi="Arial" w:cs="Arial"/>
                <w:color w:val="000000"/>
                <w:sz w:val="20"/>
                <w:szCs w:val="20"/>
              </w:rPr>
            </w:pPr>
            <w:r w:rsidRPr="00800799">
              <w:rPr>
                <w:color w:val="000000"/>
                <w:sz w:val="20"/>
                <w:szCs w:val="20"/>
              </w:rPr>
              <w:lastRenderedPageBreak/>
              <w:t> </w:t>
            </w:r>
          </w:p>
        </w:tc>
        <w:tc>
          <w:tcPr>
            <w:tcW w:w="2419" w:type="dxa"/>
          </w:tcPr>
          <w:p w14:paraId="00000251" w14:textId="77777777" w:rsidR="00054D27" w:rsidRPr="00800799" w:rsidRDefault="00AF62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00799">
              <w:rPr>
                <w:sz w:val="20"/>
                <w:szCs w:val="20"/>
              </w:rPr>
              <w:t>Stav k 30.9.2021 v CZK</w:t>
            </w:r>
          </w:p>
        </w:tc>
      </w:tr>
      <w:tr w:rsidR="00054D27" w:rsidRPr="00800799" w14:paraId="57D92940" w14:textId="77777777" w:rsidTr="00054D2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53" w:type="dxa"/>
          </w:tcPr>
          <w:p w14:paraId="00000252" w14:textId="77777777" w:rsidR="00054D27" w:rsidRPr="00800799" w:rsidRDefault="00AF622A">
            <w:pPr>
              <w:jc w:val="both"/>
              <w:rPr>
                <w:rFonts w:ascii="Arial" w:hAnsi="Arial" w:cs="Arial"/>
                <w:color w:val="000000"/>
                <w:sz w:val="20"/>
                <w:szCs w:val="20"/>
              </w:rPr>
            </w:pPr>
            <w:r w:rsidRPr="00800799">
              <w:rPr>
                <w:color w:val="000000"/>
                <w:sz w:val="20"/>
                <w:szCs w:val="20"/>
              </w:rPr>
              <w:t>Alokace fondu fondů</w:t>
            </w:r>
          </w:p>
        </w:tc>
        <w:tc>
          <w:tcPr>
            <w:tcW w:w="2419" w:type="dxa"/>
          </w:tcPr>
          <w:p w14:paraId="00000253" w14:textId="77777777" w:rsidR="00054D27" w:rsidRPr="00800799"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496 000 000,00</w:t>
            </w:r>
          </w:p>
        </w:tc>
      </w:tr>
      <w:tr w:rsidR="00054D27" w:rsidRPr="00800799" w14:paraId="4110539E" w14:textId="77777777" w:rsidTr="00054D27">
        <w:trPr>
          <w:trHeight w:val="290"/>
        </w:trPr>
        <w:tc>
          <w:tcPr>
            <w:cnfStyle w:val="001000000000" w:firstRow="0" w:lastRow="0" w:firstColumn="1" w:lastColumn="0" w:oddVBand="0" w:evenVBand="0" w:oddHBand="0" w:evenHBand="0" w:firstRowFirstColumn="0" w:firstRowLastColumn="0" w:lastRowFirstColumn="0" w:lastRowLastColumn="0"/>
            <w:tcW w:w="6653" w:type="dxa"/>
          </w:tcPr>
          <w:p w14:paraId="00000254" w14:textId="77777777" w:rsidR="00054D27" w:rsidRPr="00800799" w:rsidRDefault="00AF622A">
            <w:pPr>
              <w:jc w:val="both"/>
              <w:rPr>
                <w:rFonts w:ascii="Arial" w:hAnsi="Arial" w:cs="Arial"/>
                <w:color w:val="000000"/>
                <w:sz w:val="20"/>
                <w:szCs w:val="20"/>
              </w:rPr>
            </w:pPr>
            <w:r w:rsidRPr="00800799">
              <w:rPr>
                <w:color w:val="000000"/>
                <w:sz w:val="20"/>
                <w:szCs w:val="20"/>
              </w:rPr>
              <w:t>Počet provedených tranší do fondu fondů</w:t>
            </w:r>
          </w:p>
        </w:tc>
        <w:tc>
          <w:tcPr>
            <w:tcW w:w="2419" w:type="dxa"/>
          </w:tcPr>
          <w:p w14:paraId="00000255" w14:textId="77777777" w:rsidR="00054D27" w:rsidRPr="00800799" w:rsidRDefault="00AF62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1</w:t>
            </w:r>
          </w:p>
        </w:tc>
      </w:tr>
      <w:tr w:rsidR="00054D27" w:rsidRPr="00800799" w14:paraId="2A64A64C" w14:textId="77777777" w:rsidTr="00054D2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53" w:type="dxa"/>
          </w:tcPr>
          <w:p w14:paraId="00000256" w14:textId="77777777" w:rsidR="00054D27" w:rsidRPr="00800799" w:rsidRDefault="00AF622A">
            <w:pPr>
              <w:jc w:val="both"/>
              <w:rPr>
                <w:rFonts w:ascii="Arial" w:hAnsi="Arial" w:cs="Arial"/>
                <w:color w:val="000000"/>
                <w:sz w:val="20"/>
                <w:szCs w:val="20"/>
              </w:rPr>
            </w:pPr>
            <w:r w:rsidRPr="00800799">
              <w:rPr>
                <w:color w:val="000000"/>
                <w:sz w:val="20"/>
                <w:szCs w:val="20"/>
              </w:rPr>
              <w:t>Prostředky převedené do fondu fondů</w:t>
            </w:r>
          </w:p>
        </w:tc>
        <w:tc>
          <w:tcPr>
            <w:tcW w:w="2419" w:type="dxa"/>
          </w:tcPr>
          <w:p w14:paraId="00000257" w14:textId="77777777" w:rsidR="00054D27" w:rsidRPr="00800799"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124 000 000,00</w:t>
            </w:r>
          </w:p>
        </w:tc>
      </w:tr>
      <w:tr w:rsidR="00054D27" w:rsidRPr="00800799" w14:paraId="724C798A" w14:textId="77777777" w:rsidTr="00054D27">
        <w:trPr>
          <w:trHeight w:val="290"/>
        </w:trPr>
        <w:tc>
          <w:tcPr>
            <w:cnfStyle w:val="001000000000" w:firstRow="0" w:lastRow="0" w:firstColumn="1" w:lastColumn="0" w:oddVBand="0" w:evenVBand="0" w:oddHBand="0" w:evenHBand="0" w:firstRowFirstColumn="0" w:firstRowLastColumn="0" w:lastRowFirstColumn="0" w:lastRowLastColumn="0"/>
            <w:tcW w:w="6653" w:type="dxa"/>
          </w:tcPr>
          <w:p w14:paraId="00000258" w14:textId="77777777" w:rsidR="00054D27" w:rsidRPr="00800799" w:rsidRDefault="00AF622A">
            <w:pPr>
              <w:jc w:val="both"/>
              <w:rPr>
                <w:rFonts w:ascii="Arial" w:hAnsi="Arial" w:cs="Arial"/>
                <w:sz w:val="20"/>
                <w:szCs w:val="20"/>
              </w:rPr>
            </w:pPr>
            <w:r w:rsidRPr="00800799">
              <w:rPr>
                <w:sz w:val="20"/>
                <w:szCs w:val="20"/>
              </w:rPr>
              <w:t>Úroky z účtů vkladu do fondu</w:t>
            </w:r>
          </w:p>
        </w:tc>
        <w:tc>
          <w:tcPr>
            <w:tcW w:w="2419" w:type="dxa"/>
          </w:tcPr>
          <w:p w14:paraId="00000259" w14:textId="77777777" w:rsidR="00054D27" w:rsidRPr="00800799" w:rsidRDefault="00AF62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8 857,18</w:t>
            </w:r>
          </w:p>
        </w:tc>
      </w:tr>
      <w:tr w:rsidR="00054D27" w:rsidRPr="00800799" w14:paraId="7ADF8B5B" w14:textId="77777777" w:rsidTr="00054D2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3" w:type="dxa"/>
          </w:tcPr>
          <w:p w14:paraId="0000025A" w14:textId="77777777" w:rsidR="00054D27" w:rsidRPr="00800799" w:rsidRDefault="00AF622A">
            <w:pPr>
              <w:jc w:val="both"/>
              <w:rPr>
                <w:rFonts w:ascii="Arial" w:hAnsi="Arial" w:cs="Arial"/>
                <w:color w:val="000000"/>
                <w:sz w:val="20"/>
                <w:szCs w:val="20"/>
              </w:rPr>
            </w:pPr>
            <w:r w:rsidRPr="00800799">
              <w:rPr>
                <w:color w:val="000000"/>
                <w:sz w:val="20"/>
                <w:szCs w:val="20"/>
              </w:rPr>
              <w:t>Ostatní příjmy Fondu fondů (vrácené prostředky z Investic, přijaté úroky, uhrazené sankce)</w:t>
            </w:r>
          </w:p>
        </w:tc>
        <w:tc>
          <w:tcPr>
            <w:tcW w:w="2419" w:type="dxa"/>
          </w:tcPr>
          <w:p w14:paraId="0000025B" w14:textId="77777777" w:rsidR="00054D27" w:rsidRPr="00800799"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0,00</w:t>
            </w:r>
          </w:p>
        </w:tc>
      </w:tr>
      <w:tr w:rsidR="00054D27" w:rsidRPr="00800799" w14:paraId="6CF2155F" w14:textId="77777777" w:rsidTr="00054D27">
        <w:trPr>
          <w:trHeight w:val="290"/>
        </w:trPr>
        <w:tc>
          <w:tcPr>
            <w:cnfStyle w:val="001000000000" w:firstRow="0" w:lastRow="0" w:firstColumn="1" w:lastColumn="0" w:oddVBand="0" w:evenVBand="0" w:oddHBand="0" w:evenHBand="0" w:firstRowFirstColumn="0" w:firstRowLastColumn="0" w:lastRowFirstColumn="0" w:lastRowLastColumn="0"/>
            <w:tcW w:w="6653" w:type="dxa"/>
          </w:tcPr>
          <w:p w14:paraId="0000025C" w14:textId="77777777" w:rsidR="00054D27" w:rsidRPr="00800799" w:rsidRDefault="00AF622A">
            <w:pPr>
              <w:jc w:val="both"/>
              <w:rPr>
                <w:rFonts w:ascii="Arial" w:hAnsi="Arial" w:cs="Arial"/>
                <w:color w:val="000000"/>
                <w:sz w:val="20"/>
                <w:szCs w:val="20"/>
              </w:rPr>
            </w:pPr>
            <w:r w:rsidRPr="00800799">
              <w:rPr>
                <w:color w:val="000000"/>
                <w:sz w:val="20"/>
                <w:szCs w:val="20"/>
              </w:rPr>
              <w:t>Prostředky převedené do Rozvojového fondu 1</w:t>
            </w:r>
          </w:p>
        </w:tc>
        <w:tc>
          <w:tcPr>
            <w:tcW w:w="2419" w:type="dxa"/>
          </w:tcPr>
          <w:p w14:paraId="0000025D" w14:textId="77777777" w:rsidR="00054D27" w:rsidRPr="00800799" w:rsidRDefault="00AF62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115 000 000,00</w:t>
            </w:r>
          </w:p>
        </w:tc>
      </w:tr>
      <w:tr w:rsidR="00054D27" w:rsidRPr="00800799" w14:paraId="1E2ACC55" w14:textId="77777777" w:rsidTr="00054D2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53" w:type="dxa"/>
          </w:tcPr>
          <w:p w14:paraId="0000025E" w14:textId="77777777" w:rsidR="00054D27" w:rsidRPr="00800799" w:rsidRDefault="00AF622A">
            <w:pPr>
              <w:jc w:val="both"/>
              <w:rPr>
                <w:rFonts w:ascii="Arial" w:hAnsi="Arial" w:cs="Arial"/>
                <w:color w:val="000000"/>
                <w:sz w:val="20"/>
                <w:szCs w:val="20"/>
              </w:rPr>
            </w:pPr>
            <w:r w:rsidRPr="00800799">
              <w:rPr>
                <w:color w:val="000000"/>
                <w:sz w:val="20"/>
                <w:szCs w:val="20"/>
              </w:rPr>
              <w:t>Vyplacená základní odměna za správu Fondu fondů</w:t>
            </w:r>
          </w:p>
        </w:tc>
        <w:tc>
          <w:tcPr>
            <w:tcW w:w="2419" w:type="dxa"/>
          </w:tcPr>
          <w:p w14:paraId="0000025F" w14:textId="77777777" w:rsidR="00054D27" w:rsidRPr="00800799"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3 699 333,33</w:t>
            </w:r>
          </w:p>
        </w:tc>
      </w:tr>
      <w:tr w:rsidR="00054D27" w:rsidRPr="00800799" w14:paraId="6AEDA53B" w14:textId="77777777" w:rsidTr="00054D27">
        <w:trPr>
          <w:trHeight w:val="290"/>
        </w:trPr>
        <w:tc>
          <w:tcPr>
            <w:cnfStyle w:val="001000000000" w:firstRow="0" w:lastRow="0" w:firstColumn="1" w:lastColumn="0" w:oddVBand="0" w:evenVBand="0" w:oddHBand="0" w:evenHBand="0" w:firstRowFirstColumn="0" w:firstRowLastColumn="0" w:lastRowFirstColumn="0" w:lastRowLastColumn="0"/>
            <w:tcW w:w="6653" w:type="dxa"/>
          </w:tcPr>
          <w:p w14:paraId="00000260" w14:textId="77777777" w:rsidR="00054D27" w:rsidRPr="00800799" w:rsidRDefault="00AF622A">
            <w:pPr>
              <w:jc w:val="both"/>
              <w:rPr>
                <w:rFonts w:ascii="Arial" w:hAnsi="Arial" w:cs="Arial"/>
                <w:color w:val="000000"/>
                <w:sz w:val="20"/>
                <w:szCs w:val="20"/>
              </w:rPr>
            </w:pPr>
            <w:r w:rsidRPr="00800799">
              <w:rPr>
                <w:color w:val="000000"/>
                <w:sz w:val="20"/>
                <w:szCs w:val="20"/>
              </w:rPr>
              <w:t xml:space="preserve">Vyplacená výkonnostní odměna za správu Fondu fondů celkem </w:t>
            </w:r>
          </w:p>
        </w:tc>
        <w:tc>
          <w:tcPr>
            <w:tcW w:w="2419" w:type="dxa"/>
          </w:tcPr>
          <w:p w14:paraId="00000261" w14:textId="77777777" w:rsidR="00054D27" w:rsidRPr="00800799" w:rsidRDefault="00AF62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126 020,83</w:t>
            </w:r>
          </w:p>
        </w:tc>
      </w:tr>
      <w:tr w:rsidR="00054D27" w:rsidRPr="00800799" w14:paraId="39E8A5CC" w14:textId="77777777" w:rsidTr="00054D2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53" w:type="dxa"/>
          </w:tcPr>
          <w:p w14:paraId="00000262" w14:textId="77777777" w:rsidR="00054D27" w:rsidRPr="00800799" w:rsidRDefault="00AF622A">
            <w:pPr>
              <w:jc w:val="both"/>
              <w:rPr>
                <w:rFonts w:ascii="Arial" w:hAnsi="Arial" w:cs="Arial"/>
                <w:color w:val="000000"/>
                <w:sz w:val="20"/>
                <w:szCs w:val="20"/>
              </w:rPr>
            </w:pPr>
            <w:r w:rsidRPr="00800799">
              <w:rPr>
                <w:color w:val="000000"/>
                <w:sz w:val="20"/>
                <w:szCs w:val="20"/>
              </w:rPr>
              <w:t xml:space="preserve">Vyplacený Poplatek za správu celkem </w:t>
            </w:r>
            <w:proofErr w:type="gramStart"/>
            <w:r w:rsidRPr="00800799">
              <w:rPr>
                <w:color w:val="000000"/>
                <w:sz w:val="20"/>
                <w:szCs w:val="20"/>
              </w:rPr>
              <w:t>( ř.</w:t>
            </w:r>
            <w:proofErr w:type="gramEnd"/>
            <w:r w:rsidRPr="00800799">
              <w:rPr>
                <w:color w:val="000000"/>
                <w:sz w:val="20"/>
                <w:szCs w:val="20"/>
              </w:rPr>
              <w:t xml:space="preserve"> 6 + ř. 7)</w:t>
            </w:r>
          </w:p>
        </w:tc>
        <w:tc>
          <w:tcPr>
            <w:tcW w:w="2419" w:type="dxa"/>
          </w:tcPr>
          <w:p w14:paraId="00000263" w14:textId="77777777" w:rsidR="00054D27" w:rsidRPr="00800799"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3 825 354,16</w:t>
            </w:r>
          </w:p>
        </w:tc>
      </w:tr>
    </w:tbl>
    <w:p w14:paraId="00000264" w14:textId="1458DEE6" w:rsidR="00054D27" w:rsidRPr="00800799" w:rsidRDefault="00AF622A">
      <w:pPr>
        <w:pStyle w:val="Nadpis3"/>
        <w:numPr>
          <w:ilvl w:val="1"/>
          <w:numId w:val="18"/>
        </w:numPr>
        <w:rPr>
          <w:color w:val="D04A02"/>
          <w:sz w:val="24"/>
          <w:szCs w:val="24"/>
        </w:rPr>
      </w:pPr>
      <w:bookmarkStart w:id="68" w:name="_Toc90364559"/>
      <w:r w:rsidRPr="00800799">
        <w:rPr>
          <w:color w:val="D04A02"/>
          <w:sz w:val="24"/>
          <w:szCs w:val="24"/>
        </w:rPr>
        <w:t xml:space="preserve">Úspory </w:t>
      </w:r>
      <w:proofErr w:type="gramStart"/>
      <w:r w:rsidRPr="00800799">
        <w:rPr>
          <w:color w:val="D04A02"/>
          <w:sz w:val="24"/>
          <w:szCs w:val="24"/>
        </w:rPr>
        <w:t>energie - úvěry</w:t>
      </w:r>
      <w:bookmarkEnd w:id="68"/>
      <w:proofErr w:type="gramEnd"/>
    </w:p>
    <w:p w14:paraId="00000265" w14:textId="7CD795F6" w:rsidR="00054D27" w:rsidRPr="00800799" w:rsidRDefault="00AF622A">
      <w:pPr>
        <w:spacing w:before="240" w:after="240"/>
        <w:jc w:val="both"/>
        <w:rPr>
          <w:sz w:val="20"/>
          <w:szCs w:val="20"/>
        </w:rPr>
      </w:pPr>
      <w:r w:rsidRPr="00800799">
        <w:rPr>
          <w:sz w:val="20"/>
          <w:szCs w:val="20"/>
        </w:rPr>
        <w:t>Úvěrový finanční nástroj v programu Úspory energie OP PIK byl spuštěn v posledním čtvrtletí roku 2017. Poskytuje zvýhodněný úvěr MSP i velkým podnikům až na 90 % způsobilých výdajů projektu zaměřeného na investiční opatření ke zvýšení energetické účinnosti ve spojení s finančními příspěvky na úhradu nákladů vstupního energetického posudku a na úroky z komerčního kofinancujícího úvěru.</w:t>
      </w:r>
    </w:p>
    <w:p w14:paraId="00000266" w14:textId="77777777" w:rsidR="00054D27" w:rsidRPr="00800799" w:rsidRDefault="00AF622A">
      <w:pPr>
        <w:spacing w:before="240" w:after="240"/>
        <w:jc w:val="both"/>
        <w:rPr>
          <w:sz w:val="20"/>
          <w:szCs w:val="20"/>
        </w:rPr>
      </w:pPr>
      <w:r w:rsidRPr="00800799">
        <w:rPr>
          <w:sz w:val="20"/>
          <w:szCs w:val="20"/>
        </w:rPr>
        <w:t>Podle monitorovací zprávy bylo finančním nástrojem k 30.6.2021 podpořeno celkem 41 projektů v objemu přes 215 mil. Kč, z toho více než 144 mil. Kč bylo dosud vyčerpáno (lhůta čerpání úvěru je 3 roky od podpisu smlouvy o zvýhodněném úvěru). Nejvíce úvěrů (celkem 11) bylo poskytnuto v Jihomoravském kraji, největší objem úvěrů (přes 54 mil. Kč) dosud směřoval do Jihočeského kraje. Mezi podpořenými odvětvími dominuje zpracovatelský průmysl, kde bylo dosud poskytnuto 16 zvýhodněných úvěrů za více než 70 mil. Kč.</w:t>
      </w:r>
    </w:p>
    <w:p w14:paraId="00000267" w14:textId="77777777" w:rsidR="00054D27" w:rsidRPr="00800799" w:rsidRDefault="00AF622A">
      <w:pPr>
        <w:spacing w:before="240" w:after="240"/>
        <w:jc w:val="both"/>
        <w:rPr>
          <w:sz w:val="20"/>
          <w:szCs w:val="20"/>
        </w:rPr>
      </w:pPr>
      <w:r w:rsidRPr="00800799">
        <w:rPr>
          <w:sz w:val="20"/>
          <w:szCs w:val="20"/>
        </w:rPr>
        <w:t>V průběhu programovacího období došlo k řadě změn alokace finančního nástroje, z původních více než 1,3 mld. Kč byla postupně snížena na současných 400 mil. Kč. Druhý zamýšlený finanční nástroj energetického úvěrového fondu zaměřený na oblast teplárenství nebyl spuštěn.</w:t>
      </w:r>
    </w:p>
    <w:tbl>
      <w:tblPr>
        <w:tblStyle w:val="afa"/>
        <w:tblW w:w="9072" w:type="dxa"/>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A0" w:firstRow="1" w:lastRow="0" w:firstColumn="1" w:lastColumn="0" w:noHBand="0" w:noVBand="1"/>
      </w:tblPr>
      <w:tblGrid>
        <w:gridCol w:w="6404"/>
        <w:gridCol w:w="2668"/>
      </w:tblGrid>
      <w:tr w:rsidR="00054D27" w:rsidRPr="00800799" w14:paraId="2D2D432D" w14:textId="77777777" w:rsidTr="00054D27">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6404" w:type="dxa"/>
          </w:tcPr>
          <w:p w14:paraId="00000268" w14:textId="77777777" w:rsidR="00054D27" w:rsidRPr="00800799" w:rsidRDefault="00AF622A">
            <w:pPr>
              <w:rPr>
                <w:rFonts w:ascii="Arial" w:hAnsi="Arial" w:cs="Arial"/>
                <w:color w:val="000000"/>
                <w:sz w:val="20"/>
                <w:szCs w:val="20"/>
              </w:rPr>
            </w:pPr>
            <w:r w:rsidRPr="00800799">
              <w:rPr>
                <w:color w:val="000000"/>
                <w:sz w:val="20"/>
                <w:szCs w:val="20"/>
              </w:rPr>
              <w:t> </w:t>
            </w:r>
          </w:p>
        </w:tc>
        <w:tc>
          <w:tcPr>
            <w:tcW w:w="2668" w:type="dxa"/>
          </w:tcPr>
          <w:p w14:paraId="00000269" w14:textId="77777777" w:rsidR="00054D27" w:rsidRPr="00800799" w:rsidRDefault="00AF62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sz w:val="20"/>
                <w:szCs w:val="20"/>
              </w:rPr>
              <w:t>Stav k 30.06.2021 v CZK</w:t>
            </w:r>
          </w:p>
        </w:tc>
      </w:tr>
      <w:tr w:rsidR="00054D27" w:rsidRPr="00800799" w14:paraId="3C76D470" w14:textId="77777777" w:rsidTr="00054D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404" w:type="dxa"/>
          </w:tcPr>
          <w:p w14:paraId="0000026A" w14:textId="77777777" w:rsidR="00054D27" w:rsidRPr="00800799" w:rsidRDefault="00AF622A">
            <w:pPr>
              <w:rPr>
                <w:rFonts w:ascii="Arial" w:hAnsi="Arial" w:cs="Arial"/>
                <w:color w:val="000000"/>
                <w:sz w:val="20"/>
                <w:szCs w:val="20"/>
              </w:rPr>
            </w:pPr>
            <w:r w:rsidRPr="00800799">
              <w:rPr>
                <w:color w:val="000000"/>
                <w:sz w:val="20"/>
                <w:szCs w:val="20"/>
              </w:rPr>
              <w:t>Alokace finančního nástroje</w:t>
            </w:r>
          </w:p>
        </w:tc>
        <w:tc>
          <w:tcPr>
            <w:tcW w:w="2668" w:type="dxa"/>
          </w:tcPr>
          <w:p w14:paraId="0000026B" w14:textId="77777777" w:rsidR="00054D27" w:rsidRPr="00800799"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400 000 000,00</w:t>
            </w:r>
          </w:p>
        </w:tc>
      </w:tr>
      <w:tr w:rsidR="00054D27" w:rsidRPr="00800799" w14:paraId="35C0A448" w14:textId="77777777" w:rsidTr="00054D27">
        <w:trPr>
          <w:trHeight w:val="510"/>
        </w:trPr>
        <w:tc>
          <w:tcPr>
            <w:cnfStyle w:val="001000000000" w:firstRow="0" w:lastRow="0" w:firstColumn="1" w:lastColumn="0" w:oddVBand="0" w:evenVBand="0" w:oddHBand="0" w:evenHBand="0" w:firstRowFirstColumn="0" w:firstRowLastColumn="0" w:lastRowFirstColumn="0" w:lastRowLastColumn="0"/>
            <w:tcW w:w="6404" w:type="dxa"/>
          </w:tcPr>
          <w:p w14:paraId="0000026C" w14:textId="77777777" w:rsidR="00054D27" w:rsidRPr="00800799" w:rsidRDefault="00AF622A">
            <w:pPr>
              <w:rPr>
                <w:rFonts w:ascii="Arial" w:hAnsi="Arial" w:cs="Arial"/>
                <w:color w:val="000000"/>
                <w:sz w:val="20"/>
                <w:szCs w:val="20"/>
              </w:rPr>
            </w:pPr>
            <w:r w:rsidRPr="00800799">
              <w:rPr>
                <w:color w:val="000000"/>
                <w:sz w:val="20"/>
                <w:szCs w:val="20"/>
              </w:rPr>
              <w:t>Počet provedených tranší do finančního nástroje</w:t>
            </w:r>
          </w:p>
        </w:tc>
        <w:tc>
          <w:tcPr>
            <w:tcW w:w="2668" w:type="dxa"/>
          </w:tcPr>
          <w:p w14:paraId="0000026D" w14:textId="77777777" w:rsidR="00054D27" w:rsidRPr="00800799" w:rsidRDefault="00AF62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2</w:t>
            </w:r>
          </w:p>
        </w:tc>
      </w:tr>
      <w:tr w:rsidR="00054D27" w:rsidRPr="00800799" w14:paraId="3A6B1E98" w14:textId="77777777" w:rsidTr="00054D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404" w:type="dxa"/>
          </w:tcPr>
          <w:p w14:paraId="0000026E" w14:textId="77777777" w:rsidR="00054D27" w:rsidRPr="00800799" w:rsidRDefault="00AF622A">
            <w:pPr>
              <w:rPr>
                <w:rFonts w:ascii="Arial" w:hAnsi="Arial" w:cs="Arial"/>
                <w:color w:val="000000"/>
                <w:sz w:val="20"/>
                <w:szCs w:val="20"/>
              </w:rPr>
            </w:pPr>
            <w:r w:rsidRPr="00800799">
              <w:rPr>
                <w:color w:val="000000"/>
                <w:sz w:val="20"/>
                <w:szCs w:val="20"/>
              </w:rPr>
              <w:lastRenderedPageBreak/>
              <w:t xml:space="preserve">Prostředky převedené </w:t>
            </w:r>
            <w:proofErr w:type="gramStart"/>
            <w:r w:rsidRPr="00800799">
              <w:rPr>
                <w:color w:val="000000"/>
                <w:sz w:val="20"/>
                <w:szCs w:val="20"/>
              </w:rPr>
              <w:t>Ministerstvem</w:t>
            </w:r>
            <w:proofErr w:type="gramEnd"/>
            <w:r w:rsidRPr="00800799">
              <w:rPr>
                <w:color w:val="000000"/>
                <w:sz w:val="20"/>
                <w:szCs w:val="20"/>
              </w:rPr>
              <w:t xml:space="preserve"> do finančního nástroje </w:t>
            </w:r>
          </w:p>
        </w:tc>
        <w:tc>
          <w:tcPr>
            <w:tcW w:w="2668" w:type="dxa"/>
          </w:tcPr>
          <w:p w14:paraId="0000026F" w14:textId="77777777" w:rsidR="00054D27" w:rsidRPr="00800799"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200 000 000,00</w:t>
            </w:r>
          </w:p>
        </w:tc>
      </w:tr>
      <w:tr w:rsidR="00054D27" w:rsidRPr="00800799" w14:paraId="3A818F27" w14:textId="77777777" w:rsidTr="00054D27">
        <w:trPr>
          <w:trHeight w:val="510"/>
        </w:trPr>
        <w:tc>
          <w:tcPr>
            <w:cnfStyle w:val="001000000000" w:firstRow="0" w:lastRow="0" w:firstColumn="1" w:lastColumn="0" w:oddVBand="0" w:evenVBand="0" w:oddHBand="0" w:evenHBand="0" w:firstRowFirstColumn="0" w:firstRowLastColumn="0" w:lastRowFirstColumn="0" w:lastRowLastColumn="0"/>
            <w:tcW w:w="6404" w:type="dxa"/>
          </w:tcPr>
          <w:p w14:paraId="00000270" w14:textId="77777777" w:rsidR="00054D27" w:rsidRPr="00800799" w:rsidRDefault="00AF622A">
            <w:pPr>
              <w:rPr>
                <w:rFonts w:ascii="Arial" w:hAnsi="Arial" w:cs="Arial"/>
                <w:color w:val="000000"/>
                <w:sz w:val="20"/>
                <w:szCs w:val="20"/>
              </w:rPr>
            </w:pPr>
            <w:r w:rsidRPr="00800799">
              <w:rPr>
                <w:color w:val="000000"/>
                <w:sz w:val="20"/>
                <w:szCs w:val="20"/>
              </w:rPr>
              <w:t xml:space="preserve"> Výše úroků z vkladu do finančního nástroje</w:t>
            </w:r>
          </w:p>
        </w:tc>
        <w:tc>
          <w:tcPr>
            <w:tcW w:w="2668" w:type="dxa"/>
          </w:tcPr>
          <w:p w14:paraId="00000271" w14:textId="77777777" w:rsidR="00054D27" w:rsidRPr="00800799" w:rsidRDefault="00AF62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107 175,04</w:t>
            </w:r>
          </w:p>
        </w:tc>
      </w:tr>
      <w:tr w:rsidR="00054D27" w:rsidRPr="00800799" w14:paraId="175D8E28" w14:textId="77777777" w:rsidTr="00054D2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404" w:type="dxa"/>
          </w:tcPr>
          <w:p w14:paraId="00000272" w14:textId="77777777" w:rsidR="00054D27" w:rsidRPr="00800799" w:rsidRDefault="00AF622A">
            <w:pPr>
              <w:rPr>
                <w:rFonts w:ascii="Arial" w:hAnsi="Arial" w:cs="Arial"/>
                <w:color w:val="000000"/>
                <w:sz w:val="20"/>
                <w:szCs w:val="20"/>
              </w:rPr>
            </w:pPr>
            <w:r w:rsidRPr="00800799">
              <w:rPr>
                <w:color w:val="000000"/>
                <w:sz w:val="20"/>
                <w:szCs w:val="20"/>
              </w:rPr>
              <w:t>Vyplacené Finanční příspěvky</w:t>
            </w:r>
          </w:p>
        </w:tc>
        <w:tc>
          <w:tcPr>
            <w:tcW w:w="2668" w:type="dxa"/>
          </w:tcPr>
          <w:p w14:paraId="00000273" w14:textId="77777777" w:rsidR="00054D27" w:rsidRPr="00800799"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1 170 000,00</w:t>
            </w:r>
          </w:p>
        </w:tc>
      </w:tr>
      <w:tr w:rsidR="00054D27" w:rsidRPr="00800799" w14:paraId="7B2356D7" w14:textId="77777777" w:rsidTr="00054D27">
        <w:trPr>
          <w:trHeight w:val="330"/>
        </w:trPr>
        <w:tc>
          <w:tcPr>
            <w:cnfStyle w:val="001000000000" w:firstRow="0" w:lastRow="0" w:firstColumn="1" w:lastColumn="0" w:oddVBand="0" w:evenVBand="0" w:oddHBand="0" w:evenHBand="0" w:firstRowFirstColumn="0" w:firstRowLastColumn="0" w:lastRowFirstColumn="0" w:lastRowLastColumn="0"/>
            <w:tcW w:w="6404" w:type="dxa"/>
          </w:tcPr>
          <w:p w14:paraId="00000274" w14:textId="77777777" w:rsidR="00054D27" w:rsidRPr="00800799" w:rsidRDefault="00AF622A">
            <w:pPr>
              <w:rPr>
                <w:rFonts w:ascii="Arial" w:hAnsi="Arial" w:cs="Arial"/>
                <w:color w:val="000000"/>
                <w:sz w:val="20"/>
                <w:szCs w:val="20"/>
              </w:rPr>
            </w:pPr>
            <w:r w:rsidRPr="00800799">
              <w:rPr>
                <w:color w:val="000000"/>
                <w:sz w:val="20"/>
                <w:szCs w:val="20"/>
              </w:rPr>
              <w:t>Vyplacená Základní odměna za správu úvěrů</w:t>
            </w:r>
          </w:p>
        </w:tc>
        <w:tc>
          <w:tcPr>
            <w:tcW w:w="2668" w:type="dxa"/>
          </w:tcPr>
          <w:p w14:paraId="00000275" w14:textId="77777777" w:rsidR="00054D27" w:rsidRPr="00800799" w:rsidRDefault="00AF62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4 927 168,64</w:t>
            </w:r>
          </w:p>
        </w:tc>
      </w:tr>
      <w:tr w:rsidR="00054D27" w:rsidRPr="00800799" w14:paraId="15C76CCB" w14:textId="77777777" w:rsidTr="00054D2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404" w:type="dxa"/>
          </w:tcPr>
          <w:p w14:paraId="00000276" w14:textId="77777777" w:rsidR="00054D27" w:rsidRPr="00800799" w:rsidRDefault="00AF622A">
            <w:pPr>
              <w:rPr>
                <w:rFonts w:ascii="Arial" w:hAnsi="Arial" w:cs="Arial"/>
                <w:color w:val="000000"/>
                <w:sz w:val="20"/>
                <w:szCs w:val="20"/>
              </w:rPr>
            </w:pPr>
            <w:r w:rsidRPr="00800799">
              <w:rPr>
                <w:color w:val="000000"/>
                <w:sz w:val="20"/>
                <w:szCs w:val="20"/>
              </w:rPr>
              <w:t>Vyplacená Výkonnostní odměna za správu úvěrů</w:t>
            </w:r>
          </w:p>
        </w:tc>
        <w:tc>
          <w:tcPr>
            <w:tcW w:w="2668" w:type="dxa"/>
          </w:tcPr>
          <w:p w14:paraId="00000277" w14:textId="77777777" w:rsidR="00054D27" w:rsidRPr="00800799"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815 397,13</w:t>
            </w:r>
          </w:p>
        </w:tc>
      </w:tr>
      <w:tr w:rsidR="00054D27" w:rsidRPr="00800799" w14:paraId="1EA576CC" w14:textId="77777777" w:rsidTr="00054D27">
        <w:trPr>
          <w:trHeight w:val="330"/>
        </w:trPr>
        <w:tc>
          <w:tcPr>
            <w:cnfStyle w:val="001000000000" w:firstRow="0" w:lastRow="0" w:firstColumn="1" w:lastColumn="0" w:oddVBand="0" w:evenVBand="0" w:oddHBand="0" w:evenHBand="0" w:firstRowFirstColumn="0" w:firstRowLastColumn="0" w:lastRowFirstColumn="0" w:lastRowLastColumn="0"/>
            <w:tcW w:w="6404" w:type="dxa"/>
          </w:tcPr>
          <w:p w14:paraId="00000278" w14:textId="77777777" w:rsidR="00054D27" w:rsidRPr="00800799" w:rsidRDefault="00AF622A">
            <w:pPr>
              <w:rPr>
                <w:rFonts w:ascii="Arial" w:hAnsi="Arial" w:cs="Arial"/>
                <w:color w:val="000000"/>
                <w:sz w:val="20"/>
                <w:szCs w:val="20"/>
              </w:rPr>
            </w:pPr>
            <w:r w:rsidRPr="00800799">
              <w:rPr>
                <w:color w:val="000000"/>
                <w:sz w:val="20"/>
                <w:szCs w:val="20"/>
              </w:rPr>
              <w:t>Vyplacená Výkonnostní odměna za správu Finančního příspěvku</w:t>
            </w:r>
          </w:p>
        </w:tc>
        <w:tc>
          <w:tcPr>
            <w:tcW w:w="2668" w:type="dxa"/>
          </w:tcPr>
          <w:p w14:paraId="00000279" w14:textId="77777777" w:rsidR="00054D27" w:rsidRPr="00800799" w:rsidRDefault="00AF62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00799">
              <w:rPr>
                <w:color w:val="000000"/>
                <w:sz w:val="20"/>
                <w:szCs w:val="20"/>
              </w:rPr>
              <w:t>4 870,00</w:t>
            </w:r>
          </w:p>
        </w:tc>
      </w:tr>
      <w:tr w:rsidR="00054D27" w:rsidRPr="00800799" w14:paraId="4CCB3BC9" w14:textId="77777777" w:rsidTr="00054D2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404" w:type="dxa"/>
          </w:tcPr>
          <w:p w14:paraId="0000027A" w14:textId="77777777" w:rsidR="00054D27" w:rsidRPr="00800799" w:rsidRDefault="00AF622A">
            <w:pPr>
              <w:rPr>
                <w:rFonts w:ascii="Arial" w:hAnsi="Arial" w:cs="Arial"/>
                <w:color w:val="000000"/>
                <w:sz w:val="20"/>
                <w:szCs w:val="20"/>
              </w:rPr>
            </w:pPr>
            <w:r w:rsidRPr="00800799">
              <w:rPr>
                <w:color w:val="000000"/>
                <w:sz w:val="20"/>
                <w:szCs w:val="20"/>
              </w:rPr>
              <w:t>Vyplacený Poplatek za správu celkem</w:t>
            </w:r>
          </w:p>
        </w:tc>
        <w:tc>
          <w:tcPr>
            <w:tcW w:w="2668" w:type="dxa"/>
          </w:tcPr>
          <w:p w14:paraId="0000027B" w14:textId="77777777" w:rsidR="00054D27" w:rsidRPr="00800799" w:rsidRDefault="00AF62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00799">
              <w:rPr>
                <w:color w:val="000000"/>
                <w:sz w:val="20"/>
                <w:szCs w:val="20"/>
              </w:rPr>
              <w:t>5 747 435,77</w:t>
            </w:r>
          </w:p>
        </w:tc>
      </w:tr>
    </w:tbl>
    <w:p w14:paraId="0000027C" w14:textId="77777777" w:rsidR="00054D27" w:rsidRPr="00800799" w:rsidRDefault="00054D27"/>
    <w:p w14:paraId="0000027D" w14:textId="77777777" w:rsidR="00054D27" w:rsidRPr="00800799" w:rsidRDefault="00054D27"/>
    <w:p w14:paraId="0000027E" w14:textId="258B8E5B" w:rsidR="00054D27" w:rsidRPr="00800799" w:rsidRDefault="00AF622A">
      <w:pPr>
        <w:pStyle w:val="Nadpis2"/>
        <w:numPr>
          <w:ilvl w:val="0"/>
          <w:numId w:val="13"/>
        </w:numPr>
        <w:rPr>
          <w:b/>
          <w:color w:val="D04A02"/>
          <w:sz w:val="28"/>
          <w:szCs w:val="28"/>
        </w:rPr>
      </w:pPr>
      <w:bookmarkStart w:id="69" w:name="_Toc90364560"/>
      <w:r w:rsidRPr="00800799">
        <w:rPr>
          <w:b/>
          <w:color w:val="D04A02"/>
          <w:sz w:val="28"/>
          <w:szCs w:val="28"/>
        </w:rPr>
        <w:t>Souhrn poznatků z dosavadních vstupů k jednotlivým FN</w:t>
      </w:r>
      <w:bookmarkEnd w:id="69"/>
    </w:p>
    <w:p w14:paraId="0000027F" w14:textId="63B39036" w:rsidR="00054D27" w:rsidRPr="00800799" w:rsidRDefault="00AF622A">
      <w:pPr>
        <w:spacing w:before="240" w:after="240"/>
        <w:jc w:val="both"/>
        <w:rPr>
          <w:sz w:val="20"/>
          <w:szCs w:val="20"/>
        </w:rPr>
      </w:pPr>
      <w:r w:rsidRPr="00800799">
        <w:rPr>
          <w:sz w:val="20"/>
          <w:szCs w:val="20"/>
        </w:rPr>
        <w:t xml:space="preserve">Následující kapitola představuje shrnutí vstupů poskytnutých MPO v souvislosti s přípravou finančních nástrojů OP TAK s komentářem </w:t>
      </w:r>
      <w:proofErr w:type="spellStart"/>
      <w:r w:rsidRPr="00800799">
        <w:rPr>
          <w:sz w:val="20"/>
          <w:szCs w:val="20"/>
        </w:rPr>
        <w:t>PwC</w:t>
      </w:r>
      <w:proofErr w:type="spellEnd"/>
      <w:r w:rsidRPr="00800799">
        <w:rPr>
          <w:sz w:val="20"/>
          <w:szCs w:val="20"/>
        </w:rPr>
        <w:t>, který odkazuje na ověření/revizi stávajících závěrů v dalších fázích provádění předběžného posouzení finančních nástrojů OP TAK.</w:t>
      </w:r>
    </w:p>
    <w:p w14:paraId="7AB05EAD" w14:textId="1064B350" w:rsidR="000C56F0" w:rsidRPr="00800799" w:rsidRDefault="000C56F0">
      <w:pPr>
        <w:spacing w:before="240" w:after="240"/>
        <w:jc w:val="both"/>
        <w:rPr>
          <w:sz w:val="20"/>
          <w:szCs w:val="20"/>
        </w:rPr>
      </w:pPr>
      <w:r w:rsidRPr="00800799">
        <w:rPr>
          <w:sz w:val="20"/>
          <w:szCs w:val="20"/>
        </w:rPr>
        <w:t xml:space="preserve">Každá podkapitola představuje pro zachování autenticity nejprve doslovné shrnutí poznatků převzaté z jednotlivých podkladů, proto se mohou někdy lišit např. používané zkratky od v současnosti používaných (např. ČMZRB místo NRB apod.). Následně je vždy přiřazen aktuální komentář </w:t>
      </w:r>
      <w:proofErr w:type="spellStart"/>
      <w:r w:rsidRPr="00800799">
        <w:rPr>
          <w:sz w:val="20"/>
          <w:szCs w:val="20"/>
        </w:rPr>
        <w:t>PwC</w:t>
      </w:r>
      <w:proofErr w:type="spellEnd"/>
      <w:r w:rsidRPr="00800799">
        <w:rPr>
          <w:sz w:val="20"/>
          <w:szCs w:val="20"/>
        </w:rPr>
        <w:t>. Na počátku každé podkapitoly je uvedeno shrnutí</w:t>
      </w:r>
    </w:p>
    <w:p w14:paraId="00000280" w14:textId="286D391D" w:rsidR="00054D27" w:rsidRPr="00800799" w:rsidRDefault="00AF622A">
      <w:pPr>
        <w:pStyle w:val="Nadpis3"/>
        <w:numPr>
          <w:ilvl w:val="1"/>
          <w:numId w:val="13"/>
        </w:numPr>
        <w:rPr>
          <w:color w:val="D04A02"/>
          <w:sz w:val="24"/>
          <w:szCs w:val="24"/>
        </w:rPr>
      </w:pPr>
      <w:bookmarkStart w:id="70" w:name="_Toc90364561"/>
      <w:r w:rsidRPr="00800799">
        <w:rPr>
          <w:color w:val="D04A02"/>
          <w:sz w:val="24"/>
          <w:szCs w:val="24"/>
        </w:rPr>
        <w:t>Předchozí ex-ante analýza finančních nástrojů programu OP PIK</w:t>
      </w:r>
      <w:r w:rsidR="008C6A4F" w:rsidRPr="00800799">
        <w:rPr>
          <w:color w:val="D04A02"/>
          <w:sz w:val="24"/>
          <w:szCs w:val="24"/>
        </w:rPr>
        <w:t xml:space="preserve"> (2015, aktualizace 2017 a 2019)</w:t>
      </w:r>
      <w:bookmarkEnd w:id="70"/>
    </w:p>
    <w:p w14:paraId="0EE8D62A" w14:textId="77777777" w:rsidR="00800799" w:rsidRDefault="000C56F0" w:rsidP="000C56F0">
      <w:pPr>
        <w:rPr>
          <w:sz w:val="20"/>
          <w:szCs w:val="20"/>
        </w:rPr>
      </w:pPr>
      <w:r w:rsidRPr="00800799">
        <w:rPr>
          <w:sz w:val="20"/>
          <w:szCs w:val="20"/>
        </w:rPr>
        <w:t xml:space="preserve">Závěry předchozí ex ante analýzy </w:t>
      </w:r>
      <w:r w:rsidR="001B238D" w:rsidRPr="00800799">
        <w:rPr>
          <w:sz w:val="20"/>
          <w:szCs w:val="20"/>
        </w:rPr>
        <w:t xml:space="preserve">OPPIK </w:t>
      </w:r>
      <w:r w:rsidRPr="00800799">
        <w:rPr>
          <w:sz w:val="20"/>
          <w:szCs w:val="20"/>
        </w:rPr>
        <w:t>jsou z větší části využitelné jako vstup</w:t>
      </w:r>
      <w:r w:rsidR="0061511A" w:rsidRPr="00800799">
        <w:rPr>
          <w:sz w:val="20"/>
          <w:szCs w:val="20"/>
        </w:rPr>
        <w:t>y</w:t>
      </w:r>
      <w:r w:rsidRPr="00800799">
        <w:rPr>
          <w:sz w:val="20"/>
          <w:szCs w:val="20"/>
        </w:rPr>
        <w:t xml:space="preserve"> pro </w:t>
      </w:r>
      <w:r w:rsidR="0061511A" w:rsidRPr="00800799">
        <w:rPr>
          <w:sz w:val="20"/>
          <w:szCs w:val="20"/>
        </w:rPr>
        <w:t xml:space="preserve">předběžné posouzení finančních nástrojů </w:t>
      </w:r>
      <w:r w:rsidRPr="00800799">
        <w:rPr>
          <w:sz w:val="20"/>
          <w:szCs w:val="20"/>
        </w:rPr>
        <w:t>OP TAK.</w:t>
      </w:r>
      <w:r w:rsidR="001B238D" w:rsidRPr="00800799">
        <w:rPr>
          <w:sz w:val="20"/>
          <w:szCs w:val="20"/>
        </w:rPr>
        <w:t xml:space="preserve"> Zejména se však návrh finančních nástrojů OP TAK bude lišit z hlediska akcentu kombinace finančního nástroje a dotace. Zkušenosti s finančními nástroji Expanze, Rizikový kapitál (fond fondů, IPO fond), Nemovitosti – fond fondů a Úspory energie budou všechny převzaty do návrhové části předběžného posouzení.</w:t>
      </w:r>
    </w:p>
    <w:p w14:paraId="0829A31E" w14:textId="77777777" w:rsidR="00800799" w:rsidRDefault="00800799" w:rsidP="000C56F0">
      <w:pPr>
        <w:rPr>
          <w:sz w:val="20"/>
          <w:szCs w:val="20"/>
        </w:rPr>
      </w:pPr>
    </w:p>
    <w:p w14:paraId="73906DCF" w14:textId="68A1CC13" w:rsidR="000C56F0" w:rsidRDefault="001B238D" w:rsidP="000C56F0">
      <w:pPr>
        <w:rPr>
          <w:strike/>
          <w:sz w:val="20"/>
          <w:szCs w:val="20"/>
        </w:rPr>
      </w:pPr>
      <w:r w:rsidRPr="00800799">
        <w:rPr>
          <w:sz w:val="20"/>
          <w:szCs w:val="20"/>
        </w:rPr>
        <w:t xml:space="preserve"> </w:t>
      </w:r>
      <w:r w:rsidRPr="00EA0A6C">
        <w:rPr>
          <w:strike/>
          <w:sz w:val="20"/>
          <w:szCs w:val="20"/>
        </w:rPr>
        <w:t>Žádný z nich nebude na základě závěrů ze vstupní zprávy projektu navržen k ukončení.</w:t>
      </w:r>
    </w:p>
    <w:p w14:paraId="32987890" w14:textId="5526D5E5" w:rsidR="000C56F0" w:rsidRDefault="000C56F0" w:rsidP="000C56F0"/>
    <w:p w14:paraId="4DE88E94" w14:textId="77777777" w:rsidR="00C77291" w:rsidRPr="00800799" w:rsidRDefault="00C77291" w:rsidP="000C56F0"/>
    <w:tbl>
      <w:tblPr>
        <w:tblStyle w:val="afb"/>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9"/>
      </w:tblGrid>
      <w:tr w:rsidR="00054D27" w:rsidRPr="00800799" w14:paraId="2BC17965"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DBE5F1"/>
          </w:tcPr>
          <w:p w14:paraId="00000281" w14:textId="21E408FB" w:rsidR="00054D27" w:rsidRPr="00800799" w:rsidRDefault="00AF622A">
            <w:pPr>
              <w:spacing w:line="276" w:lineRule="auto"/>
              <w:rPr>
                <w:rFonts w:ascii="Arial" w:eastAsia="Arial" w:hAnsi="Arial" w:cs="Arial"/>
                <w:b/>
                <w:sz w:val="20"/>
                <w:szCs w:val="20"/>
              </w:rPr>
            </w:pPr>
            <w:bookmarkStart w:id="71" w:name="_heading=h.44sinio" w:colFirst="0" w:colLast="0"/>
            <w:bookmarkEnd w:id="71"/>
            <w:r w:rsidRPr="00800799">
              <w:rPr>
                <w:rFonts w:ascii="Arial" w:eastAsia="Arial" w:hAnsi="Arial" w:cs="Arial"/>
                <w:b/>
                <w:sz w:val="20"/>
                <w:szCs w:val="20"/>
              </w:rPr>
              <w:t xml:space="preserve">SC 1.2 </w:t>
            </w:r>
            <w:r w:rsidR="0061511A" w:rsidRPr="00800799">
              <w:rPr>
                <w:rFonts w:ascii="Arial" w:eastAsia="Arial" w:hAnsi="Arial" w:cs="Arial"/>
                <w:b/>
                <w:sz w:val="20"/>
                <w:szCs w:val="20"/>
              </w:rPr>
              <w:t xml:space="preserve">OPPIK </w:t>
            </w:r>
            <w:r w:rsidRPr="00800799">
              <w:rPr>
                <w:rFonts w:ascii="Arial" w:eastAsia="Arial" w:hAnsi="Arial" w:cs="Arial"/>
                <w:b/>
                <w:sz w:val="20"/>
                <w:szCs w:val="20"/>
              </w:rPr>
              <w:t>– Program PROOF-OF-CONCEPT</w:t>
            </w:r>
          </w:p>
        </w:tc>
      </w:tr>
      <w:tr w:rsidR="00054D27" w:rsidRPr="00800799" w14:paraId="385AD655" w14:textId="77777777">
        <w:tc>
          <w:tcPr>
            <w:tcW w:w="2263" w:type="dxa"/>
            <w:tcBorders>
              <w:top w:val="single" w:sz="4" w:space="0" w:color="000000"/>
              <w:left w:val="single" w:sz="4" w:space="0" w:color="000000"/>
              <w:bottom w:val="single" w:sz="4" w:space="0" w:color="000000"/>
              <w:right w:val="single" w:sz="4" w:space="0" w:color="000000"/>
            </w:tcBorders>
          </w:tcPr>
          <w:p w14:paraId="00000283" w14:textId="77777777" w:rsidR="00054D27" w:rsidRPr="00800799" w:rsidRDefault="00AF622A">
            <w:pPr>
              <w:spacing w:line="276" w:lineRule="auto"/>
              <w:rPr>
                <w:rFonts w:ascii="Arial" w:eastAsia="Arial" w:hAnsi="Arial" w:cs="Arial"/>
                <w:sz w:val="20"/>
                <w:szCs w:val="20"/>
              </w:rPr>
            </w:pPr>
            <w:r w:rsidRPr="00800799">
              <w:rPr>
                <w:sz w:val="20"/>
                <w:szCs w:val="20"/>
              </w:rPr>
              <w:t>Aktualizace závěrů předběžného posouzení 2019</w:t>
            </w:r>
          </w:p>
        </w:tc>
        <w:tc>
          <w:tcPr>
            <w:tcW w:w="6799" w:type="dxa"/>
            <w:tcBorders>
              <w:top w:val="single" w:sz="4" w:space="0" w:color="000000"/>
              <w:left w:val="single" w:sz="4" w:space="0" w:color="000000"/>
              <w:bottom w:val="single" w:sz="4" w:space="0" w:color="000000"/>
              <w:right w:val="single" w:sz="4" w:space="0" w:color="000000"/>
            </w:tcBorders>
          </w:tcPr>
          <w:p w14:paraId="00000284" w14:textId="77777777" w:rsidR="00054D27" w:rsidRPr="00800799"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800799">
              <w:rPr>
                <w:color w:val="000000"/>
                <w:sz w:val="20"/>
                <w:szCs w:val="20"/>
              </w:rPr>
              <w:t>FN nebyl vůbec spuštěn, řešení není uskutečnitelné</w:t>
            </w:r>
          </w:p>
          <w:p w14:paraId="00000285" w14:textId="77777777" w:rsidR="00054D27" w:rsidRPr="00800799"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800799">
              <w:rPr>
                <w:color w:val="000000"/>
                <w:sz w:val="20"/>
                <w:szCs w:val="20"/>
              </w:rPr>
              <w:lastRenderedPageBreak/>
              <w:t xml:space="preserve">Trvající potřebu podpory FN může vyřešit implementační uspořádání ve formě fondu fondů s výběrem dedikovaných finančních zprostředkovatelů, případně model </w:t>
            </w:r>
            <w:proofErr w:type="spellStart"/>
            <w:r w:rsidRPr="00800799">
              <w:rPr>
                <w:color w:val="000000"/>
                <w:sz w:val="20"/>
                <w:szCs w:val="20"/>
              </w:rPr>
              <w:t>ko</w:t>
            </w:r>
            <w:proofErr w:type="spellEnd"/>
            <w:r w:rsidRPr="00800799">
              <w:rPr>
                <w:color w:val="000000"/>
                <w:sz w:val="20"/>
                <w:szCs w:val="20"/>
              </w:rPr>
              <w:t>-investiční platformy</w:t>
            </w:r>
          </w:p>
          <w:p w14:paraId="00000286" w14:textId="77777777" w:rsidR="00054D27" w:rsidRPr="00800799"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800799">
              <w:rPr>
                <w:color w:val="000000"/>
                <w:sz w:val="20"/>
                <w:szCs w:val="20"/>
              </w:rPr>
              <w:t>Realizace je doporučována až v příštím programovém období kvůli krátké době pro implementaci a vyššímu riziku</w:t>
            </w:r>
          </w:p>
        </w:tc>
      </w:tr>
    </w:tbl>
    <w:p w14:paraId="00000287" w14:textId="77777777" w:rsidR="00054D27" w:rsidRPr="00800799" w:rsidRDefault="00054D27">
      <w:pPr>
        <w:rPr>
          <w:sz w:val="20"/>
          <w:szCs w:val="20"/>
        </w:rPr>
      </w:pPr>
    </w:p>
    <w:p w14:paraId="00000288"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00000289" w14:textId="7F47081B"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sz w:val="20"/>
          <w:szCs w:val="20"/>
        </w:rPr>
        <w:t xml:space="preserve">Nedávné spuštění fondu </w:t>
      </w:r>
      <w:proofErr w:type="spellStart"/>
      <w:r w:rsidRPr="00800799">
        <w:rPr>
          <w:sz w:val="20"/>
          <w:szCs w:val="20"/>
        </w:rPr>
        <w:t>i&amp;i</w:t>
      </w:r>
      <w:proofErr w:type="spellEnd"/>
      <w:r w:rsidRPr="00800799">
        <w:rPr>
          <w:sz w:val="20"/>
          <w:szCs w:val="20"/>
        </w:rPr>
        <w:t xml:space="preserve"> </w:t>
      </w:r>
      <w:proofErr w:type="spellStart"/>
      <w:r w:rsidRPr="00800799">
        <w:rPr>
          <w:sz w:val="20"/>
          <w:szCs w:val="20"/>
        </w:rPr>
        <w:t>Biotech</w:t>
      </w:r>
      <w:proofErr w:type="spellEnd"/>
      <w:r w:rsidRPr="00800799">
        <w:rPr>
          <w:sz w:val="20"/>
          <w:szCs w:val="20"/>
        </w:rPr>
        <w:t xml:space="preserve"> </w:t>
      </w:r>
      <w:proofErr w:type="spellStart"/>
      <w:r w:rsidRPr="00800799">
        <w:rPr>
          <w:sz w:val="20"/>
          <w:szCs w:val="20"/>
        </w:rPr>
        <w:t>Fund</w:t>
      </w:r>
      <w:proofErr w:type="spellEnd"/>
      <w:r w:rsidRPr="00800799">
        <w:rPr>
          <w:sz w:val="20"/>
          <w:szCs w:val="20"/>
        </w:rPr>
        <w:t xml:space="preserve"> (</w:t>
      </w:r>
      <w:proofErr w:type="spellStart"/>
      <w:r w:rsidRPr="00800799">
        <w:rPr>
          <w:sz w:val="20"/>
          <w:szCs w:val="20"/>
        </w:rPr>
        <w:t>i&amp;i</w:t>
      </w:r>
      <w:proofErr w:type="spellEnd"/>
      <w:r w:rsidRPr="00800799">
        <w:rPr>
          <w:sz w:val="20"/>
          <w:szCs w:val="20"/>
        </w:rPr>
        <w:t xml:space="preserve"> Bio), který se zaměří na investice do akademických spin-</w:t>
      </w:r>
      <w:proofErr w:type="spellStart"/>
      <w:r w:rsidRPr="00800799">
        <w:rPr>
          <w:sz w:val="20"/>
          <w:szCs w:val="20"/>
        </w:rPr>
        <w:t>off</w:t>
      </w:r>
      <w:proofErr w:type="spellEnd"/>
      <w:r w:rsidRPr="00800799">
        <w:rPr>
          <w:sz w:val="20"/>
          <w:szCs w:val="20"/>
        </w:rPr>
        <w:t xml:space="preserve"> společností mj. v oblasti vývoje léčiv, diagnostiky a lékařských přístrojů ukazuje, že vzniká potřeba podpořit vhodným finančním nástrojem též transfer technologií. Nový fond vznikl spoluprací Evropského investičního fondu (EIF) a </w:t>
      </w:r>
      <w:proofErr w:type="spellStart"/>
      <w:r w:rsidRPr="00800799">
        <w:rPr>
          <w:sz w:val="20"/>
          <w:szCs w:val="20"/>
        </w:rPr>
        <w:t>i&amp;i</w:t>
      </w:r>
      <w:proofErr w:type="spellEnd"/>
      <w:r w:rsidRPr="00800799">
        <w:rPr>
          <w:sz w:val="20"/>
          <w:szCs w:val="20"/>
        </w:rPr>
        <w:t xml:space="preserve"> Prague při Ústavu organické chemie a biochemie AV ČR (ÚOCHB). Ke vstupu do fondu se také připravuje Charles University </w:t>
      </w:r>
      <w:proofErr w:type="spellStart"/>
      <w:r w:rsidRPr="00800799">
        <w:rPr>
          <w:sz w:val="20"/>
          <w:szCs w:val="20"/>
        </w:rPr>
        <w:t>Innovation</w:t>
      </w:r>
      <w:proofErr w:type="spellEnd"/>
      <w:r w:rsidRPr="00800799">
        <w:rPr>
          <w:sz w:val="20"/>
          <w:szCs w:val="20"/>
        </w:rPr>
        <w:t xml:space="preserve"> Prague (CUIP), dceřiná společnost Univerzity Karlovy. OP TAK by měl v programu Rizikový kapitál podpořit rozvoj podobných fondů mimo území </w:t>
      </w:r>
      <w:proofErr w:type="spellStart"/>
      <w:r w:rsidRPr="00800799">
        <w:rPr>
          <w:sz w:val="20"/>
          <w:szCs w:val="20"/>
        </w:rPr>
        <w:t>hl.m.Prahy</w:t>
      </w:r>
      <w:proofErr w:type="spellEnd"/>
      <w:r w:rsidRPr="00800799">
        <w:rPr>
          <w:sz w:val="20"/>
          <w:szCs w:val="20"/>
        </w:rPr>
        <w:t>. Diskuse o transferu technologií bude součástí strukturovaného rozhovoru s</w:t>
      </w:r>
      <w:r w:rsidR="008C6A4F" w:rsidRPr="00800799">
        <w:rPr>
          <w:sz w:val="20"/>
          <w:szCs w:val="20"/>
        </w:rPr>
        <w:t> </w:t>
      </w:r>
      <w:r w:rsidRPr="00800799">
        <w:rPr>
          <w:sz w:val="20"/>
          <w:szCs w:val="20"/>
        </w:rPr>
        <w:t>TAČR</w:t>
      </w:r>
      <w:r w:rsidR="008C6A4F" w:rsidRPr="00800799">
        <w:rPr>
          <w:sz w:val="20"/>
          <w:szCs w:val="20"/>
        </w:rPr>
        <w:t>,</w:t>
      </w:r>
      <w:r w:rsidRPr="00800799">
        <w:rPr>
          <w:sz w:val="20"/>
          <w:szCs w:val="20"/>
        </w:rPr>
        <w:t xml:space="preserve"> NR investiční</w:t>
      </w:r>
      <w:r w:rsidR="008C6A4F" w:rsidRPr="00800799">
        <w:rPr>
          <w:sz w:val="20"/>
          <w:szCs w:val="20"/>
        </w:rPr>
        <w:t xml:space="preserve"> a zejména EIF a CVCA</w:t>
      </w:r>
      <w:r w:rsidRPr="00800799">
        <w:rPr>
          <w:sz w:val="20"/>
          <w:szCs w:val="20"/>
        </w:rPr>
        <w:t>.</w:t>
      </w:r>
    </w:p>
    <w:p w14:paraId="0000028A" w14:textId="77777777" w:rsidR="00054D27" w:rsidRPr="00800799" w:rsidRDefault="00054D27">
      <w:pPr>
        <w:rPr>
          <w:sz w:val="20"/>
          <w:szCs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28" w:type="dxa"/>
          <w:bottom w:w="28" w:type="dxa"/>
          <w:right w:w="28" w:type="dxa"/>
        </w:tblCellMar>
        <w:tblLook w:val="00A0" w:firstRow="1" w:lastRow="0" w:firstColumn="1" w:lastColumn="0" w:noHBand="0" w:noVBand="0"/>
      </w:tblPr>
      <w:tblGrid>
        <w:gridCol w:w="2282"/>
        <w:gridCol w:w="6788"/>
      </w:tblGrid>
      <w:tr w:rsidR="00952825" w:rsidRPr="00952825" w14:paraId="6A7BCC90" w14:textId="77777777" w:rsidTr="00EA0A6C">
        <w:tc>
          <w:tcPr>
            <w:tcW w:w="9070" w:type="dxa"/>
            <w:gridSpan w:val="2"/>
            <w:shd w:val="clear" w:color="auto" w:fill="C6D9F1" w:themeFill="text2" w:themeFillTint="33"/>
          </w:tcPr>
          <w:p w14:paraId="6925CECF" w14:textId="77777777" w:rsidR="00952825" w:rsidRPr="00EA0A6C" w:rsidRDefault="00952825" w:rsidP="00EA0A6C">
            <w:pPr>
              <w:spacing w:before="240"/>
              <w:rPr>
                <w:b/>
                <w:sz w:val="20"/>
                <w:szCs w:val="20"/>
              </w:rPr>
            </w:pPr>
            <w:r w:rsidRPr="00EA0A6C">
              <w:rPr>
                <w:b/>
                <w:sz w:val="20"/>
                <w:szCs w:val="20"/>
              </w:rPr>
              <w:t xml:space="preserve">SC 2.1 OP PIK – </w:t>
            </w:r>
            <w:proofErr w:type="gramStart"/>
            <w:r w:rsidRPr="00EA0A6C">
              <w:rPr>
                <w:b/>
                <w:sz w:val="20"/>
                <w:szCs w:val="20"/>
              </w:rPr>
              <w:t>Expanze - úvěry</w:t>
            </w:r>
            <w:proofErr w:type="gramEnd"/>
          </w:p>
        </w:tc>
      </w:tr>
      <w:tr w:rsidR="00952825" w:rsidRPr="00952825" w14:paraId="4ADFF477" w14:textId="77777777" w:rsidTr="00EA0A6C">
        <w:trPr>
          <w:trHeight w:val="2760"/>
        </w:trPr>
        <w:tc>
          <w:tcPr>
            <w:tcW w:w="2282" w:type="dxa"/>
            <w:shd w:val="clear" w:color="auto" w:fill="FFFFFF" w:themeFill="background1"/>
            <w:noWrap/>
          </w:tcPr>
          <w:p w14:paraId="2A63A9B3" w14:textId="502DA257" w:rsidR="00952825" w:rsidRPr="00EA0A6C" w:rsidRDefault="00E73839" w:rsidP="00FA3615">
            <w:pPr>
              <w:rPr>
                <w:b/>
                <w:color w:val="FFFFFF"/>
                <w:sz w:val="20"/>
                <w:szCs w:val="20"/>
              </w:rPr>
            </w:pPr>
            <w:r w:rsidRPr="00312E7F">
              <w:rPr>
                <w:bCs/>
                <w:color w:val="FFFFFF"/>
                <w:sz w:val="20"/>
                <w:szCs w:val="20"/>
              </w:rPr>
              <w:t>Předběžné posouzení finančních nástrojů OP PIK</w:t>
            </w:r>
          </w:p>
        </w:tc>
        <w:tc>
          <w:tcPr>
            <w:tcW w:w="6788" w:type="dxa"/>
            <w:shd w:val="clear" w:color="auto" w:fill="FFFFFF" w:themeFill="background1"/>
            <w:noWrap/>
          </w:tcPr>
          <w:p w14:paraId="1481CF36" w14:textId="77777777" w:rsidR="00952825" w:rsidRPr="00EA0A6C" w:rsidRDefault="00952825" w:rsidP="00EA0A6C">
            <w:pPr>
              <w:pStyle w:val="Odstavecseseznamem"/>
              <w:numPr>
                <w:ilvl w:val="0"/>
                <w:numId w:val="30"/>
              </w:numPr>
              <w:rPr>
                <w:sz w:val="20"/>
                <w:szCs w:val="20"/>
              </w:rPr>
            </w:pPr>
            <w:r w:rsidRPr="00EA0A6C">
              <w:rPr>
                <w:rFonts w:ascii="Arial" w:hAnsi="Arial" w:cs="Arial"/>
                <w:sz w:val="20"/>
                <w:szCs w:val="20"/>
              </w:rPr>
              <w:t>Zvýhodněné úvěry mají za cíl podpořit investice do rozvoje MSP a řešit problém rostoucího diferenciálu mezi sazbami úvěrů pro MSP a velké podniky, který negativně ovlivňuje tržní prostředí a náklady MSP na externí financování dalšího rozvoje.</w:t>
            </w:r>
          </w:p>
          <w:p w14:paraId="52F703B6" w14:textId="77777777" w:rsidR="00952825" w:rsidRPr="00EA0A6C" w:rsidRDefault="00952825" w:rsidP="00EA0A6C">
            <w:pPr>
              <w:pStyle w:val="Odstavecseseznamem"/>
              <w:numPr>
                <w:ilvl w:val="0"/>
                <w:numId w:val="30"/>
              </w:numPr>
              <w:rPr>
                <w:sz w:val="20"/>
                <w:szCs w:val="20"/>
              </w:rPr>
            </w:pPr>
            <w:r w:rsidRPr="00EA0A6C">
              <w:rPr>
                <w:rFonts w:ascii="Arial" w:hAnsi="Arial" w:cs="Arial"/>
                <w:sz w:val="20"/>
                <w:szCs w:val="20"/>
              </w:rPr>
              <w:t xml:space="preserve">Zvýhodněný úvěr je poskytován na max. 80 % způsobilých výdajů projektu, minimálně 750 tis. Kč, maximálně </w:t>
            </w:r>
            <w:smartTag w:uri="urn:schemas-microsoft-com:office:smarttags" w:element="metricconverter">
              <w:smartTagPr>
                <w:attr w:name="ProductID" w:val="100 mil"/>
              </w:smartTagPr>
              <w:r w:rsidRPr="00EA0A6C">
                <w:rPr>
                  <w:rFonts w:ascii="Arial" w:hAnsi="Arial" w:cs="Arial"/>
                  <w:sz w:val="20"/>
                  <w:szCs w:val="20"/>
                </w:rPr>
                <w:t>100 mil</w:t>
              </w:r>
            </w:smartTag>
            <w:r w:rsidRPr="00EA0A6C">
              <w:rPr>
                <w:rFonts w:ascii="Arial" w:hAnsi="Arial" w:cs="Arial"/>
                <w:sz w:val="20"/>
                <w:szCs w:val="20"/>
              </w:rPr>
              <w:t>. Kč. Průměrná výše podpořeného projektu je odhadována na 7-</w:t>
            </w:r>
            <w:smartTag w:uri="urn:schemas-microsoft-com:office:smarttags" w:element="metricconverter">
              <w:smartTagPr>
                <w:attr w:name="ProductID" w:val="9 mil"/>
              </w:smartTagPr>
              <w:r w:rsidRPr="00EA0A6C">
                <w:rPr>
                  <w:rFonts w:ascii="Arial" w:hAnsi="Arial" w:cs="Arial"/>
                  <w:sz w:val="20"/>
                  <w:szCs w:val="20"/>
                </w:rPr>
                <w:t>9 mil</w:t>
              </w:r>
            </w:smartTag>
            <w:r w:rsidRPr="00EA0A6C">
              <w:rPr>
                <w:rFonts w:ascii="Arial" w:hAnsi="Arial" w:cs="Arial"/>
                <w:sz w:val="20"/>
                <w:szCs w:val="20"/>
              </w:rPr>
              <w:t>. Kč.</w:t>
            </w:r>
          </w:p>
          <w:p w14:paraId="4C71F565" w14:textId="695646B0" w:rsidR="00952825" w:rsidRPr="00EA0A6C" w:rsidRDefault="00952825" w:rsidP="00EA0A6C">
            <w:pPr>
              <w:pStyle w:val="Odstavecseseznamem"/>
              <w:numPr>
                <w:ilvl w:val="0"/>
                <w:numId w:val="30"/>
              </w:numPr>
              <w:rPr>
                <w:sz w:val="20"/>
                <w:szCs w:val="20"/>
              </w:rPr>
            </w:pPr>
            <w:r w:rsidRPr="00EA0A6C">
              <w:rPr>
                <w:rFonts w:ascii="Arial" w:hAnsi="Arial" w:cs="Arial"/>
                <w:sz w:val="20"/>
                <w:szCs w:val="20"/>
              </w:rPr>
              <w:t>Zvýhodněný úvěr by měl být poskytován spolu s komerčním úvěrem soukromé úvěrující instituce a spolufinancováním konečného příjemce. Podíl komerčního úvěru je doporučen na úrovni 50-100 % zvýhodněného úvěru.</w:t>
            </w:r>
          </w:p>
        </w:tc>
      </w:tr>
      <w:tr w:rsidR="00952825" w:rsidRPr="00952825" w14:paraId="1704AB5E" w14:textId="77777777" w:rsidTr="00EA0A6C">
        <w:trPr>
          <w:trHeight w:val="347"/>
        </w:trPr>
        <w:tc>
          <w:tcPr>
            <w:tcW w:w="2282" w:type="dxa"/>
            <w:shd w:val="clear" w:color="auto" w:fill="FFFFFF" w:themeFill="background1"/>
            <w:noWrap/>
          </w:tcPr>
          <w:p w14:paraId="4CB5A93A" w14:textId="11661B9C" w:rsidR="00952825" w:rsidRPr="00EA0A6C" w:rsidRDefault="00952825" w:rsidP="00FA3615">
            <w:pPr>
              <w:rPr>
                <w:bCs/>
                <w:color w:val="FFFFFF"/>
                <w:sz w:val="20"/>
                <w:szCs w:val="20"/>
              </w:rPr>
            </w:pPr>
            <w:r w:rsidRPr="00EA0A6C">
              <w:rPr>
                <w:bCs/>
                <w:color w:val="FFFFFF"/>
                <w:sz w:val="20"/>
                <w:szCs w:val="20"/>
              </w:rPr>
              <w:t>Forma podpory</w:t>
            </w:r>
          </w:p>
        </w:tc>
        <w:tc>
          <w:tcPr>
            <w:tcW w:w="6788" w:type="dxa"/>
            <w:shd w:val="clear" w:color="auto" w:fill="FFFFFF" w:themeFill="background1"/>
            <w:noWrap/>
          </w:tcPr>
          <w:p w14:paraId="22AE2264" w14:textId="5A7316FB" w:rsidR="00952825" w:rsidRPr="00EA0A6C" w:rsidRDefault="00952825" w:rsidP="00952825">
            <w:pPr>
              <w:rPr>
                <w:rFonts w:cs="Calibri"/>
                <w:sz w:val="20"/>
                <w:szCs w:val="20"/>
              </w:rPr>
            </w:pPr>
            <w:r w:rsidRPr="00312E7F">
              <w:rPr>
                <w:rFonts w:cs="Calibri"/>
                <w:sz w:val="20"/>
                <w:szCs w:val="20"/>
              </w:rPr>
              <w:t xml:space="preserve">Zvýhodněný úvěr se sníženou úrokovou sazbou a delší dobou splatnosti a delším odkladem splátek jistiny </w:t>
            </w:r>
          </w:p>
          <w:p w14:paraId="702A04BD" w14:textId="0D6A138C" w:rsidR="00952825" w:rsidRPr="00EA0A6C" w:rsidRDefault="00952825" w:rsidP="00952825">
            <w:pPr>
              <w:rPr>
                <w:sz w:val="20"/>
                <w:szCs w:val="20"/>
              </w:rPr>
            </w:pPr>
            <w:r w:rsidRPr="00312E7F">
              <w:rPr>
                <w:rFonts w:cs="Calibri"/>
                <w:sz w:val="20"/>
                <w:szCs w:val="20"/>
              </w:rPr>
              <w:t>Podmíněný příspěvek na úhradu úroků ze souběžně poskytovaného bankovního úvěru</w:t>
            </w:r>
          </w:p>
        </w:tc>
      </w:tr>
      <w:tr w:rsidR="00952825" w:rsidRPr="00952825" w14:paraId="70D75AD0" w14:textId="77777777" w:rsidTr="00EA0A6C">
        <w:tc>
          <w:tcPr>
            <w:tcW w:w="2282" w:type="dxa"/>
            <w:shd w:val="clear" w:color="auto" w:fill="FFFFFF" w:themeFill="background1"/>
            <w:noWrap/>
          </w:tcPr>
          <w:p w14:paraId="78FEA263" w14:textId="288C89DC" w:rsidR="00952825" w:rsidRPr="00EA0A6C" w:rsidRDefault="00952825" w:rsidP="00952825">
            <w:pPr>
              <w:rPr>
                <w:bCs/>
                <w:color w:val="FFFFFF"/>
                <w:sz w:val="20"/>
                <w:szCs w:val="20"/>
              </w:rPr>
            </w:pPr>
            <w:r w:rsidRPr="00EA0A6C">
              <w:rPr>
                <w:bCs/>
                <w:color w:val="FFFFFF"/>
                <w:sz w:val="20"/>
                <w:szCs w:val="20"/>
              </w:rPr>
              <w:t>Definice a kritéria způsobilých projektů</w:t>
            </w:r>
          </w:p>
        </w:tc>
        <w:tc>
          <w:tcPr>
            <w:tcW w:w="6788" w:type="dxa"/>
            <w:shd w:val="clear" w:color="auto" w:fill="FFFFFF" w:themeFill="background1"/>
            <w:noWrap/>
          </w:tcPr>
          <w:p w14:paraId="3291945D" w14:textId="77777777" w:rsidR="00952825" w:rsidRPr="00312E7F" w:rsidRDefault="00952825" w:rsidP="00952825">
            <w:pPr>
              <w:rPr>
                <w:sz w:val="20"/>
                <w:szCs w:val="20"/>
              </w:rPr>
            </w:pPr>
            <w:r w:rsidRPr="00312E7F">
              <w:rPr>
                <w:sz w:val="20"/>
                <w:szCs w:val="20"/>
              </w:rPr>
              <w:t>Podpora je určena pro financování investičních záměrů rozvoje MSP. Primárně je podpora určena pro investice do technologie, do dlouhodobého hmotného a nehmotného majetku.</w:t>
            </w:r>
          </w:p>
          <w:p w14:paraId="5BA8ABE5" w14:textId="77777777" w:rsidR="00952825" w:rsidRPr="00952825" w:rsidRDefault="00952825" w:rsidP="00952825">
            <w:pPr>
              <w:rPr>
                <w:sz w:val="20"/>
                <w:szCs w:val="20"/>
              </w:rPr>
            </w:pPr>
          </w:p>
        </w:tc>
      </w:tr>
    </w:tbl>
    <w:p w14:paraId="6EB9C9C1" w14:textId="77777777" w:rsidR="00952825" w:rsidRPr="00952825" w:rsidRDefault="00952825" w:rsidP="00952825">
      <w:pPr>
        <w:rPr>
          <w:strike/>
          <w:sz w:val="20"/>
          <w:szCs w:val="20"/>
        </w:rPr>
      </w:pPr>
    </w:p>
    <w:p w14:paraId="687DDD9B" w14:textId="77777777" w:rsidR="00952825" w:rsidRPr="00952825" w:rsidRDefault="00952825" w:rsidP="00952825">
      <w:pPr>
        <w:rPr>
          <w:strike/>
          <w:sz w:val="20"/>
          <w:szCs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28" w:type="dxa"/>
          <w:bottom w:w="28" w:type="dxa"/>
          <w:right w:w="28" w:type="dxa"/>
        </w:tblCellMar>
        <w:tblLook w:val="00A0" w:firstRow="1" w:lastRow="0" w:firstColumn="1" w:lastColumn="0" w:noHBand="0" w:noVBand="0"/>
      </w:tblPr>
      <w:tblGrid>
        <w:gridCol w:w="2282"/>
        <w:gridCol w:w="6788"/>
      </w:tblGrid>
      <w:tr w:rsidR="00952825" w:rsidRPr="00952825" w14:paraId="31F8093A" w14:textId="77777777" w:rsidTr="00EA0A6C">
        <w:tc>
          <w:tcPr>
            <w:tcW w:w="9070" w:type="dxa"/>
            <w:gridSpan w:val="2"/>
            <w:shd w:val="clear" w:color="auto" w:fill="C6D9F1" w:themeFill="text2" w:themeFillTint="33"/>
          </w:tcPr>
          <w:p w14:paraId="3FAB841C" w14:textId="77777777" w:rsidR="00952825" w:rsidRPr="00EA0A6C" w:rsidRDefault="00952825" w:rsidP="00FA3615">
            <w:pPr>
              <w:ind w:left="38"/>
              <w:rPr>
                <w:b/>
                <w:sz w:val="20"/>
                <w:szCs w:val="20"/>
              </w:rPr>
            </w:pPr>
            <w:r w:rsidRPr="00EA0A6C">
              <w:rPr>
                <w:b/>
                <w:sz w:val="20"/>
                <w:szCs w:val="20"/>
              </w:rPr>
              <w:t xml:space="preserve">SC 2.1 OP PIK – </w:t>
            </w:r>
            <w:proofErr w:type="gramStart"/>
            <w:r w:rsidRPr="00EA0A6C">
              <w:rPr>
                <w:b/>
                <w:sz w:val="20"/>
                <w:szCs w:val="20"/>
              </w:rPr>
              <w:t>Expanze - záruky</w:t>
            </w:r>
            <w:proofErr w:type="gramEnd"/>
          </w:p>
        </w:tc>
      </w:tr>
      <w:tr w:rsidR="00952825" w:rsidRPr="00952825" w14:paraId="4C2B1C99" w14:textId="77777777" w:rsidTr="00EA0A6C">
        <w:trPr>
          <w:trHeight w:val="1754"/>
        </w:trPr>
        <w:tc>
          <w:tcPr>
            <w:tcW w:w="2282" w:type="dxa"/>
            <w:shd w:val="clear" w:color="auto" w:fill="auto"/>
            <w:noWrap/>
          </w:tcPr>
          <w:p w14:paraId="1386D4DC" w14:textId="6FAD0EE2" w:rsidR="00952825" w:rsidRPr="00EA0A6C" w:rsidRDefault="00952825" w:rsidP="00FA3615">
            <w:pPr>
              <w:rPr>
                <w:bCs/>
                <w:color w:val="FFFFFF"/>
                <w:sz w:val="20"/>
                <w:szCs w:val="20"/>
              </w:rPr>
            </w:pPr>
            <w:r w:rsidRPr="00EA0A6C">
              <w:rPr>
                <w:bCs/>
                <w:color w:val="FFFFFF"/>
                <w:sz w:val="20"/>
                <w:szCs w:val="20"/>
              </w:rPr>
              <w:t>Předběžné posouzení finančních nástrojů OP PIK</w:t>
            </w:r>
          </w:p>
        </w:tc>
        <w:tc>
          <w:tcPr>
            <w:tcW w:w="6788" w:type="dxa"/>
            <w:shd w:val="clear" w:color="auto" w:fill="auto"/>
            <w:noWrap/>
          </w:tcPr>
          <w:p w14:paraId="34A43A3D" w14:textId="77777777" w:rsidR="00952825" w:rsidRPr="00EA0A6C" w:rsidRDefault="00952825" w:rsidP="00EA0A6C">
            <w:pPr>
              <w:pStyle w:val="Odstavecseseznamem"/>
              <w:numPr>
                <w:ilvl w:val="0"/>
                <w:numId w:val="29"/>
              </w:numPr>
              <w:rPr>
                <w:sz w:val="20"/>
                <w:szCs w:val="20"/>
              </w:rPr>
            </w:pPr>
            <w:r w:rsidRPr="00EA0A6C">
              <w:rPr>
                <w:rFonts w:ascii="Arial" w:hAnsi="Arial" w:cs="Arial"/>
                <w:sz w:val="20"/>
                <w:szCs w:val="20"/>
              </w:rPr>
              <w:t>Záruky za bankovní úvěry mají za cíl podpořit investice do rozvoje MSP a řešit tržní selhání v oblasti přístupu k financování rizikovějších MSP bez odpovídajícího zajištění.</w:t>
            </w:r>
          </w:p>
          <w:p w14:paraId="36A0A6C8" w14:textId="15492D1B" w:rsidR="00952825" w:rsidRPr="00EA0A6C" w:rsidRDefault="00952825" w:rsidP="00EA0A6C">
            <w:pPr>
              <w:pStyle w:val="Odstavecseseznamem"/>
              <w:numPr>
                <w:ilvl w:val="0"/>
                <w:numId w:val="29"/>
              </w:numPr>
              <w:rPr>
                <w:sz w:val="20"/>
                <w:szCs w:val="20"/>
              </w:rPr>
            </w:pPr>
            <w:r w:rsidRPr="00EA0A6C">
              <w:rPr>
                <w:rFonts w:ascii="Arial" w:hAnsi="Arial" w:cs="Arial"/>
                <w:sz w:val="20"/>
                <w:szCs w:val="20"/>
              </w:rPr>
              <w:t xml:space="preserve">Záruky budou poskytovány až do výše 80 % jistiny úvěru, maximálně však </w:t>
            </w:r>
            <w:smartTag w:uri="urn:schemas-microsoft-com:office:smarttags" w:element="metricconverter">
              <w:smartTagPr>
                <w:attr w:name="ProductID" w:val="100 mil"/>
              </w:smartTagPr>
              <w:r w:rsidRPr="00EA0A6C">
                <w:rPr>
                  <w:rFonts w:ascii="Arial" w:hAnsi="Arial" w:cs="Arial"/>
                  <w:sz w:val="20"/>
                  <w:szCs w:val="20"/>
                </w:rPr>
                <w:t>100 mil</w:t>
              </w:r>
            </w:smartTag>
            <w:r w:rsidRPr="00EA0A6C">
              <w:rPr>
                <w:rFonts w:ascii="Arial" w:hAnsi="Arial" w:cs="Arial"/>
                <w:sz w:val="20"/>
                <w:szCs w:val="20"/>
              </w:rPr>
              <w:t>. Kč. Odhadovaná průměrná výše zaručeného úvěru je 6-</w:t>
            </w:r>
            <w:smartTag w:uri="urn:schemas-microsoft-com:office:smarttags" w:element="metricconverter">
              <w:smartTagPr>
                <w:attr w:name="ProductID" w:val="8 mil"/>
              </w:smartTagPr>
              <w:r w:rsidRPr="00EA0A6C">
                <w:rPr>
                  <w:rFonts w:ascii="Arial" w:hAnsi="Arial" w:cs="Arial"/>
                  <w:sz w:val="20"/>
                  <w:szCs w:val="20"/>
                </w:rPr>
                <w:t>8 mil</w:t>
              </w:r>
            </w:smartTag>
            <w:r w:rsidRPr="00EA0A6C">
              <w:rPr>
                <w:rFonts w:ascii="Arial" w:hAnsi="Arial" w:cs="Arial"/>
                <w:sz w:val="20"/>
                <w:szCs w:val="20"/>
              </w:rPr>
              <w:t>. Kč (v případě individuálních záruk až čtyřikrát více)</w:t>
            </w:r>
          </w:p>
        </w:tc>
      </w:tr>
      <w:tr w:rsidR="00952825" w:rsidRPr="00952825" w14:paraId="7FE0F5B3" w14:textId="77777777" w:rsidTr="00EA0A6C">
        <w:trPr>
          <w:trHeight w:val="22"/>
        </w:trPr>
        <w:tc>
          <w:tcPr>
            <w:tcW w:w="2282" w:type="dxa"/>
            <w:shd w:val="clear" w:color="auto" w:fill="auto"/>
            <w:noWrap/>
          </w:tcPr>
          <w:p w14:paraId="29FAA424" w14:textId="3B8D5B65" w:rsidR="00952825" w:rsidRPr="00EA0A6C" w:rsidRDefault="00952825" w:rsidP="00FA3615">
            <w:pPr>
              <w:rPr>
                <w:bCs/>
                <w:color w:val="FFFFFF"/>
                <w:sz w:val="20"/>
                <w:szCs w:val="20"/>
              </w:rPr>
            </w:pPr>
            <w:r w:rsidRPr="00EA0A6C">
              <w:rPr>
                <w:bCs/>
                <w:color w:val="FFFFFF"/>
                <w:sz w:val="20"/>
                <w:szCs w:val="20"/>
              </w:rPr>
              <w:lastRenderedPageBreak/>
              <w:t>Forma podpory</w:t>
            </w:r>
          </w:p>
        </w:tc>
        <w:tc>
          <w:tcPr>
            <w:tcW w:w="6788" w:type="dxa"/>
            <w:shd w:val="clear" w:color="auto" w:fill="auto"/>
            <w:noWrap/>
          </w:tcPr>
          <w:p w14:paraId="139BB5EB" w14:textId="242BDC97" w:rsidR="00952825" w:rsidRPr="00952825" w:rsidRDefault="00952825" w:rsidP="00952825">
            <w:pPr>
              <w:rPr>
                <w:sz w:val="20"/>
                <w:szCs w:val="20"/>
              </w:rPr>
            </w:pPr>
            <w:r w:rsidRPr="00952825">
              <w:rPr>
                <w:sz w:val="20"/>
                <w:szCs w:val="20"/>
              </w:rPr>
              <w:t>Finanční nástroj bude poskytovat podporu formou záruky úvěrové instituci za konkrétní úvěr na podporovaný účel. Distributorem úvěrů konečným příjemcům bude úvěrující instituce.</w:t>
            </w:r>
          </w:p>
          <w:p w14:paraId="0F77BED7" w14:textId="2467AA57" w:rsidR="00952825" w:rsidRPr="00EA0A6C" w:rsidRDefault="00952825" w:rsidP="00952825">
            <w:pPr>
              <w:rPr>
                <w:sz w:val="20"/>
                <w:szCs w:val="20"/>
              </w:rPr>
            </w:pPr>
            <w:r w:rsidRPr="00952825">
              <w:rPr>
                <w:sz w:val="20"/>
                <w:szCs w:val="20"/>
              </w:rPr>
              <w:t>Podmíněný příspěvek na úhradu úroků</w:t>
            </w:r>
          </w:p>
        </w:tc>
      </w:tr>
      <w:tr w:rsidR="00952825" w:rsidRPr="00952825" w14:paraId="77B2802F" w14:textId="77777777" w:rsidTr="00EA0A6C">
        <w:trPr>
          <w:trHeight w:val="22"/>
        </w:trPr>
        <w:tc>
          <w:tcPr>
            <w:tcW w:w="2282" w:type="dxa"/>
            <w:shd w:val="clear" w:color="auto" w:fill="auto"/>
            <w:noWrap/>
          </w:tcPr>
          <w:p w14:paraId="4E00394B" w14:textId="003A03E6" w:rsidR="00952825" w:rsidRPr="00952825" w:rsidRDefault="00952825" w:rsidP="00952825">
            <w:pPr>
              <w:rPr>
                <w:bCs/>
                <w:color w:val="FFFFFF"/>
                <w:sz w:val="20"/>
                <w:szCs w:val="20"/>
              </w:rPr>
            </w:pPr>
            <w:r w:rsidRPr="00312E7F">
              <w:rPr>
                <w:sz w:val="20"/>
                <w:szCs w:val="20"/>
              </w:rPr>
              <w:t>Definice a kritéria způsobilých projektů</w:t>
            </w:r>
          </w:p>
        </w:tc>
        <w:tc>
          <w:tcPr>
            <w:tcW w:w="6788" w:type="dxa"/>
            <w:shd w:val="clear" w:color="auto" w:fill="auto"/>
            <w:noWrap/>
          </w:tcPr>
          <w:p w14:paraId="1AC6404B" w14:textId="77777777" w:rsidR="00952825" w:rsidRPr="00EA0A6C" w:rsidRDefault="00952825" w:rsidP="00EA0A6C">
            <w:pPr>
              <w:rPr>
                <w:sz w:val="20"/>
                <w:szCs w:val="20"/>
              </w:rPr>
            </w:pPr>
            <w:r w:rsidRPr="00EA0A6C">
              <w:rPr>
                <w:sz w:val="20"/>
                <w:szCs w:val="20"/>
              </w:rPr>
              <w:t xml:space="preserve">Podpora je určena pro financování investičních záměrů rozvoje MSP. Primárně je podpora určena pro investice do technologie, dlouhodobého nehmotného majetku eventuálně do nemovitého majetku. </w:t>
            </w:r>
          </w:p>
          <w:p w14:paraId="79A2DAD8" w14:textId="77777777" w:rsidR="00952825" w:rsidRPr="00952825" w:rsidRDefault="00952825" w:rsidP="00952825">
            <w:pPr>
              <w:rPr>
                <w:sz w:val="20"/>
                <w:szCs w:val="20"/>
              </w:rPr>
            </w:pPr>
          </w:p>
        </w:tc>
      </w:tr>
    </w:tbl>
    <w:p w14:paraId="0000028B" w14:textId="2899609D" w:rsidR="00054D27" w:rsidRDefault="00054D27">
      <w:pPr>
        <w:rPr>
          <w:sz w:val="20"/>
          <w:szCs w:val="20"/>
        </w:rPr>
      </w:pPr>
    </w:p>
    <w:p w14:paraId="1A14217F" w14:textId="77777777" w:rsidR="00952825" w:rsidRPr="00EA0A6C" w:rsidRDefault="00952825" w:rsidP="00952825">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EA0A6C">
        <w:rPr>
          <w:b/>
          <w:sz w:val="20"/>
          <w:szCs w:val="20"/>
        </w:rPr>
        <w:t xml:space="preserve">Komentář </w:t>
      </w:r>
      <w:proofErr w:type="spellStart"/>
      <w:r w:rsidRPr="00EA0A6C">
        <w:rPr>
          <w:b/>
          <w:sz w:val="20"/>
          <w:szCs w:val="20"/>
        </w:rPr>
        <w:t>PwC</w:t>
      </w:r>
      <w:proofErr w:type="spellEnd"/>
      <w:r w:rsidRPr="00EA0A6C">
        <w:rPr>
          <w:sz w:val="20"/>
          <w:szCs w:val="20"/>
        </w:rPr>
        <w:t>:</w:t>
      </w:r>
    </w:p>
    <w:p w14:paraId="1155D371" w14:textId="3B7DD348" w:rsidR="00952825" w:rsidRPr="00EA0A6C" w:rsidRDefault="00952825" w:rsidP="00952825">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EA0A6C">
        <w:rPr>
          <w:sz w:val="20"/>
          <w:szCs w:val="20"/>
        </w:rPr>
        <w:t xml:space="preserve">Program Expanze představuje v současnosti vlajkovou loď finančních nástrojů OP PIK. </w:t>
      </w:r>
      <w:r w:rsidR="00E73839" w:rsidRPr="00EA0A6C">
        <w:rPr>
          <w:sz w:val="20"/>
          <w:szCs w:val="20"/>
        </w:rPr>
        <w:t>Původní alokace programu byla překonána a program je v současnosti i po několika navýšeních alokace prakticky vyčerpán. Program Expanze zároveň sehrál důležitou roli v rámci podpory MSP v době pandemie v roce 2020.</w:t>
      </w:r>
    </w:p>
    <w:p w14:paraId="30849037" w14:textId="77777777" w:rsidR="00E73839" w:rsidRPr="00EA0A6C" w:rsidRDefault="00E73839" w:rsidP="00952825">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EA0A6C">
        <w:rPr>
          <w:sz w:val="20"/>
          <w:szCs w:val="20"/>
        </w:rPr>
        <w:t>V návrhové části předběžného posouzení finančních nástrojů OP TAK se budeme věnovat zejména</w:t>
      </w:r>
    </w:p>
    <w:p w14:paraId="48B09DF3" w14:textId="4DE40EFA" w:rsidR="00E73839" w:rsidRPr="00EA0A6C" w:rsidRDefault="00E73839" w:rsidP="00E73839">
      <w:pPr>
        <w:pStyle w:val="Odstavecseseznamem"/>
        <w:numPr>
          <w:ilvl w:val="0"/>
          <w:numId w:val="31"/>
        </w:numPr>
        <w:pBdr>
          <w:top w:val="single" w:sz="4" w:space="1" w:color="000000"/>
          <w:left w:val="single" w:sz="4" w:space="4" w:color="000000"/>
          <w:bottom w:val="single" w:sz="4" w:space="1" w:color="000000"/>
          <w:right w:val="single" w:sz="4" w:space="4" w:color="000000"/>
        </w:pBdr>
        <w:shd w:val="clear" w:color="auto" w:fill="E5B9B7"/>
        <w:ind w:hanging="720"/>
        <w:jc w:val="both"/>
        <w:rPr>
          <w:rFonts w:ascii="Arial" w:hAnsi="Arial" w:cs="Arial"/>
          <w:sz w:val="20"/>
          <w:szCs w:val="20"/>
        </w:rPr>
      </w:pPr>
      <w:r w:rsidRPr="00EA0A6C">
        <w:rPr>
          <w:rFonts w:ascii="Arial" w:hAnsi="Arial" w:cs="Arial"/>
          <w:sz w:val="20"/>
          <w:szCs w:val="20"/>
        </w:rPr>
        <w:t>relevanci pokračování úvěrové větve programu Expanze zaměřeného obecně na přístup MSP k v době po skončení ekonomického propadu způsobeného pandemií COVID-19 a navíc s ohledem na očekávanou relativně nižší alokaci programu Expanze v OP TAK;</w:t>
      </w:r>
    </w:p>
    <w:p w14:paraId="411F6A42" w14:textId="4CD60B81" w:rsidR="00E73839" w:rsidRPr="00EA0A6C" w:rsidRDefault="00E73839" w:rsidP="00E73839">
      <w:pPr>
        <w:pStyle w:val="Odstavecseseznamem"/>
        <w:numPr>
          <w:ilvl w:val="0"/>
          <w:numId w:val="31"/>
        </w:numPr>
        <w:pBdr>
          <w:top w:val="single" w:sz="4" w:space="1" w:color="000000"/>
          <w:left w:val="single" w:sz="4" w:space="4" w:color="000000"/>
          <w:bottom w:val="single" w:sz="4" w:space="1" w:color="000000"/>
          <w:right w:val="single" w:sz="4" w:space="4" w:color="000000"/>
        </w:pBdr>
        <w:shd w:val="clear" w:color="auto" w:fill="E5B9B7"/>
        <w:ind w:hanging="720"/>
        <w:jc w:val="both"/>
        <w:rPr>
          <w:rFonts w:ascii="Arial" w:hAnsi="Arial" w:cs="Arial"/>
          <w:sz w:val="20"/>
          <w:szCs w:val="20"/>
        </w:rPr>
      </w:pPr>
      <w:r w:rsidRPr="00EA0A6C">
        <w:rPr>
          <w:rFonts w:ascii="Arial" w:hAnsi="Arial" w:cs="Arial"/>
          <w:sz w:val="20"/>
          <w:szCs w:val="20"/>
        </w:rPr>
        <w:t>implementační schéma záruční větve programu Expanze – zda bude doporučeno stávající uspořádání spočívající ve vydávání tzv. M-záruk</w:t>
      </w:r>
      <w:r w:rsidR="003F3DD2" w:rsidRPr="00EA0A6C">
        <w:rPr>
          <w:rFonts w:ascii="Arial" w:hAnsi="Arial" w:cs="Arial"/>
          <w:sz w:val="20"/>
          <w:szCs w:val="20"/>
        </w:rPr>
        <w:t>, které jsou vystavovány pro každý projekt individuálně, nebo zda bude doporučena portfoliová záruka využívající zkušeností z programu COVID III;</w:t>
      </w:r>
    </w:p>
    <w:p w14:paraId="3A0581D4" w14:textId="4A8430D9" w:rsidR="00E73839" w:rsidRPr="00EA0A6C" w:rsidRDefault="00E73839" w:rsidP="00EA0A6C">
      <w:pPr>
        <w:pStyle w:val="Odstavecseseznamem"/>
        <w:numPr>
          <w:ilvl w:val="0"/>
          <w:numId w:val="31"/>
        </w:numPr>
        <w:pBdr>
          <w:top w:val="single" w:sz="4" w:space="1" w:color="000000"/>
          <w:left w:val="single" w:sz="4" w:space="4" w:color="000000"/>
          <w:bottom w:val="single" w:sz="4" w:space="1" w:color="000000"/>
          <w:right w:val="single" w:sz="4" w:space="4" w:color="000000"/>
        </w:pBdr>
        <w:shd w:val="clear" w:color="auto" w:fill="E5B9B7"/>
        <w:ind w:hanging="720"/>
        <w:jc w:val="both"/>
        <w:rPr>
          <w:sz w:val="20"/>
          <w:szCs w:val="20"/>
        </w:rPr>
      </w:pPr>
      <w:r w:rsidRPr="00EA0A6C">
        <w:rPr>
          <w:rFonts w:ascii="Arial" w:hAnsi="Arial" w:cs="Arial"/>
          <w:sz w:val="20"/>
          <w:szCs w:val="20"/>
        </w:rPr>
        <w:t>na rozdíl od ostatních finančních nástrojů v případě Expanze v návrhové části nepředpokládáme kombinaci finančního nástroje s dotací, neboť alokace programu byla několikrát navýšena a vyčerpána v OP PIK i bez dotační složky</w:t>
      </w:r>
      <w:r w:rsidR="003F3DD2" w:rsidRPr="00EA0A6C">
        <w:rPr>
          <w:rFonts w:ascii="Arial" w:hAnsi="Arial" w:cs="Arial"/>
          <w:sz w:val="20"/>
          <w:szCs w:val="20"/>
        </w:rPr>
        <w:t>.</w:t>
      </w:r>
    </w:p>
    <w:p w14:paraId="3860C173" w14:textId="23FE65F2" w:rsidR="00E73839" w:rsidRPr="00312E7F" w:rsidRDefault="00E73839" w:rsidP="00952825">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EA0A6C">
        <w:rPr>
          <w:sz w:val="20"/>
          <w:szCs w:val="20"/>
        </w:rPr>
        <w:t>Program Expanze bude podroben bližší analýze v rámci strukturovaných rozhovorů zejména s NRB, ČBA, ČLFA a Svazem průmyslu.</w:t>
      </w:r>
    </w:p>
    <w:p w14:paraId="1F1C41C7" w14:textId="0E2EB5D0" w:rsidR="00952825" w:rsidRDefault="00952825">
      <w:pPr>
        <w:rPr>
          <w:sz w:val="20"/>
          <w:szCs w:val="20"/>
        </w:rPr>
      </w:pPr>
    </w:p>
    <w:p w14:paraId="3101AC07" w14:textId="28315C9D" w:rsidR="00EA0A6C" w:rsidRDefault="00EA0A6C">
      <w:pPr>
        <w:rPr>
          <w:sz w:val="20"/>
          <w:szCs w:val="20"/>
        </w:rPr>
      </w:pPr>
    </w:p>
    <w:p w14:paraId="08BAC53C" w14:textId="002D4C3E" w:rsidR="00EA0A6C" w:rsidRDefault="00EA0A6C">
      <w:pPr>
        <w:rPr>
          <w:sz w:val="20"/>
          <w:szCs w:val="20"/>
        </w:rPr>
      </w:pPr>
    </w:p>
    <w:p w14:paraId="64D297E6" w14:textId="7E1A474A" w:rsidR="00EA0A6C" w:rsidRDefault="00EA0A6C">
      <w:pPr>
        <w:rPr>
          <w:sz w:val="20"/>
          <w:szCs w:val="20"/>
        </w:rPr>
      </w:pPr>
    </w:p>
    <w:p w14:paraId="512DF052" w14:textId="6A695F2A" w:rsidR="00EA0A6C" w:rsidRDefault="00EA0A6C">
      <w:pPr>
        <w:rPr>
          <w:sz w:val="20"/>
          <w:szCs w:val="20"/>
        </w:rPr>
      </w:pPr>
    </w:p>
    <w:p w14:paraId="6774C53E" w14:textId="05BFC673" w:rsidR="00EA0A6C" w:rsidRDefault="00EA0A6C">
      <w:pPr>
        <w:rPr>
          <w:sz w:val="20"/>
          <w:szCs w:val="20"/>
        </w:rPr>
      </w:pPr>
    </w:p>
    <w:p w14:paraId="292CE4F9" w14:textId="3A58EAF7" w:rsidR="00EA0A6C" w:rsidRDefault="00EA0A6C">
      <w:pPr>
        <w:rPr>
          <w:sz w:val="20"/>
          <w:szCs w:val="20"/>
        </w:rPr>
      </w:pPr>
    </w:p>
    <w:p w14:paraId="003ADCA7" w14:textId="6D2F9AC1" w:rsidR="00EA0A6C" w:rsidRDefault="00EA0A6C">
      <w:pPr>
        <w:rPr>
          <w:sz w:val="20"/>
          <w:szCs w:val="20"/>
        </w:rPr>
      </w:pPr>
    </w:p>
    <w:p w14:paraId="5650BEC5" w14:textId="72B37FED" w:rsidR="00EA0A6C" w:rsidRDefault="00EA0A6C">
      <w:pPr>
        <w:rPr>
          <w:sz w:val="20"/>
          <w:szCs w:val="20"/>
        </w:rPr>
      </w:pPr>
    </w:p>
    <w:p w14:paraId="6B3FAAAB" w14:textId="048360D4" w:rsidR="00EA0A6C" w:rsidRDefault="00EA0A6C">
      <w:pPr>
        <w:rPr>
          <w:sz w:val="20"/>
          <w:szCs w:val="20"/>
        </w:rPr>
      </w:pPr>
    </w:p>
    <w:p w14:paraId="3F265E7C" w14:textId="3E03A11A" w:rsidR="00EA0A6C" w:rsidRDefault="00EA0A6C">
      <w:pPr>
        <w:rPr>
          <w:sz w:val="20"/>
          <w:szCs w:val="20"/>
        </w:rPr>
      </w:pPr>
    </w:p>
    <w:p w14:paraId="2C48250F" w14:textId="66C27648" w:rsidR="00EA0A6C" w:rsidRDefault="00EA0A6C">
      <w:pPr>
        <w:rPr>
          <w:sz w:val="20"/>
          <w:szCs w:val="20"/>
        </w:rPr>
      </w:pPr>
    </w:p>
    <w:p w14:paraId="4D408D16" w14:textId="4071522B" w:rsidR="00EA0A6C" w:rsidRDefault="00EA0A6C">
      <w:pPr>
        <w:rPr>
          <w:sz w:val="20"/>
          <w:szCs w:val="20"/>
        </w:rPr>
      </w:pPr>
    </w:p>
    <w:p w14:paraId="566A18E8" w14:textId="3F4A5B97" w:rsidR="00EA0A6C" w:rsidRDefault="00EA0A6C">
      <w:pPr>
        <w:rPr>
          <w:sz w:val="20"/>
          <w:szCs w:val="20"/>
        </w:rPr>
      </w:pPr>
    </w:p>
    <w:p w14:paraId="22A88B7F" w14:textId="36FC403C" w:rsidR="00EA0A6C" w:rsidRDefault="00EA0A6C">
      <w:pPr>
        <w:rPr>
          <w:sz w:val="20"/>
          <w:szCs w:val="20"/>
        </w:rPr>
      </w:pPr>
    </w:p>
    <w:p w14:paraId="06390103" w14:textId="53E880F1" w:rsidR="00EA0A6C" w:rsidRDefault="00EA0A6C">
      <w:pPr>
        <w:rPr>
          <w:sz w:val="20"/>
          <w:szCs w:val="20"/>
        </w:rPr>
      </w:pPr>
    </w:p>
    <w:p w14:paraId="19A787E0" w14:textId="4B146C8C" w:rsidR="00EA0A6C" w:rsidRDefault="00EA0A6C">
      <w:pPr>
        <w:rPr>
          <w:sz w:val="20"/>
          <w:szCs w:val="20"/>
        </w:rPr>
      </w:pPr>
    </w:p>
    <w:p w14:paraId="69951E55" w14:textId="18B99D2A" w:rsidR="00EA0A6C" w:rsidRDefault="00EA0A6C">
      <w:pPr>
        <w:rPr>
          <w:sz w:val="20"/>
          <w:szCs w:val="20"/>
        </w:rPr>
      </w:pPr>
    </w:p>
    <w:p w14:paraId="23CF1885" w14:textId="77777777" w:rsidR="00EA0A6C" w:rsidRPr="00C77291" w:rsidRDefault="00EA0A6C">
      <w:pPr>
        <w:rPr>
          <w:sz w:val="20"/>
          <w:szCs w:val="20"/>
        </w:rPr>
      </w:pPr>
    </w:p>
    <w:p w14:paraId="0000028C" w14:textId="77777777" w:rsidR="00054D27" w:rsidRPr="00952825" w:rsidRDefault="00054D27">
      <w:pPr>
        <w:rPr>
          <w:sz w:val="20"/>
          <w:szCs w:val="20"/>
        </w:rPr>
      </w:pPr>
    </w:p>
    <w:tbl>
      <w:tblPr>
        <w:tblStyle w:val="afc"/>
        <w:tblW w:w="9030"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2445"/>
        <w:gridCol w:w="6585"/>
      </w:tblGrid>
      <w:tr w:rsidR="00054D27" w:rsidRPr="00800799" w14:paraId="0FDD4F07" w14:textId="77777777">
        <w:trPr>
          <w:trHeight w:val="735"/>
        </w:trPr>
        <w:tc>
          <w:tcPr>
            <w:tcW w:w="9030"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000028D" w14:textId="02C7616D" w:rsidR="00054D27" w:rsidRPr="00952825" w:rsidRDefault="00AF622A">
            <w:pPr>
              <w:spacing w:before="240"/>
              <w:rPr>
                <w:b/>
                <w:sz w:val="20"/>
                <w:szCs w:val="20"/>
              </w:rPr>
            </w:pPr>
            <w:r w:rsidRPr="00952825">
              <w:rPr>
                <w:b/>
                <w:sz w:val="20"/>
                <w:szCs w:val="20"/>
              </w:rPr>
              <w:t xml:space="preserve">SC 2.1 </w:t>
            </w:r>
            <w:r w:rsidR="0061511A" w:rsidRPr="00952825">
              <w:rPr>
                <w:b/>
                <w:sz w:val="20"/>
                <w:szCs w:val="20"/>
              </w:rPr>
              <w:t xml:space="preserve">OPPIK </w:t>
            </w:r>
            <w:r w:rsidRPr="00952825">
              <w:rPr>
                <w:b/>
                <w:sz w:val="20"/>
                <w:szCs w:val="20"/>
              </w:rPr>
              <w:t>– Program RIZIKOVÝ KAPITÁL</w:t>
            </w:r>
          </w:p>
        </w:tc>
      </w:tr>
      <w:tr w:rsidR="00054D27" w:rsidRPr="00800799" w14:paraId="382D7258" w14:textId="77777777">
        <w:trPr>
          <w:trHeight w:val="5255"/>
        </w:trPr>
        <w:tc>
          <w:tcPr>
            <w:tcW w:w="2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8F" w14:textId="630EEFF7" w:rsidR="00054D27" w:rsidRPr="00800799" w:rsidRDefault="00AF622A">
            <w:pPr>
              <w:spacing w:before="240"/>
              <w:rPr>
                <w:sz w:val="20"/>
                <w:szCs w:val="20"/>
              </w:rPr>
            </w:pPr>
            <w:r w:rsidRPr="00800799">
              <w:rPr>
                <w:sz w:val="20"/>
                <w:szCs w:val="20"/>
              </w:rPr>
              <w:lastRenderedPageBreak/>
              <w:t>Aktualizace závěrů předběžného posouzení 2017</w:t>
            </w:r>
          </w:p>
        </w:tc>
        <w:tc>
          <w:tcPr>
            <w:tcW w:w="6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90" w14:textId="6B7ED5BD" w:rsidR="00054D27" w:rsidRPr="00800799" w:rsidRDefault="00AF622A">
            <w:pPr>
              <w:numPr>
                <w:ilvl w:val="0"/>
                <w:numId w:val="23"/>
              </w:numPr>
              <w:pBdr>
                <w:top w:val="nil"/>
                <w:left w:val="nil"/>
                <w:bottom w:val="nil"/>
                <w:right w:val="nil"/>
                <w:between w:val="nil"/>
              </w:pBdr>
              <w:rPr>
                <w:sz w:val="20"/>
                <w:szCs w:val="20"/>
              </w:rPr>
            </w:pPr>
            <w:r w:rsidRPr="00800799">
              <w:rPr>
                <w:sz w:val="20"/>
                <w:szCs w:val="20"/>
              </w:rPr>
              <w:t>Nárůst potenciální absorpční kapacity byl identifikován s ohledem na tržní vývoj (v kontextu rastu start-</w:t>
            </w:r>
            <w:proofErr w:type="spellStart"/>
            <w:r w:rsidRPr="00800799">
              <w:rPr>
                <w:sz w:val="20"/>
                <w:szCs w:val="20"/>
              </w:rPr>
              <w:t>upového</w:t>
            </w:r>
            <w:proofErr w:type="spellEnd"/>
            <w:r w:rsidRPr="00800799">
              <w:rPr>
                <w:sz w:val="20"/>
                <w:szCs w:val="20"/>
              </w:rPr>
              <w:t xml:space="preserve"> trhu a potenciálu vznikajících projektů)</w:t>
            </w:r>
          </w:p>
          <w:p w14:paraId="00000291" w14:textId="77777777" w:rsidR="00054D27" w:rsidRPr="00800799" w:rsidRDefault="00AF622A">
            <w:pPr>
              <w:numPr>
                <w:ilvl w:val="0"/>
                <w:numId w:val="23"/>
              </w:numPr>
              <w:pBdr>
                <w:top w:val="nil"/>
                <w:left w:val="nil"/>
                <w:bottom w:val="nil"/>
                <w:right w:val="nil"/>
                <w:between w:val="nil"/>
              </w:pBdr>
              <w:rPr>
                <w:sz w:val="20"/>
                <w:szCs w:val="20"/>
              </w:rPr>
            </w:pPr>
            <w:r w:rsidRPr="00800799">
              <w:rPr>
                <w:sz w:val="20"/>
                <w:szCs w:val="20"/>
              </w:rPr>
              <w:t xml:space="preserve">Tržní selhání nadále přetrvává u </w:t>
            </w:r>
            <w:proofErr w:type="spellStart"/>
            <w:r w:rsidRPr="00800799">
              <w:rPr>
                <w:sz w:val="20"/>
                <w:szCs w:val="20"/>
              </w:rPr>
              <w:t>seedových</w:t>
            </w:r>
            <w:proofErr w:type="spellEnd"/>
            <w:r w:rsidRPr="00800799">
              <w:rPr>
                <w:sz w:val="20"/>
                <w:szCs w:val="20"/>
              </w:rPr>
              <w:t xml:space="preserve"> a technologicky a znalostně náročných investic.</w:t>
            </w:r>
          </w:p>
          <w:p w14:paraId="00000292" w14:textId="77777777" w:rsidR="00054D27" w:rsidRPr="00800799" w:rsidRDefault="00AF622A">
            <w:pPr>
              <w:numPr>
                <w:ilvl w:val="0"/>
                <w:numId w:val="23"/>
              </w:numPr>
              <w:pBdr>
                <w:top w:val="nil"/>
                <w:left w:val="nil"/>
                <w:bottom w:val="nil"/>
                <w:right w:val="nil"/>
                <w:between w:val="nil"/>
              </w:pBdr>
              <w:rPr>
                <w:sz w:val="20"/>
                <w:szCs w:val="20"/>
              </w:rPr>
            </w:pPr>
            <w:r w:rsidRPr="00800799">
              <w:rPr>
                <w:sz w:val="20"/>
                <w:szCs w:val="20"/>
              </w:rPr>
              <w:t xml:space="preserve">Doporučení v rámci investičního horizontu do roku 2023 aplikovat </w:t>
            </w:r>
            <w:proofErr w:type="spellStart"/>
            <w:r w:rsidRPr="00800799">
              <w:rPr>
                <w:sz w:val="20"/>
                <w:szCs w:val="20"/>
              </w:rPr>
              <w:t>follow</w:t>
            </w:r>
            <w:proofErr w:type="spellEnd"/>
            <w:r w:rsidRPr="00800799">
              <w:rPr>
                <w:sz w:val="20"/>
                <w:szCs w:val="20"/>
              </w:rPr>
              <w:t>-up investice do podpořených start-</w:t>
            </w:r>
            <w:proofErr w:type="spellStart"/>
            <w:r w:rsidRPr="00800799">
              <w:rPr>
                <w:sz w:val="20"/>
                <w:szCs w:val="20"/>
              </w:rPr>
              <w:t>upů</w:t>
            </w:r>
            <w:proofErr w:type="spellEnd"/>
          </w:p>
          <w:p w14:paraId="00000293" w14:textId="77777777" w:rsidR="00054D27" w:rsidRPr="00800799" w:rsidRDefault="00AF622A">
            <w:pPr>
              <w:numPr>
                <w:ilvl w:val="0"/>
                <w:numId w:val="23"/>
              </w:numPr>
              <w:pBdr>
                <w:top w:val="nil"/>
                <w:left w:val="nil"/>
                <w:bottom w:val="nil"/>
                <w:right w:val="nil"/>
                <w:between w:val="nil"/>
              </w:pBdr>
              <w:rPr>
                <w:sz w:val="20"/>
                <w:szCs w:val="20"/>
              </w:rPr>
            </w:pPr>
            <w:r w:rsidRPr="00800799">
              <w:rPr>
                <w:sz w:val="20"/>
                <w:szCs w:val="20"/>
              </w:rPr>
              <w:t>Odhad absorpční kapacity pro nástroje OP PIK byl upraven na až 2,6 mld. Kč.</w:t>
            </w:r>
          </w:p>
          <w:p w14:paraId="00000294" w14:textId="77777777" w:rsidR="00054D27" w:rsidRPr="00800799" w:rsidRDefault="00AF622A">
            <w:pPr>
              <w:numPr>
                <w:ilvl w:val="0"/>
                <w:numId w:val="23"/>
              </w:numPr>
              <w:pBdr>
                <w:top w:val="nil"/>
                <w:left w:val="nil"/>
                <w:bottom w:val="nil"/>
                <w:right w:val="nil"/>
                <w:between w:val="nil"/>
              </w:pBdr>
              <w:rPr>
                <w:sz w:val="20"/>
                <w:szCs w:val="20"/>
              </w:rPr>
            </w:pPr>
            <w:r w:rsidRPr="00800799">
              <w:rPr>
                <w:sz w:val="20"/>
                <w:szCs w:val="20"/>
              </w:rPr>
              <w:t xml:space="preserve">Doporučení aplikovat </w:t>
            </w:r>
            <w:proofErr w:type="spellStart"/>
            <w:r w:rsidRPr="00800799">
              <w:rPr>
                <w:sz w:val="20"/>
                <w:szCs w:val="20"/>
              </w:rPr>
              <w:t>ko</w:t>
            </w:r>
            <w:proofErr w:type="spellEnd"/>
            <w:r w:rsidRPr="00800799">
              <w:rPr>
                <w:sz w:val="20"/>
                <w:szCs w:val="20"/>
              </w:rPr>
              <w:t>-investiční model s možností pari-</w:t>
            </w:r>
            <w:proofErr w:type="spellStart"/>
            <w:r w:rsidRPr="00800799">
              <w:rPr>
                <w:sz w:val="20"/>
                <w:szCs w:val="20"/>
              </w:rPr>
              <w:t>passu</w:t>
            </w:r>
            <w:proofErr w:type="spellEnd"/>
            <w:r w:rsidRPr="00800799">
              <w:rPr>
                <w:sz w:val="20"/>
                <w:szCs w:val="20"/>
              </w:rPr>
              <w:t xml:space="preserve"> investic i asymetrického sdílení výnosů s komerčními partnery. V oblasti primárního tržního selhání lze dodatečně využít mikro-investice bez soukromé </w:t>
            </w:r>
            <w:proofErr w:type="spellStart"/>
            <w:r w:rsidRPr="00800799">
              <w:rPr>
                <w:sz w:val="20"/>
                <w:szCs w:val="20"/>
              </w:rPr>
              <w:t>ko</w:t>
            </w:r>
            <w:proofErr w:type="spellEnd"/>
            <w:r w:rsidRPr="00800799">
              <w:rPr>
                <w:sz w:val="20"/>
                <w:szCs w:val="20"/>
              </w:rPr>
              <w:t>-investice.</w:t>
            </w:r>
          </w:p>
          <w:p w14:paraId="00000295" w14:textId="7BDAB342" w:rsidR="00054D27" w:rsidRPr="00800799" w:rsidRDefault="00AF622A">
            <w:pPr>
              <w:numPr>
                <w:ilvl w:val="0"/>
                <w:numId w:val="23"/>
              </w:numPr>
              <w:pBdr>
                <w:top w:val="nil"/>
                <w:left w:val="nil"/>
                <w:bottom w:val="nil"/>
                <w:right w:val="nil"/>
                <w:between w:val="nil"/>
              </w:pBdr>
              <w:rPr>
                <w:sz w:val="20"/>
                <w:szCs w:val="20"/>
              </w:rPr>
            </w:pPr>
            <w:r w:rsidRPr="00800799">
              <w:rPr>
                <w:sz w:val="20"/>
                <w:szCs w:val="20"/>
              </w:rPr>
              <w:t xml:space="preserve">Berouc v potaz absorpční kapacitu, </w:t>
            </w:r>
            <w:proofErr w:type="spellStart"/>
            <w:r w:rsidRPr="00800799">
              <w:rPr>
                <w:sz w:val="20"/>
                <w:szCs w:val="20"/>
              </w:rPr>
              <w:t>vícekolové</w:t>
            </w:r>
            <w:proofErr w:type="spellEnd"/>
            <w:r w:rsidRPr="00800799">
              <w:rPr>
                <w:sz w:val="20"/>
                <w:szCs w:val="20"/>
              </w:rPr>
              <w:t xml:space="preserve"> financování a adekvátní velikost portfolia NIF, doporučení navýšit alokace pro rizikový kapitál z 500-800 mil. Kč na 800-1300 mil. Kč. Celková nová hodnota pro NIF i EIF představuje 1900-2400 mil. Kč.</w:t>
            </w:r>
          </w:p>
        </w:tc>
      </w:tr>
      <w:tr w:rsidR="00054D27" w:rsidRPr="00800799" w14:paraId="428879A7" w14:textId="77777777">
        <w:trPr>
          <w:trHeight w:val="515"/>
        </w:trPr>
        <w:tc>
          <w:tcPr>
            <w:tcW w:w="2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96" w14:textId="77777777" w:rsidR="00054D27" w:rsidRPr="00800799" w:rsidRDefault="00AF622A">
            <w:pPr>
              <w:spacing w:before="240"/>
              <w:rPr>
                <w:sz w:val="20"/>
                <w:szCs w:val="20"/>
              </w:rPr>
            </w:pPr>
            <w:r w:rsidRPr="00800799">
              <w:rPr>
                <w:sz w:val="20"/>
                <w:szCs w:val="20"/>
              </w:rPr>
              <w:t>Forma podpory</w:t>
            </w:r>
          </w:p>
        </w:tc>
        <w:tc>
          <w:tcPr>
            <w:tcW w:w="6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97" w14:textId="77777777" w:rsidR="00054D27" w:rsidRPr="00800799" w:rsidRDefault="00AF622A">
            <w:pPr>
              <w:numPr>
                <w:ilvl w:val="0"/>
                <w:numId w:val="23"/>
              </w:numPr>
              <w:pBdr>
                <w:top w:val="nil"/>
                <w:left w:val="nil"/>
                <w:bottom w:val="nil"/>
                <w:right w:val="nil"/>
                <w:between w:val="nil"/>
              </w:pBdr>
              <w:rPr>
                <w:sz w:val="20"/>
                <w:szCs w:val="20"/>
              </w:rPr>
            </w:pPr>
            <w:r w:rsidRPr="00800799">
              <w:rPr>
                <w:sz w:val="20"/>
                <w:szCs w:val="20"/>
              </w:rPr>
              <w:t xml:space="preserve">Kapitálová a </w:t>
            </w:r>
            <w:proofErr w:type="spellStart"/>
            <w:r w:rsidRPr="00800799">
              <w:rPr>
                <w:sz w:val="20"/>
                <w:szCs w:val="20"/>
              </w:rPr>
              <w:t>kvazikapitálová</w:t>
            </w:r>
            <w:proofErr w:type="spellEnd"/>
            <w:r w:rsidRPr="00800799">
              <w:rPr>
                <w:sz w:val="20"/>
                <w:szCs w:val="20"/>
              </w:rPr>
              <w:t xml:space="preserve"> investice</w:t>
            </w:r>
          </w:p>
        </w:tc>
      </w:tr>
      <w:tr w:rsidR="00054D27" w:rsidRPr="00800799" w14:paraId="08AFD3CA" w14:textId="77777777">
        <w:trPr>
          <w:trHeight w:val="785"/>
        </w:trPr>
        <w:tc>
          <w:tcPr>
            <w:tcW w:w="2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98" w14:textId="77777777" w:rsidR="00054D27" w:rsidRPr="00800799" w:rsidRDefault="00AF622A">
            <w:pPr>
              <w:spacing w:before="240"/>
              <w:rPr>
                <w:sz w:val="20"/>
                <w:szCs w:val="20"/>
              </w:rPr>
            </w:pPr>
            <w:r w:rsidRPr="00800799">
              <w:rPr>
                <w:sz w:val="20"/>
                <w:szCs w:val="20"/>
              </w:rPr>
              <w:t>Definice a kritéria způsobilých projektů</w:t>
            </w:r>
          </w:p>
        </w:tc>
        <w:tc>
          <w:tcPr>
            <w:tcW w:w="6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99" w14:textId="101BF812" w:rsidR="00054D27" w:rsidRPr="00800799" w:rsidRDefault="00AF622A">
            <w:pPr>
              <w:numPr>
                <w:ilvl w:val="0"/>
                <w:numId w:val="23"/>
              </w:numPr>
              <w:pBdr>
                <w:top w:val="nil"/>
                <w:left w:val="nil"/>
                <w:bottom w:val="nil"/>
                <w:right w:val="nil"/>
                <w:between w:val="nil"/>
              </w:pBdr>
              <w:rPr>
                <w:sz w:val="20"/>
                <w:szCs w:val="20"/>
              </w:rPr>
            </w:pPr>
            <w:r w:rsidRPr="00800799">
              <w:rPr>
                <w:sz w:val="20"/>
                <w:szCs w:val="20"/>
              </w:rPr>
              <w:t>Např. vysoce inovativní MSP v prvních letech existence vykazující potenciál vysokého růstu v dalších letech</w:t>
            </w:r>
          </w:p>
        </w:tc>
      </w:tr>
    </w:tbl>
    <w:p w14:paraId="0000029A" w14:textId="77777777" w:rsidR="00054D27" w:rsidRPr="00800799" w:rsidRDefault="00054D27">
      <w:pPr>
        <w:rPr>
          <w:sz w:val="20"/>
          <w:szCs w:val="20"/>
        </w:rPr>
      </w:pPr>
    </w:p>
    <w:p w14:paraId="5C6FB34C" w14:textId="77777777" w:rsidR="008C6A4F" w:rsidRPr="00800799" w:rsidRDefault="008C6A4F" w:rsidP="008C6A4F">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443E47AC" w14:textId="7A8441DD" w:rsidR="008C6A4F" w:rsidRPr="00800799" w:rsidRDefault="008C6A4F" w:rsidP="008C6A4F">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sz w:val="20"/>
          <w:szCs w:val="20"/>
        </w:rPr>
        <w:t>Projekt NIF nebyl spuštěn, nicméně přímé kapitálové investice (byť v odlišném schématu) v OP PIK poskytovala NR investiční, podrobnosti o funkčnosti modelu IPO fondu budeme diskutovat v rámci strukturovaného rozhovoru s NR investiční.</w:t>
      </w:r>
    </w:p>
    <w:p w14:paraId="0000029B" w14:textId="5EB8227E" w:rsidR="00054D27" w:rsidRPr="00800799" w:rsidRDefault="00054D27">
      <w:pPr>
        <w:rPr>
          <w:sz w:val="20"/>
          <w:szCs w:val="20"/>
        </w:rPr>
      </w:pPr>
    </w:p>
    <w:p w14:paraId="59102BDD" w14:textId="77777777" w:rsidR="008C6A4F" w:rsidRPr="00800799" w:rsidRDefault="008C6A4F">
      <w:pPr>
        <w:rPr>
          <w:sz w:val="20"/>
          <w:szCs w:val="20"/>
        </w:rPr>
      </w:pPr>
    </w:p>
    <w:tbl>
      <w:tblPr>
        <w:tblStyle w:val="afd"/>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9"/>
      </w:tblGrid>
      <w:tr w:rsidR="00054D27" w:rsidRPr="00800799" w14:paraId="5C5C90DF"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DBE5F1"/>
          </w:tcPr>
          <w:p w14:paraId="0000029C" w14:textId="2892EDCF" w:rsidR="00054D27" w:rsidRPr="00800799" w:rsidRDefault="00AF622A">
            <w:pPr>
              <w:spacing w:line="276" w:lineRule="auto"/>
              <w:rPr>
                <w:rFonts w:ascii="Arial" w:eastAsia="Arial" w:hAnsi="Arial" w:cs="Arial"/>
                <w:b/>
                <w:sz w:val="20"/>
                <w:szCs w:val="20"/>
              </w:rPr>
            </w:pPr>
            <w:r w:rsidRPr="00800799">
              <w:rPr>
                <w:b/>
                <w:sz w:val="20"/>
                <w:szCs w:val="20"/>
              </w:rPr>
              <w:t xml:space="preserve">SC 2.3 </w:t>
            </w:r>
            <w:r w:rsidR="0061511A" w:rsidRPr="00800799">
              <w:rPr>
                <w:b/>
                <w:sz w:val="20"/>
                <w:szCs w:val="20"/>
              </w:rPr>
              <w:t xml:space="preserve">OPPIK </w:t>
            </w:r>
            <w:r w:rsidRPr="00800799">
              <w:rPr>
                <w:b/>
                <w:sz w:val="20"/>
                <w:szCs w:val="20"/>
              </w:rPr>
              <w:t>– Program NEMOVITOSTI</w:t>
            </w:r>
          </w:p>
        </w:tc>
      </w:tr>
      <w:tr w:rsidR="00054D27" w:rsidRPr="00800799" w14:paraId="662EA675" w14:textId="77777777">
        <w:tc>
          <w:tcPr>
            <w:tcW w:w="2263" w:type="dxa"/>
            <w:tcBorders>
              <w:top w:val="single" w:sz="4" w:space="0" w:color="000000"/>
              <w:left w:val="single" w:sz="4" w:space="0" w:color="000000"/>
              <w:bottom w:val="single" w:sz="4" w:space="0" w:color="000000"/>
              <w:right w:val="single" w:sz="4" w:space="0" w:color="000000"/>
            </w:tcBorders>
          </w:tcPr>
          <w:p w14:paraId="0000029E" w14:textId="77777777" w:rsidR="00054D27" w:rsidRPr="00800799" w:rsidRDefault="00AF622A">
            <w:pPr>
              <w:spacing w:line="276" w:lineRule="auto"/>
              <w:rPr>
                <w:rFonts w:ascii="Arial" w:eastAsia="Arial" w:hAnsi="Arial" w:cs="Arial"/>
                <w:sz w:val="20"/>
                <w:szCs w:val="20"/>
              </w:rPr>
            </w:pPr>
            <w:r w:rsidRPr="00800799">
              <w:rPr>
                <w:sz w:val="20"/>
                <w:szCs w:val="20"/>
              </w:rPr>
              <w:t>Aktualizace závěrů předběžného posouzení 2019</w:t>
            </w:r>
          </w:p>
        </w:tc>
        <w:tc>
          <w:tcPr>
            <w:tcW w:w="6799" w:type="dxa"/>
            <w:tcBorders>
              <w:top w:val="single" w:sz="4" w:space="0" w:color="000000"/>
              <w:left w:val="single" w:sz="4" w:space="0" w:color="000000"/>
              <w:bottom w:val="single" w:sz="4" w:space="0" w:color="000000"/>
              <w:right w:val="single" w:sz="4" w:space="0" w:color="000000"/>
            </w:tcBorders>
          </w:tcPr>
          <w:p w14:paraId="0000029F" w14:textId="286A9942" w:rsidR="00054D27" w:rsidRPr="00800799"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800799">
              <w:rPr>
                <w:color w:val="000000"/>
                <w:sz w:val="20"/>
                <w:szCs w:val="20"/>
              </w:rPr>
              <w:t xml:space="preserve">FN zvýhodněný úvěr nebyl </w:t>
            </w:r>
            <w:r w:rsidRPr="00800799">
              <w:rPr>
                <w:sz w:val="20"/>
                <w:szCs w:val="20"/>
              </w:rPr>
              <w:t>realizován</w:t>
            </w:r>
          </w:p>
          <w:p w14:paraId="000002A0" w14:textId="77777777" w:rsidR="00054D27" w:rsidRPr="00952825"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800799">
              <w:rPr>
                <w:rFonts w:ascii="Arial" w:eastAsia="Arial" w:hAnsi="Arial" w:cs="Arial"/>
                <w:color w:val="000000"/>
                <w:sz w:val="20"/>
                <w:szCs w:val="20"/>
              </w:rPr>
              <w:t xml:space="preserve">Revitalizace větších </w:t>
            </w:r>
            <w:proofErr w:type="spellStart"/>
            <w:r w:rsidRPr="00800799">
              <w:rPr>
                <w:rFonts w:ascii="Arial" w:eastAsia="Arial" w:hAnsi="Arial" w:cs="Arial"/>
                <w:color w:val="000000"/>
                <w:sz w:val="20"/>
                <w:szCs w:val="20"/>
              </w:rPr>
              <w:t>brownfieldů</w:t>
            </w:r>
            <w:proofErr w:type="spellEnd"/>
            <w:r w:rsidRPr="00800799">
              <w:rPr>
                <w:rFonts w:ascii="Arial" w:eastAsia="Arial" w:hAnsi="Arial" w:cs="Arial"/>
                <w:color w:val="000000"/>
                <w:sz w:val="20"/>
                <w:szCs w:val="20"/>
              </w:rPr>
              <w:t xml:space="preserve">, u kterých bylo prokázané tržní </w:t>
            </w:r>
            <w:r w:rsidRPr="00C77291">
              <w:rPr>
                <w:rFonts w:ascii="Arial" w:eastAsia="Arial" w:hAnsi="Arial" w:cs="Arial"/>
                <w:color w:val="000000"/>
                <w:sz w:val="20"/>
                <w:szCs w:val="20"/>
              </w:rPr>
              <w:t>selhání, je bez státní podpory pro investory nedostatečně výnosná investice, i když je poptávka po podnikatelské infrastruktuře stále vysoká</w:t>
            </w:r>
          </w:p>
          <w:p w14:paraId="000002A1" w14:textId="77777777" w:rsidR="00054D27" w:rsidRPr="00952825"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952825">
              <w:rPr>
                <w:rFonts w:ascii="Arial" w:eastAsia="Arial" w:hAnsi="Arial" w:cs="Arial"/>
                <w:color w:val="000000"/>
                <w:sz w:val="20"/>
                <w:szCs w:val="20"/>
              </w:rPr>
              <w:t xml:space="preserve">Řešení situace skrz FN kapitálový/ kvazi-kapitálový vstup </w:t>
            </w:r>
          </w:p>
          <w:p w14:paraId="000002A2" w14:textId="77777777" w:rsidR="00054D27" w:rsidRPr="00952825"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952825">
              <w:rPr>
                <w:rFonts w:ascii="Arial" w:eastAsia="Arial" w:hAnsi="Arial" w:cs="Arial"/>
                <w:color w:val="000000"/>
                <w:sz w:val="20"/>
                <w:szCs w:val="20"/>
              </w:rPr>
              <w:t xml:space="preserve">Návrh využití FN ve výši 500 </w:t>
            </w:r>
            <w:proofErr w:type="spellStart"/>
            <w:r w:rsidRPr="00952825">
              <w:rPr>
                <w:rFonts w:ascii="Arial" w:eastAsia="Arial" w:hAnsi="Arial" w:cs="Arial"/>
                <w:color w:val="000000"/>
                <w:sz w:val="20"/>
                <w:szCs w:val="20"/>
              </w:rPr>
              <w:t>mil.Kč</w:t>
            </w:r>
            <w:proofErr w:type="spellEnd"/>
            <w:r w:rsidRPr="00952825">
              <w:rPr>
                <w:rFonts w:ascii="Arial" w:eastAsia="Arial" w:hAnsi="Arial" w:cs="Arial"/>
                <w:color w:val="000000"/>
                <w:sz w:val="20"/>
                <w:szCs w:val="20"/>
              </w:rPr>
              <w:t>.</w:t>
            </w:r>
          </w:p>
        </w:tc>
      </w:tr>
      <w:tr w:rsidR="00054D27" w:rsidRPr="00800799" w14:paraId="26B4C27A" w14:textId="77777777">
        <w:tc>
          <w:tcPr>
            <w:tcW w:w="2263" w:type="dxa"/>
            <w:tcBorders>
              <w:top w:val="single" w:sz="4" w:space="0" w:color="000000"/>
              <w:left w:val="single" w:sz="4" w:space="0" w:color="000000"/>
              <w:bottom w:val="single" w:sz="4" w:space="0" w:color="000000"/>
              <w:right w:val="single" w:sz="4" w:space="0" w:color="000000"/>
            </w:tcBorders>
          </w:tcPr>
          <w:p w14:paraId="000002A3" w14:textId="77777777" w:rsidR="00054D27" w:rsidRPr="00800799" w:rsidRDefault="00AF622A">
            <w:pPr>
              <w:spacing w:line="276" w:lineRule="auto"/>
              <w:rPr>
                <w:rFonts w:ascii="Arial" w:eastAsia="Arial" w:hAnsi="Arial" w:cs="Arial"/>
                <w:sz w:val="20"/>
                <w:szCs w:val="20"/>
              </w:rPr>
            </w:pPr>
            <w:r w:rsidRPr="00800799">
              <w:rPr>
                <w:sz w:val="20"/>
                <w:szCs w:val="20"/>
              </w:rPr>
              <w:t>Forma podpory</w:t>
            </w:r>
          </w:p>
        </w:tc>
        <w:tc>
          <w:tcPr>
            <w:tcW w:w="6799" w:type="dxa"/>
            <w:tcBorders>
              <w:top w:val="single" w:sz="4" w:space="0" w:color="000000"/>
              <w:left w:val="single" w:sz="4" w:space="0" w:color="000000"/>
              <w:bottom w:val="single" w:sz="4" w:space="0" w:color="000000"/>
              <w:right w:val="single" w:sz="4" w:space="0" w:color="000000"/>
            </w:tcBorders>
          </w:tcPr>
          <w:p w14:paraId="000002A4" w14:textId="77777777" w:rsidR="00054D27" w:rsidRPr="00800799"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800799">
              <w:rPr>
                <w:color w:val="000000"/>
                <w:sz w:val="20"/>
                <w:szCs w:val="20"/>
              </w:rPr>
              <w:t>Kapitálový/</w:t>
            </w:r>
            <w:proofErr w:type="spellStart"/>
            <w:r w:rsidRPr="00800799">
              <w:rPr>
                <w:color w:val="000000"/>
                <w:sz w:val="20"/>
                <w:szCs w:val="20"/>
              </w:rPr>
              <w:t>kvazikapitálový</w:t>
            </w:r>
            <w:proofErr w:type="spellEnd"/>
            <w:r w:rsidRPr="00800799">
              <w:rPr>
                <w:color w:val="000000"/>
                <w:sz w:val="20"/>
                <w:szCs w:val="20"/>
              </w:rPr>
              <w:t xml:space="preserve"> vstup</w:t>
            </w:r>
          </w:p>
        </w:tc>
      </w:tr>
      <w:tr w:rsidR="00054D27" w:rsidRPr="00800799" w14:paraId="7F959257" w14:textId="77777777">
        <w:tc>
          <w:tcPr>
            <w:tcW w:w="2263" w:type="dxa"/>
            <w:tcBorders>
              <w:top w:val="single" w:sz="4" w:space="0" w:color="000000"/>
              <w:left w:val="single" w:sz="4" w:space="0" w:color="000000"/>
              <w:bottom w:val="single" w:sz="4" w:space="0" w:color="000000"/>
              <w:right w:val="single" w:sz="4" w:space="0" w:color="000000"/>
            </w:tcBorders>
          </w:tcPr>
          <w:p w14:paraId="000002A5" w14:textId="77777777" w:rsidR="00054D27" w:rsidRPr="00800799" w:rsidRDefault="00AF622A">
            <w:pPr>
              <w:spacing w:line="276" w:lineRule="auto"/>
              <w:rPr>
                <w:rFonts w:ascii="Arial" w:eastAsia="Arial" w:hAnsi="Arial" w:cs="Arial"/>
                <w:sz w:val="20"/>
                <w:szCs w:val="20"/>
              </w:rPr>
            </w:pPr>
            <w:r w:rsidRPr="00800799">
              <w:rPr>
                <w:sz w:val="20"/>
                <w:szCs w:val="20"/>
              </w:rPr>
              <w:lastRenderedPageBreak/>
              <w:t>Definice a kritéria způsobilých projektů</w:t>
            </w:r>
          </w:p>
        </w:tc>
        <w:tc>
          <w:tcPr>
            <w:tcW w:w="6799" w:type="dxa"/>
            <w:tcBorders>
              <w:top w:val="single" w:sz="4" w:space="0" w:color="000000"/>
              <w:left w:val="single" w:sz="4" w:space="0" w:color="000000"/>
              <w:bottom w:val="single" w:sz="4" w:space="0" w:color="000000"/>
              <w:right w:val="single" w:sz="4" w:space="0" w:color="000000"/>
            </w:tcBorders>
          </w:tcPr>
          <w:p w14:paraId="000002A6" w14:textId="77777777" w:rsidR="00054D27" w:rsidRPr="00800799"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800799">
              <w:rPr>
                <w:color w:val="000000"/>
                <w:sz w:val="20"/>
                <w:szCs w:val="20"/>
              </w:rPr>
              <w:t>Např. projekty komplexní regenerace BF včetně dalšího stavebního rozvoje BF, realizace stavebně-technických opatření na technicky nevyhovujících podnikatelských nemovitostech</w:t>
            </w:r>
          </w:p>
        </w:tc>
      </w:tr>
    </w:tbl>
    <w:p w14:paraId="000002A7" w14:textId="77777777" w:rsidR="00054D27" w:rsidRPr="00800799" w:rsidRDefault="00054D27">
      <w:pPr>
        <w:rPr>
          <w:sz w:val="20"/>
          <w:szCs w:val="20"/>
        </w:rPr>
      </w:pPr>
    </w:p>
    <w:p w14:paraId="000002A8" w14:textId="77777777" w:rsidR="00054D27" w:rsidRPr="00800799" w:rsidRDefault="00AF622A">
      <w:pPr>
        <w:pBdr>
          <w:top w:val="single" w:sz="4" w:space="1" w:color="000000"/>
          <w:left w:val="single" w:sz="4" w:space="4" w:color="000000"/>
          <w:bottom w:val="single" w:sz="4" w:space="0" w:color="000000"/>
          <w:right w:val="single" w:sz="4" w:space="4" w:color="000000"/>
        </w:pBdr>
        <w:shd w:val="clear" w:color="auto" w:fill="E5B9B7"/>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000002A9" w14:textId="2DBBEAAD" w:rsidR="00054D27" w:rsidRPr="00800799" w:rsidRDefault="00AF622A">
      <w:pPr>
        <w:pBdr>
          <w:top w:val="single" w:sz="4" w:space="1" w:color="000000"/>
          <w:left w:val="single" w:sz="4" w:space="4" w:color="000000"/>
          <w:bottom w:val="single" w:sz="4" w:space="0" w:color="000000"/>
          <w:right w:val="single" w:sz="4" w:space="4" w:color="000000"/>
        </w:pBdr>
        <w:shd w:val="clear" w:color="auto" w:fill="E5B9B7"/>
        <w:jc w:val="both"/>
        <w:rPr>
          <w:sz w:val="20"/>
          <w:szCs w:val="20"/>
        </w:rPr>
      </w:pPr>
      <w:r w:rsidRPr="00800799">
        <w:rPr>
          <w:sz w:val="20"/>
          <w:szCs w:val="20"/>
        </w:rPr>
        <w:t>V rámci strukturovaných rozhovorů s NR investiční a UDF MS se zaměříme na první výsledky finančního nástroje v programu Nemovitosti a vyplývající doporučení pro OP TAK.</w:t>
      </w:r>
      <w:r w:rsidR="000C56F0" w:rsidRPr="00800799">
        <w:rPr>
          <w:sz w:val="20"/>
          <w:szCs w:val="20"/>
        </w:rPr>
        <w:t xml:space="preserve"> Prozkoumána bude též možnost poskytování </w:t>
      </w:r>
      <w:proofErr w:type="spellStart"/>
      <w:r w:rsidR="000C56F0" w:rsidRPr="00800799">
        <w:rPr>
          <w:sz w:val="20"/>
          <w:szCs w:val="20"/>
        </w:rPr>
        <w:t>seniornch</w:t>
      </w:r>
      <w:proofErr w:type="spellEnd"/>
      <w:r w:rsidR="000C56F0" w:rsidRPr="00800799">
        <w:rPr>
          <w:sz w:val="20"/>
          <w:szCs w:val="20"/>
        </w:rPr>
        <w:t xml:space="preserve"> úvěrů v OP TAK.</w:t>
      </w:r>
    </w:p>
    <w:p w14:paraId="000002AA" w14:textId="77777777" w:rsidR="00054D27" w:rsidRPr="00800799" w:rsidRDefault="00054D27">
      <w:pPr>
        <w:rPr>
          <w:sz w:val="20"/>
          <w:szCs w:val="20"/>
        </w:rPr>
      </w:pPr>
    </w:p>
    <w:tbl>
      <w:tblPr>
        <w:tblStyle w:val="afe"/>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9"/>
      </w:tblGrid>
      <w:tr w:rsidR="00054D27" w:rsidRPr="00800799" w14:paraId="281C1383"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DBE5F1"/>
          </w:tcPr>
          <w:p w14:paraId="000002AB" w14:textId="11A00EFF" w:rsidR="00054D27" w:rsidRPr="00800799" w:rsidRDefault="00AF622A">
            <w:pPr>
              <w:spacing w:line="276" w:lineRule="auto"/>
              <w:rPr>
                <w:rFonts w:ascii="Arial" w:eastAsia="Arial" w:hAnsi="Arial" w:cs="Arial"/>
                <w:b/>
                <w:sz w:val="20"/>
                <w:szCs w:val="20"/>
              </w:rPr>
            </w:pPr>
            <w:r w:rsidRPr="00800799">
              <w:rPr>
                <w:b/>
                <w:sz w:val="20"/>
                <w:szCs w:val="20"/>
              </w:rPr>
              <w:t xml:space="preserve">SC 3.2 </w:t>
            </w:r>
            <w:r w:rsidR="0061511A" w:rsidRPr="00800799">
              <w:rPr>
                <w:b/>
                <w:sz w:val="20"/>
                <w:szCs w:val="20"/>
              </w:rPr>
              <w:t xml:space="preserve">OPPIK </w:t>
            </w:r>
            <w:r w:rsidRPr="00800799">
              <w:rPr>
                <w:b/>
                <w:sz w:val="20"/>
                <w:szCs w:val="20"/>
              </w:rPr>
              <w:t>– Program ÚSPORY ENERGIE</w:t>
            </w:r>
          </w:p>
        </w:tc>
      </w:tr>
      <w:tr w:rsidR="00054D27" w:rsidRPr="00800799" w14:paraId="58253E76" w14:textId="77777777">
        <w:tc>
          <w:tcPr>
            <w:tcW w:w="2263" w:type="dxa"/>
            <w:tcBorders>
              <w:top w:val="single" w:sz="4" w:space="0" w:color="000000"/>
              <w:left w:val="single" w:sz="4" w:space="0" w:color="000000"/>
              <w:bottom w:val="single" w:sz="4" w:space="0" w:color="000000"/>
              <w:right w:val="single" w:sz="4" w:space="0" w:color="000000"/>
            </w:tcBorders>
          </w:tcPr>
          <w:p w14:paraId="000002AD" w14:textId="77777777" w:rsidR="00054D27" w:rsidRPr="00800799" w:rsidRDefault="00AF622A">
            <w:pPr>
              <w:spacing w:line="276" w:lineRule="auto"/>
              <w:rPr>
                <w:rFonts w:ascii="Arial" w:eastAsia="Arial" w:hAnsi="Arial" w:cs="Arial"/>
                <w:sz w:val="20"/>
                <w:szCs w:val="20"/>
              </w:rPr>
            </w:pPr>
            <w:r w:rsidRPr="00800799">
              <w:rPr>
                <w:sz w:val="20"/>
                <w:szCs w:val="20"/>
              </w:rPr>
              <w:t>Aktualizace závěrů předběžného posouzení 2019</w:t>
            </w:r>
          </w:p>
        </w:tc>
        <w:tc>
          <w:tcPr>
            <w:tcW w:w="6799" w:type="dxa"/>
            <w:tcBorders>
              <w:top w:val="single" w:sz="4" w:space="0" w:color="000000"/>
              <w:left w:val="single" w:sz="4" w:space="0" w:color="000000"/>
              <w:bottom w:val="single" w:sz="4" w:space="0" w:color="000000"/>
              <w:right w:val="single" w:sz="4" w:space="0" w:color="000000"/>
            </w:tcBorders>
          </w:tcPr>
          <w:p w14:paraId="000002AE" w14:textId="77777777" w:rsidR="00054D27" w:rsidRPr="00800799"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800799">
              <w:rPr>
                <w:color w:val="000000"/>
                <w:sz w:val="20"/>
                <w:szCs w:val="20"/>
              </w:rPr>
              <w:t>Odstartovaná implementace zvýhodněných úvěrů ČMZRB. Kvůli malé poptávce byly zjednodušené podmínky</w:t>
            </w:r>
          </w:p>
          <w:p w14:paraId="000002AF" w14:textId="1C864E3F" w:rsidR="00054D27" w:rsidRPr="00C77291"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800799">
              <w:rPr>
                <w:color w:val="000000"/>
                <w:sz w:val="20"/>
                <w:szCs w:val="20"/>
              </w:rPr>
              <w:t xml:space="preserve">Optimalizace návrhu soukromého </w:t>
            </w:r>
            <w:proofErr w:type="gramStart"/>
            <w:r w:rsidRPr="00800799">
              <w:rPr>
                <w:sz w:val="20"/>
                <w:szCs w:val="20"/>
              </w:rPr>
              <w:t>spolufinancování</w:t>
            </w:r>
            <w:r w:rsidRPr="00800799">
              <w:rPr>
                <w:rFonts w:ascii="Arial" w:eastAsia="Arial" w:hAnsi="Arial" w:cs="Arial"/>
                <w:color w:val="000000"/>
                <w:sz w:val="20"/>
                <w:szCs w:val="20"/>
              </w:rPr>
              <w:t xml:space="preserve"> - nastavit</w:t>
            </w:r>
            <w:proofErr w:type="gramEnd"/>
            <w:r w:rsidRPr="00800799">
              <w:rPr>
                <w:rFonts w:ascii="Arial" w:eastAsia="Arial" w:hAnsi="Arial" w:cs="Arial"/>
                <w:color w:val="000000"/>
                <w:sz w:val="20"/>
                <w:szCs w:val="20"/>
              </w:rPr>
              <w:t xml:space="preserve"> u typově menších projektů (do 5 mil. Kč) možnost poskytnutí samotného zvýhodněného úvěru na úrovni 80 – 90 % výdajů projektu. Do</w:t>
            </w:r>
            <w:r w:rsidRPr="00C77291">
              <w:rPr>
                <w:rFonts w:ascii="Arial" w:eastAsia="Arial" w:hAnsi="Arial" w:cs="Arial"/>
                <w:color w:val="000000"/>
                <w:sz w:val="20"/>
                <w:szCs w:val="20"/>
              </w:rPr>
              <w:t>poručení nastavit co nejjednodušší podmínky</w:t>
            </w:r>
          </w:p>
        </w:tc>
      </w:tr>
    </w:tbl>
    <w:p w14:paraId="000002B0" w14:textId="77777777" w:rsidR="00054D27" w:rsidRPr="00800799" w:rsidRDefault="00054D27">
      <w:pPr>
        <w:rPr>
          <w:sz w:val="20"/>
          <w:szCs w:val="20"/>
        </w:rPr>
      </w:pPr>
    </w:p>
    <w:p w14:paraId="000002B1" w14:textId="77777777" w:rsidR="00054D27" w:rsidRPr="00800799" w:rsidRDefault="00AF622A">
      <w:pPr>
        <w:pBdr>
          <w:top w:val="single" w:sz="4" w:space="1" w:color="000000"/>
          <w:left w:val="single" w:sz="4" w:space="4" w:color="000000"/>
          <w:bottom w:val="single" w:sz="4" w:space="0" w:color="000000"/>
          <w:right w:val="single" w:sz="4" w:space="4" w:color="000000"/>
        </w:pBdr>
        <w:shd w:val="clear" w:color="auto" w:fill="E5B9B7"/>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000002B2" w14:textId="77777777" w:rsidR="00054D27" w:rsidRPr="00800799" w:rsidRDefault="00AF622A">
      <w:pPr>
        <w:pBdr>
          <w:top w:val="single" w:sz="4" w:space="1" w:color="000000"/>
          <w:left w:val="single" w:sz="4" w:space="4" w:color="000000"/>
          <w:bottom w:val="single" w:sz="4" w:space="0" w:color="000000"/>
          <w:right w:val="single" w:sz="4" w:space="4" w:color="000000"/>
        </w:pBdr>
        <w:shd w:val="clear" w:color="auto" w:fill="E5B9B7"/>
        <w:jc w:val="both"/>
        <w:rPr>
          <w:sz w:val="20"/>
          <w:szCs w:val="20"/>
        </w:rPr>
      </w:pPr>
      <w:r w:rsidRPr="00800799">
        <w:rPr>
          <w:sz w:val="20"/>
          <w:szCs w:val="20"/>
        </w:rPr>
        <w:t>Úspory energie ve finančních nástrojích OP PIK nelze hodnotit úspěšně z hlediska poptávky. Proto bude tomuto programu věnována zvláštní pozornost v rámci strukturovaných rozhovorů s NRB, ČBA, ČLFA, HK, SP a také v rámci dotazníkového šetření, zejména z hlediska vhodného nastavení podpory v podobě kombinace dotace v podobě odpuštění posledních splátek zvýhodněného úvěru a finančního nástroje. Pozornost budeme také věnovat oblasti podpůrného poradenství pro přípravu projektů.</w:t>
      </w:r>
    </w:p>
    <w:p w14:paraId="000002B3" w14:textId="77777777" w:rsidR="00054D27" w:rsidRPr="00800799" w:rsidRDefault="00054D27">
      <w:pPr>
        <w:rPr>
          <w:sz w:val="20"/>
          <w:szCs w:val="20"/>
        </w:rPr>
      </w:pPr>
    </w:p>
    <w:tbl>
      <w:tblPr>
        <w:tblStyle w:val="aff"/>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9"/>
      </w:tblGrid>
      <w:tr w:rsidR="00054D27" w:rsidRPr="00800799" w14:paraId="27DA25B6"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DBE5F1"/>
          </w:tcPr>
          <w:p w14:paraId="000002B4" w14:textId="1C34B08D" w:rsidR="00054D27" w:rsidRPr="00800799" w:rsidRDefault="00AF622A">
            <w:pPr>
              <w:spacing w:line="276" w:lineRule="auto"/>
              <w:rPr>
                <w:rFonts w:ascii="Arial" w:eastAsia="Arial" w:hAnsi="Arial" w:cs="Arial"/>
                <w:b/>
                <w:sz w:val="20"/>
                <w:szCs w:val="20"/>
              </w:rPr>
            </w:pPr>
            <w:r w:rsidRPr="00800799">
              <w:rPr>
                <w:b/>
                <w:sz w:val="20"/>
                <w:szCs w:val="20"/>
              </w:rPr>
              <w:t xml:space="preserve">SC 3.4 </w:t>
            </w:r>
            <w:r w:rsidR="0061511A" w:rsidRPr="00800799">
              <w:rPr>
                <w:b/>
                <w:sz w:val="20"/>
                <w:szCs w:val="20"/>
              </w:rPr>
              <w:t xml:space="preserve">OPPIK </w:t>
            </w:r>
            <w:r w:rsidRPr="00800799">
              <w:rPr>
                <w:b/>
                <w:sz w:val="20"/>
                <w:szCs w:val="20"/>
              </w:rPr>
              <w:t>– Program ELEKTROMOBILITY</w:t>
            </w:r>
          </w:p>
        </w:tc>
      </w:tr>
      <w:tr w:rsidR="00054D27" w:rsidRPr="00800799" w14:paraId="76E57FB8" w14:textId="77777777">
        <w:tc>
          <w:tcPr>
            <w:tcW w:w="2263" w:type="dxa"/>
            <w:tcBorders>
              <w:top w:val="single" w:sz="4" w:space="0" w:color="000000"/>
              <w:left w:val="single" w:sz="4" w:space="0" w:color="000000"/>
              <w:bottom w:val="single" w:sz="4" w:space="0" w:color="000000"/>
              <w:right w:val="single" w:sz="4" w:space="0" w:color="000000"/>
            </w:tcBorders>
          </w:tcPr>
          <w:p w14:paraId="000002B6" w14:textId="6774957C" w:rsidR="00054D27" w:rsidRPr="00800799" w:rsidRDefault="00800799">
            <w:pPr>
              <w:spacing w:line="276" w:lineRule="auto"/>
              <w:rPr>
                <w:rFonts w:ascii="Arial" w:eastAsia="Arial" w:hAnsi="Arial" w:cs="Arial"/>
                <w:sz w:val="20"/>
                <w:szCs w:val="20"/>
              </w:rPr>
            </w:pPr>
            <w:r w:rsidRPr="00312E7F">
              <w:rPr>
                <w:rFonts w:ascii="Arial" w:eastAsia="Arial" w:hAnsi="Arial" w:cs="Arial"/>
                <w:sz w:val="20"/>
                <w:szCs w:val="20"/>
              </w:rPr>
              <w:t>Aktualizace závěrů předběžného posouzení 201</w:t>
            </w:r>
            <w:r>
              <w:rPr>
                <w:rFonts w:ascii="Arial" w:eastAsia="Arial" w:hAnsi="Arial" w:cs="Arial"/>
                <w:sz w:val="20"/>
                <w:szCs w:val="20"/>
              </w:rPr>
              <w:t>7</w:t>
            </w:r>
          </w:p>
        </w:tc>
        <w:tc>
          <w:tcPr>
            <w:tcW w:w="6799" w:type="dxa"/>
            <w:tcBorders>
              <w:top w:val="single" w:sz="4" w:space="0" w:color="000000"/>
              <w:left w:val="single" w:sz="4" w:space="0" w:color="000000"/>
              <w:bottom w:val="single" w:sz="4" w:space="0" w:color="000000"/>
              <w:right w:val="single" w:sz="4" w:space="0" w:color="000000"/>
            </w:tcBorders>
          </w:tcPr>
          <w:p w14:paraId="000002B8" w14:textId="77777777" w:rsidR="00054D27" w:rsidRPr="00800799"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800799">
              <w:rPr>
                <w:rFonts w:ascii="Arial" w:eastAsia="Arial" w:hAnsi="Arial" w:cs="Arial"/>
                <w:color w:val="000000"/>
                <w:sz w:val="20"/>
                <w:szCs w:val="20"/>
              </w:rPr>
              <w:t xml:space="preserve">Vyhodnocená absorpční kapacita, tržní charakteristiky a tržní selhání, realizováno dotazníkové šetření, posouzen možný zájem o FN </w:t>
            </w:r>
          </w:p>
          <w:p w14:paraId="000002B9" w14:textId="77777777" w:rsidR="00054D27" w:rsidRPr="00952825"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C77291">
              <w:rPr>
                <w:rFonts w:ascii="Arial" w:eastAsia="Arial" w:hAnsi="Arial" w:cs="Arial"/>
                <w:color w:val="000000"/>
                <w:sz w:val="20"/>
                <w:szCs w:val="20"/>
              </w:rPr>
              <w:t xml:space="preserve">Typické projekty se pohybují na hranici akceptovatelné návratnosti vůči vozidlům se spalovacím motorem. Zájem o </w:t>
            </w:r>
            <w:proofErr w:type="spellStart"/>
            <w:r w:rsidRPr="00C77291">
              <w:rPr>
                <w:rFonts w:ascii="Arial" w:eastAsia="Arial" w:hAnsi="Arial" w:cs="Arial"/>
                <w:color w:val="000000"/>
                <w:sz w:val="20"/>
                <w:szCs w:val="20"/>
              </w:rPr>
              <w:t>elektromobili</w:t>
            </w:r>
            <w:r w:rsidRPr="00952825">
              <w:rPr>
                <w:rFonts w:ascii="Arial" w:eastAsia="Arial" w:hAnsi="Arial" w:cs="Arial"/>
                <w:color w:val="000000"/>
                <w:sz w:val="20"/>
                <w:szCs w:val="20"/>
              </w:rPr>
              <w:t>tu</w:t>
            </w:r>
            <w:proofErr w:type="spellEnd"/>
            <w:r w:rsidRPr="00952825">
              <w:rPr>
                <w:rFonts w:ascii="Arial" w:eastAsia="Arial" w:hAnsi="Arial" w:cs="Arial"/>
                <w:color w:val="000000"/>
                <w:sz w:val="20"/>
                <w:szCs w:val="20"/>
              </w:rPr>
              <w:t xml:space="preserve"> se potkává s bariérami, které ale z části mohou být řešitelné podporou FN </w:t>
            </w:r>
          </w:p>
          <w:p w14:paraId="000002BA" w14:textId="77777777" w:rsidR="00054D27" w:rsidRPr="00676862"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952825">
              <w:rPr>
                <w:rFonts w:ascii="Arial" w:eastAsia="Arial" w:hAnsi="Arial" w:cs="Arial"/>
                <w:color w:val="000000"/>
                <w:sz w:val="20"/>
                <w:szCs w:val="20"/>
              </w:rPr>
              <w:t>Zmíněné dotazníkové šetření odhalilo zájem žadatelů o tenhle ty podpory i potenciálně významný vliv na jejich rozhodování.</w:t>
            </w:r>
          </w:p>
          <w:p w14:paraId="000002BB" w14:textId="77777777" w:rsidR="00054D27" w:rsidRPr="00800799"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676862">
              <w:rPr>
                <w:rFonts w:ascii="Arial" w:eastAsia="Arial" w:hAnsi="Arial" w:cs="Arial"/>
                <w:color w:val="000000"/>
                <w:sz w:val="20"/>
                <w:szCs w:val="20"/>
              </w:rPr>
              <w:t>Žadatelé se s FN mohou dostat k rychlejší a flexibilnější podpoře (než s podporou dot</w:t>
            </w:r>
            <w:r w:rsidRPr="00800799">
              <w:rPr>
                <w:color w:val="000000"/>
                <w:sz w:val="20"/>
                <w:szCs w:val="20"/>
              </w:rPr>
              <w:t xml:space="preserve">ací), která bude i v kontextu návratnosti veřejných zdrojů efektivnější. Na druhou stranu, u dotací kvůli finančnímu zvýhodnění přetrvává potencionálně větší vliv na žadatele při jeho rozhodování. </w:t>
            </w:r>
          </w:p>
          <w:p w14:paraId="000002BC" w14:textId="77777777" w:rsidR="00054D27" w:rsidRPr="00800799"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proofErr w:type="spellStart"/>
            <w:r w:rsidRPr="00800799">
              <w:rPr>
                <w:color w:val="000000"/>
                <w:sz w:val="20"/>
                <w:szCs w:val="20"/>
              </w:rPr>
              <w:t>Elektromobilita</w:t>
            </w:r>
            <w:proofErr w:type="spellEnd"/>
            <w:r w:rsidRPr="00800799">
              <w:rPr>
                <w:color w:val="000000"/>
                <w:sz w:val="20"/>
                <w:szCs w:val="20"/>
              </w:rPr>
              <w:t xml:space="preserve"> může být vhodně podporována dotačně, i skrz finanční nástroje. Typ podpory se vztahuje na požadavek návratnosti zdrojů a na definovaný strategický národní zájem míry rozvoje samotné </w:t>
            </w:r>
            <w:proofErr w:type="spellStart"/>
            <w:r w:rsidRPr="00800799">
              <w:rPr>
                <w:color w:val="000000"/>
                <w:sz w:val="20"/>
                <w:szCs w:val="20"/>
              </w:rPr>
              <w:t>elektromobility</w:t>
            </w:r>
            <w:proofErr w:type="spellEnd"/>
          </w:p>
          <w:p w14:paraId="000002BD" w14:textId="77777777" w:rsidR="00054D27" w:rsidRPr="00800799"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800799">
              <w:rPr>
                <w:color w:val="000000"/>
                <w:sz w:val="20"/>
                <w:szCs w:val="20"/>
              </w:rPr>
              <w:lastRenderedPageBreak/>
              <w:t>Bezúročný úvěr s odkladem splátek byl určen jako vhodný FN. ČMZRB má realizovat opatření v souladu s dalšími úvěrovými nástroji navrženými v Předběžném posouzení 2015</w:t>
            </w:r>
          </w:p>
          <w:p w14:paraId="000002BE" w14:textId="77777777" w:rsidR="00054D27" w:rsidRPr="00800799"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800799">
              <w:rPr>
                <w:color w:val="000000"/>
                <w:sz w:val="20"/>
                <w:szCs w:val="20"/>
              </w:rPr>
              <w:t>V případě implementace finančního nástroje se na pilotní alokaci doporučuje vyčlenit 0,2 – 1 mld. Kč.</w:t>
            </w:r>
          </w:p>
        </w:tc>
      </w:tr>
      <w:tr w:rsidR="00054D27" w:rsidRPr="00800799" w14:paraId="5D61B66B" w14:textId="77777777">
        <w:tc>
          <w:tcPr>
            <w:tcW w:w="2263" w:type="dxa"/>
            <w:tcBorders>
              <w:top w:val="single" w:sz="4" w:space="0" w:color="000000"/>
              <w:left w:val="single" w:sz="4" w:space="0" w:color="000000"/>
              <w:bottom w:val="single" w:sz="4" w:space="0" w:color="000000"/>
              <w:right w:val="single" w:sz="4" w:space="0" w:color="000000"/>
            </w:tcBorders>
          </w:tcPr>
          <w:p w14:paraId="000002BF" w14:textId="77777777" w:rsidR="00054D27" w:rsidRPr="00800799" w:rsidRDefault="00AF622A">
            <w:pPr>
              <w:spacing w:line="276" w:lineRule="auto"/>
              <w:rPr>
                <w:rFonts w:ascii="Arial" w:eastAsia="Arial" w:hAnsi="Arial" w:cs="Arial"/>
                <w:sz w:val="20"/>
                <w:szCs w:val="20"/>
              </w:rPr>
            </w:pPr>
            <w:r w:rsidRPr="00800799">
              <w:rPr>
                <w:sz w:val="20"/>
                <w:szCs w:val="20"/>
              </w:rPr>
              <w:lastRenderedPageBreak/>
              <w:t>Forma podpory</w:t>
            </w:r>
          </w:p>
        </w:tc>
        <w:tc>
          <w:tcPr>
            <w:tcW w:w="6799" w:type="dxa"/>
            <w:tcBorders>
              <w:top w:val="single" w:sz="4" w:space="0" w:color="000000"/>
              <w:left w:val="single" w:sz="4" w:space="0" w:color="000000"/>
              <w:bottom w:val="single" w:sz="4" w:space="0" w:color="000000"/>
              <w:right w:val="single" w:sz="4" w:space="0" w:color="000000"/>
            </w:tcBorders>
          </w:tcPr>
          <w:p w14:paraId="000002C0" w14:textId="77777777" w:rsidR="00054D27" w:rsidRPr="00800799"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800799">
              <w:rPr>
                <w:color w:val="000000"/>
                <w:sz w:val="20"/>
                <w:szCs w:val="20"/>
              </w:rPr>
              <w:t xml:space="preserve">Zvýhodněné úvěry ve výši </w:t>
            </w:r>
            <w:proofErr w:type="gramStart"/>
            <w:r w:rsidRPr="00800799">
              <w:rPr>
                <w:color w:val="000000"/>
                <w:sz w:val="20"/>
                <w:szCs w:val="20"/>
              </w:rPr>
              <w:t>40 – 70</w:t>
            </w:r>
            <w:proofErr w:type="gramEnd"/>
            <w:r w:rsidRPr="00800799">
              <w:rPr>
                <w:color w:val="000000"/>
                <w:sz w:val="20"/>
                <w:szCs w:val="20"/>
              </w:rPr>
              <w:t>% způsobilých výdajů dle režimu veřejné podpory. Možnost kombinace se subvencí úrokové míry.</w:t>
            </w:r>
          </w:p>
        </w:tc>
      </w:tr>
      <w:tr w:rsidR="00054D27" w:rsidRPr="00800799" w14:paraId="08A01B63" w14:textId="77777777">
        <w:tc>
          <w:tcPr>
            <w:tcW w:w="2263" w:type="dxa"/>
            <w:tcBorders>
              <w:top w:val="single" w:sz="4" w:space="0" w:color="000000"/>
              <w:left w:val="single" w:sz="4" w:space="0" w:color="000000"/>
              <w:bottom w:val="single" w:sz="4" w:space="0" w:color="000000"/>
              <w:right w:val="single" w:sz="4" w:space="0" w:color="000000"/>
            </w:tcBorders>
          </w:tcPr>
          <w:p w14:paraId="000002C1" w14:textId="77777777" w:rsidR="00054D27" w:rsidRPr="00800799" w:rsidRDefault="00AF622A">
            <w:pPr>
              <w:spacing w:line="276" w:lineRule="auto"/>
              <w:rPr>
                <w:rFonts w:ascii="Arial" w:eastAsia="Arial" w:hAnsi="Arial" w:cs="Arial"/>
                <w:sz w:val="20"/>
                <w:szCs w:val="20"/>
              </w:rPr>
            </w:pPr>
            <w:r w:rsidRPr="00800799">
              <w:rPr>
                <w:sz w:val="20"/>
                <w:szCs w:val="20"/>
              </w:rPr>
              <w:t>Definice a kritéria způsobilých projektů</w:t>
            </w:r>
          </w:p>
        </w:tc>
        <w:tc>
          <w:tcPr>
            <w:tcW w:w="6799" w:type="dxa"/>
            <w:tcBorders>
              <w:top w:val="single" w:sz="4" w:space="0" w:color="000000"/>
              <w:left w:val="single" w:sz="4" w:space="0" w:color="000000"/>
              <w:bottom w:val="single" w:sz="4" w:space="0" w:color="000000"/>
              <w:right w:val="single" w:sz="4" w:space="0" w:color="000000"/>
            </w:tcBorders>
          </w:tcPr>
          <w:p w14:paraId="000002C2" w14:textId="77777777" w:rsidR="00054D27" w:rsidRPr="00800799"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800799">
              <w:rPr>
                <w:color w:val="000000"/>
                <w:sz w:val="20"/>
                <w:szCs w:val="20"/>
              </w:rPr>
              <w:t xml:space="preserve">Pořízení elektromobilu </w:t>
            </w:r>
          </w:p>
          <w:p w14:paraId="000002C3" w14:textId="77777777" w:rsidR="00054D27" w:rsidRPr="00800799" w:rsidRDefault="00AF622A">
            <w:pPr>
              <w:numPr>
                <w:ilvl w:val="0"/>
                <w:numId w:val="23"/>
              </w:numPr>
              <w:pBdr>
                <w:top w:val="nil"/>
                <w:left w:val="nil"/>
                <w:bottom w:val="nil"/>
                <w:right w:val="nil"/>
                <w:between w:val="nil"/>
              </w:pBdr>
              <w:spacing w:line="276" w:lineRule="auto"/>
              <w:rPr>
                <w:rFonts w:ascii="Arial" w:eastAsia="Arial" w:hAnsi="Arial" w:cs="Arial"/>
                <w:color w:val="000000"/>
                <w:sz w:val="20"/>
                <w:szCs w:val="20"/>
              </w:rPr>
            </w:pPr>
            <w:r w:rsidRPr="00800799">
              <w:rPr>
                <w:color w:val="000000"/>
                <w:sz w:val="20"/>
                <w:szCs w:val="20"/>
              </w:rPr>
              <w:t>Podporované kategorie silničních vozidel: L7e (malá užitková), M1 (osobní), M2 a M3 do 7,5t (minibus</w:t>
            </w:r>
            <w:proofErr w:type="gramStart"/>
            <w:r w:rsidRPr="00800799">
              <w:rPr>
                <w:color w:val="000000"/>
                <w:sz w:val="20"/>
                <w:szCs w:val="20"/>
              </w:rPr>
              <w:t>) ,</w:t>
            </w:r>
            <w:proofErr w:type="gramEnd"/>
            <w:r w:rsidRPr="00800799">
              <w:rPr>
                <w:color w:val="000000"/>
                <w:sz w:val="20"/>
                <w:szCs w:val="20"/>
              </w:rPr>
              <w:t xml:space="preserve">  N1 nákladní do 3,5t (nákladní)</w:t>
            </w:r>
          </w:p>
        </w:tc>
      </w:tr>
    </w:tbl>
    <w:p w14:paraId="000002C4" w14:textId="77777777" w:rsidR="00054D27" w:rsidRPr="00800799" w:rsidRDefault="00054D27"/>
    <w:p w14:paraId="000002C5" w14:textId="77777777" w:rsidR="00054D27" w:rsidRPr="00800799" w:rsidRDefault="00AF622A">
      <w:pPr>
        <w:pBdr>
          <w:top w:val="single" w:sz="4" w:space="1" w:color="000000"/>
          <w:left w:val="single" w:sz="4" w:space="4" w:color="000000"/>
          <w:bottom w:val="single" w:sz="4" w:space="0" w:color="000000"/>
          <w:right w:val="single" w:sz="4" w:space="4" w:color="000000"/>
        </w:pBdr>
        <w:shd w:val="clear" w:color="auto" w:fill="E5B9B7"/>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000002C6" w14:textId="7CC491B6" w:rsidR="00054D27" w:rsidRPr="00800799" w:rsidRDefault="00AF622A">
      <w:pPr>
        <w:pBdr>
          <w:top w:val="single" w:sz="4" w:space="1" w:color="000000"/>
          <w:left w:val="single" w:sz="4" w:space="4" w:color="000000"/>
          <w:bottom w:val="single" w:sz="4" w:space="0" w:color="000000"/>
          <w:right w:val="single" w:sz="4" w:space="4" w:color="000000"/>
        </w:pBdr>
        <w:shd w:val="clear" w:color="auto" w:fill="E5B9B7"/>
        <w:jc w:val="both"/>
        <w:rPr>
          <w:sz w:val="20"/>
          <w:szCs w:val="20"/>
        </w:rPr>
      </w:pPr>
      <w:r w:rsidRPr="00800799">
        <w:rPr>
          <w:sz w:val="20"/>
          <w:szCs w:val="20"/>
        </w:rPr>
        <w:t xml:space="preserve">Situace na trhu s elektromobily se dynamicky vyvíjí. Dohromady se elektromobilů a </w:t>
      </w:r>
      <w:proofErr w:type="spellStart"/>
      <w:r w:rsidRPr="00800799">
        <w:rPr>
          <w:sz w:val="20"/>
          <w:szCs w:val="20"/>
        </w:rPr>
        <w:t>plug</w:t>
      </w:r>
      <w:proofErr w:type="spellEnd"/>
      <w:r w:rsidRPr="00800799">
        <w:rPr>
          <w:sz w:val="20"/>
          <w:szCs w:val="20"/>
        </w:rPr>
        <w:t xml:space="preserve">-in hybridů (PHEV) za rok 2020 prodalo podle statistik Svazu dovozců automobilů (SDA) 5243 kusů, což je zhruba 2,6 procenta ze všech prodaných nových aut z toho přibližně 60 % bateriové elektromobily a 40 % PHEV), což je více než čtyřnásobek hodnot za rok 2019. </w:t>
      </w:r>
      <w:r w:rsidR="00B0658E" w:rsidRPr="00800799">
        <w:rPr>
          <w:sz w:val="20"/>
          <w:szCs w:val="20"/>
        </w:rPr>
        <w:t xml:space="preserve">Z hlediska možnosti podpory v rámci OP TAK je velmi důležité rozlišit i jednotlivé kategorie vozidel, zejména N a M. </w:t>
      </w:r>
      <w:r w:rsidRPr="00800799">
        <w:rPr>
          <w:sz w:val="20"/>
          <w:szCs w:val="20"/>
        </w:rPr>
        <w:t xml:space="preserve">K detailnímu zmapování potenciálu pro finanční nástroje v oblasti </w:t>
      </w:r>
      <w:proofErr w:type="spellStart"/>
      <w:r w:rsidRPr="00800799">
        <w:rPr>
          <w:sz w:val="20"/>
          <w:szCs w:val="20"/>
        </w:rPr>
        <w:t>elektromobility</w:t>
      </w:r>
      <w:proofErr w:type="spellEnd"/>
      <w:r w:rsidRPr="00800799">
        <w:rPr>
          <w:sz w:val="20"/>
          <w:szCs w:val="20"/>
        </w:rPr>
        <w:t xml:space="preserve"> budou provedeny strukturované rozhovory s HK, SP, Asociací pro </w:t>
      </w:r>
      <w:proofErr w:type="spellStart"/>
      <w:r w:rsidRPr="00800799">
        <w:rPr>
          <w:sz w:val="20"/>
          <w:szCs w:val="20"/>
        </w:rPr>
        <w:t>elektromobilitu</w:t>
      </w:r>
      <w:proofErr w:type="spellEnd"/>
      <w:r w:rsidRPr="00800799">
        <w:rPr>
          <w:sz w:val="20"/>
          <w:szCs w:val="20"/>
        </w:rPr>
        <w:t xml:space="preserve"> České republiky (APEL) a Sdružením automobilového průmyslu a dále bude téma probíráno též s NRB, ČLFA a ČBA.</w:t>
      </w:r>
    </w:p>
    <w:p w14:paraId="000002C7" w14:textId="77777777" w:rsidR="00054D27" w:rsidRPr="00800799" w:rsidRDefault="00054D27">
      <w:pPr>
        <w:rPr>
          <w:sz w:val="20"/>
          <w:szCs w:val="20"/>
        </w:rPr>
      </w:pPr>
    </w:p>
    <w:p w14:paraId="000002C8" w14:textId="053B0B13" w:rsidR="00054D27" w:rsidRPr="00800799" w:rsidRDefault="00AF622A">
      <w:pPr>
        <w:pStyle w:val="Nadpis3"/>
        <w:numPr>
          <w:ilvl w:val="1"/>
          <w:numId w:val="13"/>
        </w:numPr>
        <w:rPr>
          <w:color w:val="D04A02"/>
          <w:sz w:val="24"/>
          <w:szCs w:val="24"/>
        </w:rPr>
      </w:pPr>
      <w:bookmarkStart w:id="72" w:name="_55oasiemd1l4"/>
      <w:bookmarkStart w:id="73" w:name="_Toc90364562"/>
      <w:bookmarkStart w:id="74" w:name="_Toc89232800"/>
      <w:bookmarkStart w:id="75" w:name="_Toc89067100"/>
      <w:bookmarkEnd w:id="72"/>
      <w:r w:rsidRPr="00800799">
        <w:rPr>
          <w:color w:val="D04A02"/>
          <w:sz w:val="24"/>
          <w:szCs w:val="24"/>
        </w:rPr>
        <w:t xml:space="preserve">Výsledková evaluace </w:t>
      </w:r>
      <w:r w:rsidR="0061511A" w:rsidRPr="00800799">
        <w:rPr>
          <w:color w:val="D04A02"/>
          <w:sz w:val="24"/>
          <w:szCs w:val="24"/>
        </w:rPr>
        <w:t xml:space="preserve">OPPIK </w:t>
      </w:r>
      <w:r w:rsidRPr="00800799">
        <w:rPr>
          <w:color w:val="D04A02"/>
          <w:sz w:val="24"/>
          <w:szCs w:val="24"/>
        </w:rPr>
        <w:t>z roku 2019</w:t>
      </w:r>
      <w:bookmarkEnd w:id="73"/>
      <w:bookmarkEnd w:id="74"/>
      <w:bookmarkEnd w:id="75"/>
    </w:p>
    <w:p w14:paraId="57B09344" w14:textId="2E4BD37E" w:rsidR="0061511A" w:rsidRPr="00952825" w:rsidRDefault="0061511A" w:rsidP="0061511A">
      <w:pPr>
        <w:rPr>
          <w:sz w:val="20"/>
          <w:szCs w:val="20"/>
        </w:rPr>
      </w:pPr>
      <w:r w:rsidRPr="00800799">
        <w:rPr>
          <w:sz w:val="20"/>
          <w:szCs w:val="20"/>
        </w:rPr>
        <w:t>Výsledková evaluace OPPIK z roku 2019 nepřináší zásadní vstupy pro Předběžné posouzení finančních nástrojů OP TAK, neboť se věnuje zejména dotačním programům.</w:t>
      </w:r>
      <w:r w:rsidRPr="00C77291">
        <w:rPr>
          <w:sz w:val="20"/>
          <w:szCs w:val="20"/>
        </w:rPr>
        <w:t xml:space="preserve"> Níže proto uvádíme pouze některé specifické komentáře k závěr</w:t>
      </w:r>
      <w:r w:rsidRPr="00952825">
        <w:rPr>
          <w:sz w:val="20"/>
          <w:szCs w:val="20"/>
        </w:rPr>
        <w:t>ům výsledkové evaluace, které využijeme v rámci tvorby návrhové části studie.</w:t>
      </w:r>
    </w:p>
    <w:p w14:paraId="43E4139D" w14:textId="77777777" w:rsidR="0061511A" w:rsidRPr="00952825" w:rsidRDefault="0061511A" w:rsidP="0061511A"/>
    <w:p w14:paraId="000002C9" w14:textId="77777777" w:rsidR="00054D27" w:rsidRPr="00676862" w:rsidRDefault="00AF622A">
      <w:pPr>
        <w:numPr>
          <w:ilvl w:val="0"/>
          <w:numId w:val="19"/>
        </w:numPr>
        <w:pBdr>
          <w:top w:val="nil"/>
          <w:left w:val="nil"/>
          <w:bottom w:val="nil"/>
          <w:right w:val="nil"/>
          <w:between w:val="nil"/>
        </w:pBdr>
        <w:spacing w:line="240" w:lineRule="auto"/>
        <w:jc w:val="both"/>
        <w:rPr>
          <w:b/>
          <w:color w:val="000000"/>
          <w:sz w:val="20"/>
          <w:szCs w:val="20"/>
        </w:rPr>
      </w:pPr>
      <w:r w:rsidRPr="00952825">
        <w:rPr>
          <w:b/>
          <w:color w:val="000000"/>
          <w:sz w:val="20"/>
          <w:szCs w:val="20"/>
        </w:rPr>
        <w:t>Jak přispěly intervence realizované v rámci programů podpory Technologie, Expanze OP PIK k dosahování SC 2.1?</w:t>
      </w:r>
    </w:p>
    <w:p w14:paraId="000002CA" w14:textId="77777777" w:rsidR="00054D27" w:rsidRPr="00676862" w:rsidRDefault="00054D27">
      <w:pPr>
        <w:jc w:val="both"/>
        <w:rPr>
          <w:sz w:val="20"/>
          <w:szCs w:val="20"/>
        </w:rPr>
      </w:pPr>
    </w:p>
    <w:p w14:paraId="000002CB" w14:textId="45248F20" w:rsidR="00054D27" w:rsidRPr="00800799" w:rsidRDefault="00AF622A">
      <w:pPr>
        <w:jc w:val="both"/>
        <w:rPr>
          <w:sz w:val="20"/>
          <w:szCs w:val="20"/>
        </w:rPr>
      </w:pPr>
      <w:r w:rsidRPr="00800799">
        <w:rPr>
          <w:sz w:val="20"/>
          <w:szCs w:val="20"/>
        </w:rPr>
        <w:t>U příjemců bylo zpozorované zvyšování konkurenceschopnosti v důsledku zaváděných inovací, které zvyšují kvalitu a efektivitu produkce. Tím bylo umožněno vyrábět nové produkty s vyšší přidanou hodnotou a/nebo zvýšit kvalitativní parametry stávající produkce, rozšířit výrobní kapacity a v důsledku získávat nové zákazníky a zvyšovat objem produkce. Jedná se o bezprostřední příčinnou souvislost mezi obdrženou podporou a nárůstem konkurenceschopnosti. Analýza naznačuje pozitivní trendy na přidané hodnotě a částečně i tržbách, ovšem prozatím nikoliv na hospodářských výsledcích (které jsou zatíženy investicí).</w:t>
      </w:r>
    </w:p>
    <w:p w14:paraId="000002CC" w14:textId="77777777" w:rsidR="00054D27" w:rsidRPr="00800799" w:rsidRDefault="00054D27">
      <w:pPr>
        <w:jc w:val="both"/>
        <w:rPr>
          <w:sz w:val="20"/>
          <w:szCs w:val="20"/>
        </w:rPr>
      </w:pPr>
    </w:p>
    <w:p w14:paraId="000002CD"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000002CE" w14:textId="26939372"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sz w:val="20"/>
          <w:szCs w:val="20"/>
        </w:rPr>
        <w:t xml:space="preserve">V roce 2017 byla v rámci programu Expanze aplikována podmínka dosažení růstu obratu pod smluvní sankcí, kterou podle materiálů </w:t>
      </w:r>
      <w:r w:rsidR="00600F43" w:rsidRPr="00800799">
        <w:rPr>
          <w:sz w:val="20"/>
          <w:szCs w:val="20"/>
        </w:rPr>
        <w:t>NRB</w:t>
      </w:r>
      <w:r w:rsidRPr="00800799">
        <w:rPr>
          <w:sz w:val="20"/>
          <w:szCs w:val="20"/>
        </w:rPr>
        <w:t xml:space="preserve"> bylo možné považovat za jednu z příčin počáteční nízké poptávky po programu. S ohledem na </w:t>
      </w:r>
      <w:proofErr w:type="spellStart"/>
      <w:r w:rsidRPr="00800799">
        <w:rPr>
          <w:sz w:val="20"/>
          <w:szCs w:val="20"/>
        </w:rPr>
        <w:t>nepredikovatelnost</w:t>
      </w:r>
      <w:proofErr w:type="spellEnd"/>
      <w:r w:rsidRPr="00800799">
        <w:rPr>
          <w:sz w:val="20"/>
          <w:szCs w:val="20"/>
        </w:rPr>
        <w:t xml:space="preserve"> tržního vývoje, který konečný příjemce nemůže ovlivnit, by podobné podmínky v OP TAK neměly být aplikovány. Např. současná pandemická situace řadě firem znemožňovala navýšit obrat a další podnikové finanční ukazatele.</w:t>
      </w:r>
    </w:p>
    <w:p w14:paraId="000002CF" w14:textId="77777777" w:rsidR="00054D27" w:rsidRPr="00800799" w:rsidRDefault="00054D27">
      <w:pPr>
        <w:jc w:val="both"/>
        <w:rPr>
          <w:sz w:val="20"/>
          <w:szCs w:val="20"/>
        </w:rPr>
      </w:pPr>
    </w:p>
    <w:p w14:paraId="000002D0" w14:textId="77777777" w:rsidR="00054D27" w:rsidRPr="00800799" w:rsidRDefault="00054D27">
      <w:pPr>
        <w:jc w:val="both"/>
        <w:rPr>
          <w:sz w:val="20"/>
          <w:szCs w:val="20"/>
        </w:rPr>
      </w:pPr>
    </w:p>
    <w:p w14:paraId="000002D1" w14:textId="77777777" w:rsidR="00054D27" w:rsidRPr="00800799" w:rsidRDefault="00AF622A">
      <w:pPr>
        <w:numPr>
          <w:ilvl w:val="0"/>
          <w:numId w:val="19"/>
        </w:numPr>
        <w:pBdr>
          <w:top w:val="nil"/>
          <w:left w:val="nil"/>
          <w:bottom w:val="nil"/>
          <w:right w:val="nil"/>
          <w:between w:val="nil"/>
        </w:pBdr>
        <w:spacing w:line="240" w:lineRule="auto"/>
        <w:jc w:val="both"/>
        <w:rPr>
          <w:b/>
          <w:color w:val="000000"/>
          <w:sz w:val="20"/>
          <w:szCs w:val="20"/>
        </w:rPr>
      </w:pPr>
      <w:r w:rsidRPr="00800799">
        <w:rPr>
          <w:b/>
          <w:color w:val="000000"/>
          <w:sz w:val="20"/>
          <w:szCs w:val="20"/>
        </w:rPr>
        <w:t>Jaké jsou nezamýšlené (pozitivní i negativní) efekty v rámci dosahování těchto specifických cílů?</w:t>
      </w:r>
    </w:p>
    <w:p w14:paraId="000002D2" w14:textId="77777777" w:rsidR="00054D27" w:rsidRPr="00800799" w:rsidRDefault="00054D27">
      <w:pPr>
        <w:jc w:val="both"/>
        <w:rPr>
          <w:sz w:val="20"/>
          <w:szCs w:val="20"/>
        </w:rPr>
      </w:pPr>
    </w:p>
    <w:p w14:paraId="000002D3" w14:textId="77777777" w:rsidR="00054D27" w:rsidRPr="00800799" w:rsidRDefault="00AF622A">
      <w:pPr>
        <w:jc w:val="both"/>
        <w:rPr>
          <w:sz w:val="20"/>
          <w:szCs w:val="20"/>
        </w:rPr>
      </w:pPr>
      <w:r w:rsidRPr="00800799">
        <w:rPr>
          <w:sz w:val="20"/>
          <w:szCs w:val="20"/>
        </w:rPr>
        <w:t>Došlo ke zvýšení tlaku na kvalifikace zaměstnanců, snížení dopadů na životní prostředí, posílení domácí pozice firem a zároveň porovnání se zahraničními firmami. Negativní dopady spojené s administrativou, neflexibilním financováním a prodleným vyhlášením výsledkům. Projekty generují návazné investice, které musí podpořené podniky financovat z vlastních zdrojů. Investice do technologií snižují potřebu lidského kapitálu, je ale neustále nutné vykazovat nárůst počtu zaměstnanců. Odběratelé podniku se dostávají ke kvalitnějším a estetičtějším výrobkům. Na dodavatelské vztahy podpořeného podniku nebyl zaznamenán žádný dopad.</w:t>
      </w:r>
    </w:p>
    <w:p w14:paraId="000002D4" w14:textId="77777777" w:rsidR="00054D27" w:rsidRPr="00800799" w:rsidRDefault="00054D27">
      <w:pPr>
        <w:jc w:val="both"/>
        <w:rPr>
          <w:sz w:val="20"/>
          <w:szCs w:val="20"/>
        </w:rPr>
      </w:pPr>
    </w:p>
    <w:p w14:paraId="000002D5" w14:textId="77777777" w:rsidR="00054D27" w:rsidRPr="00800799" w:rsidRDefault="00AF622A">
      <w:pPr>
        <w:jc w:val="both"/>
        <w:rPr>
          <w:sz w:val="20"/>
          <w:szCs w:val="20"/>
        </w:rPr>
      </w:pPr>
      <w:r w:rsidRPr="00800799">
        <w:rPr>
          <w:b/>
          <w:sz w:val="20"/>
          <w:szCs w:val="20"/>
        </w:rPr>
        <w:t xml:space="preserve">Doporučení </w:t>
      </w:r>
      <w:r w:rsidRPr="00800799">
        <w:rPr>
          <w:sz w:val="20"/>
          <w:szCs w:val="20"/>
        </w:rPr>
        <w:t xml:space="preserve">umožnit čerpání podpory de </w:t>
      </w:r>
      <w:proofErr w:type="spellStart"/>
      <w:r w:rsidRPr="00800799">
        <w:rPr>
          <w:sz w:val="20"/>
          <w:szCs w:val="20"/>
        </w:rPr>
        <w:t>minimis</w:t>
      </w:r>
      <w:proofErr w:type="spellEnd"/>
      <w:r w:rsidRPr="00800799">
        <w:rPr>
          <w:sz w:val="20"/>
          <w:szCs w:val="20"/>
        </w:rPr>
        <w:t xml:space="preserve"> v kontextu propojených subjektů a zvážit revizi povinné podmínky navýšení počtu zaměstnanců. </w:t>
      </w:r>
    </w:p>
    <w:p w14:paraId="000002D6" w14:textId="77777777" w:rsidR="00054D27" w:rsidRPr="00800799" w:rsidRDefault="00054D27">
      <w:pPr>
        <w:jc w:val="both"/>
        <w:rPr>
          <w:sz w:val="20"/>
          <w:szCs w:val="20"/>
        </w:rPr>
      </w:pPr>
    </w:p>
    <w:p w14:paraId="000002D7"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000002D8"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sz w:val="20"/>
          <w:szCs w:val="20"/>
        </w:rPr>
        <w:t xml:space="preserve">1. Čerpání podpory de </w:t>
      </w:r>
      <w:proofErr w:type="spellStart"/>
      <w:r w:rsidRPr="00800799">
        <w:rPr>
          <w:sz w:val="20"/>
          <w:szCs w:val="20"/>
        </w:rPr>
        <w:t>minimis</w:t>
      </w:r>
      <w:proofErr w:type="spellEnd"/>
      <w:r w:rsidRPr="00800799">
        <w:rPr>
          <w:sz w:val="20"/>
          <w:szCs w:val="20"/>
        </w:rPr>
        <w:t xml:space="preserve"> v kontextu propojených subjektů je v rámci programů podpory finančních nástrojů umožněno do limitů stanovených nařízením Komise (EU) č. 1407/2013 v rámci hrubého ekvivalentu podpory a pravidel pro kumulaci podpor malého rozsahu (stropová hodnota podpory de </w:t>
      </w:r>
      <w:proofErr w:type="spellStart"/>
      <w:r w:rsidRPr="00800799">
        <w:rPr>
          <w:sz w:val="20"/>
          <w:szCs w:val="20"/>
        </w:rPr>
        <w:t>minimis</w:t>
      </w:r>
      <w:proofErr w:type="spellEnd"/>
      <w:r w:rsidRPr="00800799">
        <w:rPr>
          <w:sz w:val="20"/>
          <w:szCs w:val="20"/>
        </w:rPr>
        <w:t xml:space="preserve"> platí pro „jeden podnik“).</w:t>
      </w:r>
    </w:p>
    <w:p w14:paraId="000002D9"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sz w:val="20"/>
          <w:szCs w:val="20"/>
        </w:rPr>
        <w:t>2. Podmínka navýšení počtu zaměstnanců se netýkala finančních nástrojů, nicméně platila podmínka doložení nově vzniklých pracovních míst pracovními smlouvami, kterou navrhujeme odstranit, neboť podpora finančními nástroji nesměřuje přímo na vytváření nových pracovních míst a tato administrativní podmínka vedla žadatele o podporu k tomu, aby nová pracovní místa neuváděli. K 30.6.2021 tak bylo v programu Expanze podle údajů Národní rozvojové banky vytvořeno pouze 262 nových pracovních míst, zatímco v rámci OPPI vytvořily programy podpory ČMZRB více než 2000 pracovních míst s mnohem nižší alokací.</w:t>
      </w:r>
    </w:p>
    <w:p w14:paraId="000002DA" w14:textId="77777777" w:rsidR="00054D27" w:rsidRPr="00800799" w:rsidRDefault="00054D27">
      <w:pPr>
        <w:jc w:val="both"/>
        <w:rPr>
          <w:b/>
          <w:sz w:val="20"/>
          <w:szCs w:val="20"/>
        </w:rPr>
      </w:pPr>
    </w:p>
    <w:p w14:paraId="000002E4" w14:textId="77777777" w:rsidR="00054D27" w:rsidRPr="00800799" w:rsidRDefault="00054D27">
      <w:pPr>
        <w:jc w:val="both"/>
        <w:rPr>
          <w:b/>
          <w:sz w:val="20"/>
          <w:szCs w:val="20"/>
        </w:rPr>
      </w:pPr>
    </w:p>
    <w:p w14:paraId="000002E5" w14:textId="77777777" w:rsidR="00054D27" w:rsidRPr="00800799" w:rsidRDefault="00AF622A">
      <w:pPr>
        <w:numPr>
          <w:ilvl w:val="0"/>
          <w:numId w:val="19"/>
        </w:numPr>
        <w:pBdr>
          <w:top w:val="nil"/>
          <w:left w:val="nil"/>
          <w:bottom w:val="nil"/>
          <w:right w:val="nil"/>
          <w:between w:val="nil"/>
        </w:pBdr>
        <w:spacing w:line="240" w:lineRule="auto"/>
        <w:jc w:val="both"/>
        <w:rPr>
          <w:b/>
          <w:color w:val="000000"/>
          <w:sz w:val="20"/>
          <w:szCs w:val="20"/>
        </w:rPr>
      </w:pPr>
      <w:r w:rsidRPr="00800799">
        <w:rPr>
          <w:b/>
          <w:color w:val="000000"/>
          <w:sz w:val="20"/>
          <w:szCs w:val="20"/>
        </w:rPr>
        <w:t>Vedly intervence k lepším hospodářským výsledkům podpořených podniků ve srovnání s podniky nepodpořenými, tj. zejména k nárůstu přidané hodnoty a nárůstu tržeb?</w:t>
      </w:r>
    </w:p>
    <w:p w14:paraId="000002E6" w14:textId="77777777" w:rsidR="00054D27" w:rsidRPr="00800799" w:rsidRDefault="00054D27">
      <w:pPr>
        <w:jc w:val="both"/>
        <w:rPr>
          <w:b/>
          <w:sz w:val="20"/>
          <w:szCs w:val="20"/>
        </w:rPr>
      </w:pPr>
    </w:p>
    <w:p w14:paraId="000002E7" w14:textId="47C99550" w:rsidR="00054D27" w:rsidRPr="00800799" w:rsidRDefault="00AF622A">
      <w:pPr>
        <w:jc w:val="both"/>
        <w:rPr>
          <w:sz w:val="20"/>
          <w:szCs w:val="20"/>
        </w:rPr>
      </w:pPr>
      <w:r w:rsidRPr="00800799">
        <w:rPr>
          <w:sz w:val="20"/>
          <w:szCs w:val="20"/>
        </w:rPr>
        <w:t xml:space="preserve">Kvůli nedávné realizace projektů ještě nemuselo dojít k projevení efektu podpory. Podpora pravděpodobně vede k nárůstu přidané hodnoty u podpořených podniků a k nárůstu jejich tržeb z prodeje. Negativní výsledek ale může být předpokládán při výsledku z hospodaření, když podpora představuje investiční zátěž. </w:t>
      </w:r>
    </w:p>
    <w:p w14:paraId="000002E8" w14:textId="77777777" w:rsidR="00054D27" w:rsidRPr="00800799" w:rsidRDefault="00054D27">
      <w:pPr>
        <w:jc w:val="both"/>
        <w:rPr>
          <w:sz w:val="20"/>
          <w:szCs w:val="20"/>
        </w:rPr>
      </w:pPr>
    </w:p>
    <w:p w14:paraId="000002E9" w14:textId="77777777" w:rsidR="00054D27" w:rsidRPr="00800799" w:rsidRDefault="00AF622A">
      <w:pPr>
        <w:jc w:val="both"/>
        <w:rPr>
          <w:sz w:val="20"/>
          <w:szCs w:val="20"/>
        </w:rPr>
      </w:pPr>
      <w:r w:rsidRPr="00800799">
        <w:rPr>
          <w:b/>
          <w:sz w:val="20"/>
          <w:szCs w:val="20"/>
        </w:rPr>
        <w:t xml:space="preserve">Doporučení </w:t>
      </w:r>
      <w:r w:rsidRPr="00800799">
        <w:rPr>
          <w:sz w:val="20"/>
          <w:szCs w:val="20"/>
        </w:rPr>
        <w:t xml:space="preserve">zlepšit potřeby závěrečného hodnocení informace o účetních obdobích, podrobněji analyzovat efekty podpory na HV v čase, a v kontextu PO 21+ prozkoumat možnost propojit monitorovací systém programu s databázemi třetích subjektů tak, aby příjemci nebyli povinni vykazovat data, která odevzdávají jiným institucím. </w:t>
      </w:r>
    </w:p>
    <w:p w14:paraId="000002EA" w14:textId="77777777" w:rsidR="00054D27" w:rsidRPr="00800799" w:rsidRDefault="00054D27">
      <w:pPr>
        <w:jc w:val="both"/>
        <w:rPr>
          <w:b/>
          <w:sz w:val="20"/>
          <w:szCs w:val="20"/>
        </w:rPr>
      </w:pPr>
    </w:p>
    <w:p w14:paraId="000002EB"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000002EC"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sz w:val="20"/>
          <w:szCs w:val="20"/>
        </w:rPr>
        <w:t>Poskytnutá data o realizaci programů podpory finančních nástrojů neumožňují vyhodnocení finančních ukazatelů, neboť přidaná hodnota je v monitorovacích zprávách uvedena v absolutním vyjádření bez výchozí hodnoty. Navrhujeme upravit reporting finančních nástrojů OP TAK tak, aby přidaná hodnota byla příjemcem vykazována ve formě procentního nárůstu v jednotlivých letech od poskytnutí podpory.</w:t>
      </w:r>
    </w:p>
    <w:p w14:paraId="000002ED" w14:textId="77777777" w:rsidR="00054D27" w:rsidRPr="00800799" w:rsidRDefault="00054D27">
      <w:pPr>
        <w:jc w:val="both"/>
        <w:rPr>
          <w:b/>
          <w:sz w:val="20"/>
          <w:szCs w:val="20"/>
        </w:rPr>
      </w:pPr>
    </w:p>
    <w:p w14:paraId="000002EE" w14:textId="77777777" w:rsidR="00054D27" w:rsidRPr="00800799" w:rsidRDefault="00054D27">
      <w:pPr>
        <w:jc w:val="both"/>
        <w:rPr>
          <w:b/>
          <w:sz w:val="20"/>
          <w:szCs w:val="20"/>
        </w:rPr>
      </w:pPr>
    </w:p>
    <w:p w14:paraId="00000303" w14:textId="792320FD" w:rsidR="00054D27" w:rsidRPr="00800799" w:rsidRDefault="00AF622A">
      <w:pPr>
        <w:numPr>
          <w:ilvl w:val="0"/>
          <w:numId w:val="19"/>
        </w:numPr>
        <w:pBdr>
          <w:top w:val="nil"/>
          <w:left w:val="nil"/>
          <w:bottom w:val="nil"/>
          <w:right w:val="nil"/>
          <w:between w:val="nil"/>
        </w:pBdr>
        <w:spacing w:line="240" w:lineRule="auto"/>
        <w:jc w:val="both"/>
        <w:rPr>
          <w:b/>
          <w:color w:val="000000"/>
          <w:sz w:val="20"/>
          <w:szCs w:val="20"/>
        </w:rPr>
      </w:pPr>
      <w:r w:rsidRPr="00800799">
        <w:rPr>
          <w:b/>
          <w:color w:val="000000"/>
          <w:sz w:val="20"/>
          <w:szCs w:val="20"/>
        </w:rPr>
        <w:lastRenderedPageBreak/>
        <w:t>Došlo k zajištění dostupnosti vnějšího financování pro začínající podnikatele a inovační podniky?</w:t>
      </w:r>
    </w:p>
    <w:p w14:paraId="00000304" w14:textId="77777777" w:rsidR="00054D27" w:rsidRPr="00800799" w:rsidRDefault="00054D27">
      <w:pPr>
        <w:jc w:val="both"/>
        <w:rPr>
          <w:b/>
          <w:sz w:val="20"/>
          <w:szCs w:val="20"/>
        </w:rPr>
      </w:pPr>
    </w:p>
    <w:p w14:paraId="00000305" w14:textId="77777777" w:rsidR="00054D27" w:rsidRPr="00800799" w:rsidRDefault="00AF622A">
      <w:pPr>
        <w:jc w:val="both"/>
        <w:rPr>
          <w:sz w:val="20"/>
          <w:szCs w:val="20"/>
        </w:rPr>
      </w:pPr>
      <w:r w:rsidRPr="00800799">
        <w:rPr>
          <w:sz w:val="20"/>
          <w:szCs w:val="20"/>
        </w:rPr>
        <w:t xml:space="preserve">Z analýzy vyplývá, že dostupnost vnějšího financování pro začínající a inovativní MSP se zlepšuje. Bezúročné/nízkoúročené úvěry se jeví jako nejvíce poptávané typy podpory ze strany cílových subjektů. Primárně kvůli požadovaným zárukám mají začínající podnikatelé problémy při získávaní bankovního úvěru. Podle názorů MSP je systém státní podpory vnímán jako nedostatečně flexibilní, zdlouhavý a příliš administrativně náročný. </w:t>
      </w:r>
    </w:p>
    <w:p w14:paraId="00000306" w14:textId="77777777" w:rsidR="00054D27" w:rsidRPr="00800799" w:rsidRDefault="00054D27">
      <w:pPr>
        <w:jc w:val="both"/>
        <w:rPr>
          <w:sz w:val="20"/>
          <w:szCs w:val="20"/>
        </w:rPr>
      </w:pPr>
    </w:p>
    <w:p w14:paraId="00000307" w14:textId="77777777" w:rsidR="00054D27" w:rsidRPr="00800799" w:rsidRDefault="00AF622A">
      <w:pPr>
        <w:jc w:val="both"/>
        <w:rPr>
          <w:sz w:val="20"/>
          <w:szCs w:val="20"/>
        </w:rPr>
      </w:pPr>
      <w:r w:rsidRPr="00800799">
        <w:rPr>
          <w:b/>
          <w:sz w:val="20"/>
          <w:szCs w:val="20"/>
        </w:rPr>
        <w:t xml:space="preserve">Doporučení </w:t>
      </w:r>
      <w:r w:rsidRPr="00800799">
        <w:rPr>
          <w:sz w:val="20"/>
          <w:szCs w:val="20"/>
        </w:rPr>
        <w:t>realizace záruční časti PP Expanze a posílit propagaci dostupných finančních nástrojů. Doporučuje se i zvážení doplnění nabídky nástrojů o produkt pro inovativní start-</w:t>
      </w:r>
      <w:proofErr w:type="spellStart"/>
      <w:r w:rsidRPr="00800799">
        <w:rPr>
          <w:sz w:val="20"/>
          <w:szCs w:val="20"/>
        </w:rPr>
        <w:t>upy</w:t>
      </w:r>
      <w:proofErr w:type="spellEnd"/>
      <w:r w:rsidRPr="00800799">
        <w:rPr>
          <w:sz w:val="20"/>
          <w:szCs w:val="20"/>
        </w:rPr>
        <w:t xml:space="preserve"> v regionech ČR mimo hl. m. Prahu formou zvýhodněných úvěrů a záruk. Jednalo by se např. o úpravě/rozšíření PP Expanze.  Dále v PO 2021-2027 poskytovat dotační podporu podpory začínajícím a rozvojovým MSP skrz vhodné </w:t>
      </w:r>
      <w:proofErr w:type="gramStart"/>
      <w:r w:rsidRPr="00800799">
        <w:rPr>
          <w:sz w:val="20"/>
          <w:szCs w:val="20"/>
        </w:rPr>
        <w:t>FN - zvýhodněné</w:t>
      </w:r>
      <w:proofErr w:type="gramEnd"/>
      <w:r w:rsidRPr="00800799">
        <w:rPr>
          <w:sz w:val="20"/>
          <w:szCs w:val="20"/>
        </w:rPr>
        <w:t xml:space="preserve"> úvěry, záruky, rizikový kapitál. Taktéž by měla být zesílená podpora digitální transformace v segmentu MSP, která by měla být poskytována specifickým cílovým skupinám. Měl by být vytvořen nástroj na podporu financování inovativních start-</w:t>
      </w:r>
      <w:proofErr w:type="spellStart"/>
      <w:r w:rsidRPr="00800799">
        <w:rPr>
          <w:sz w:val="20"/>
          <w:szCs w:val="20"/>
        </w:rPr>
        <w:t>upů</w:t>
      </w:r>
      <w:proofErr w:type="spellEnd"/>
      <w:r w:rsidRPr="00800799">
        <w:rPr>
          <w:sz w:val="20"/>
          <w:szCs w:val="20"/>
        </w:rPr>
        <w:t xml:space="preserve">, který bude flexibilně schopen zajistit investice do tohoto segmentu (tímto nástrojem může být </w:t>
      </w:r>
      <w:proofErr w:type="spellStart"/>
      <w:proofErr w:type="gramStart"/>
      <w:r w:rsidRPr="00800799">
        <w:rPr>
          <w:sz w:val="20"/>
          <w:szCs w:val="20"/>
        </w:rPr>
        <w:t>např.fond</w:t>
      </w:r>
      <w:proofErr w:type="spellEnd"/>
      <w:proofErr w:type="gramEnd"/>
      <w:r w:rsidRPr="00800799">
        <w:rPr>
          <w:sz w:val="20"/>
          <w:szCs w:val="20"/>
        </w:rPr>
        <w:t xml:space="preserve"> fondů spravován ČMZRB). ČMZRB by měla být transformována do podoby národní rozvojové banky. </w:t>
      </w:r>
    </w:p>
    <w:p w14:paraId="00000308" w14:textId="77777777" w:rsidR="00054D27" w:rsidRPr="00800799" w:rsidRDefault="00054D27">
      <w:pPr>
        <w:jc w:val="both"/>
        <w:rPr>
          <w:b/>
          <w:sz w:val="20"/>
          <w:szCs w:val="20"/>
        </w:rPr>
      </w:pPr>
    </w:p>
    <w:p w14:paraId="00000309"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0000030A" w14:textId="2098D6E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sz w:val="20"/>
          <w:szCs w:val="20"/>
        </w:rPr>
        <w:t xml:space="preserve">Podpora pro inovativní </w:t>
      </w:r>
      <w:proofErr w:type="spellStart"/>
      <w:r w:rsidRPr="00800799">
        <w:rPr>
          <w:sz w:val="20"/>
          <w:szCs w:val="20"/>
        </w:rPr>
        <w:t>startupy</w:t>
      </w:r>
      <w:proofErr w:type="spellEnd"/>
      <w:r w:rsidRPr="00800799">
        <w:rPr>
          <w:sz w:val="20"/>
          <w:szCs w:val="20"/>
        </w:rPr>
        <w:t xml:space="preserve"> ve formě dluhového finančního nástroje již byla ze strany NRB realizována v letech 2019-2021 v rámci Operačního programu Praha-pól růstu. V rámci strukturovaného rozhovoru s představit</w:t>
      </w:r>
      <w:r w:rsidRPr="00EA0A6C">
        <w:rPr>
          <w:sz w:val="20"/>
          <w:szCs w:val="20"/>
        </w:rPr>
        <w:t>eli NRB se zaměříme i na výsledky této podpory.</w:t>
      </w:r>
      <w:r w:rsidR="0061511A" w:rsidRPr="00EA0A6C">
        <w:rPr>
          <w:sz w:val="20"/>
          <w:szCs w:val="20"/>
        </w:rPr>
        <w:t xml:space="preserve"> Zároveň je z monitorovacích zpráv zřejmé, že více než 300 mladých firem podpořila NRB i v rámci programu podpory Expanze</w:t>
      </w:r>
      <w:r w:rsidR="00DD32E7" w:rsidRPr="00EA0A6C">
        <w:rPr>
          <w:sz w:val="20"/>
          <w:szCs w:val="20"/>
        </w:rPr>
        <w:t>. Potenciál úvěrů pro začínající podniky bude analyzován i v závěrečné zprávě projektu,</w:t>
      </w:r>
    </w:p>
    <w:p w14:paraId="0000030B" w14:textId="77777777" w:rsidR="00054D27" w:rsidRPr="00952825"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sz w:val="20"/>
          <w:szCs w:val="20"/>
        </w:rPr>
        <w:t>Z hlediska financování inovativních start-</w:t>
      </w:r>
      <w:proofErr w:type="spellStart"/>
      <w:r w:rsidRPr="00800799">
        <w:rPr>
          <w:sz w:val="20"/>
          <w:szCs w:val="20"/>
        </w:rPr>
        <w:t>upů</w:t>
      </w:r>
      <w:proofErr w:type="spellEnd"/>
      <w:r w:rsidRPr="00800799">
        <w:rPr>
          <w:sz w:val="20"/>
          <w:szCs w:val="20"/>
        </w:rPr>
        <w:t xml:space="preserve"> však považujeme za nosný program Rizikový kapitál, který nevytváří hned na startu podnikání konečného příjemc</w:t>
      </w:r>
      <w:r w:rsidRPr="00C77291">
        <w:rPr>
          <w:sz w:val="20"/>
          <w:szCs w:val="20"/>
        </w:rPr>
        <w:t>e zátěž v podobě dluhové služby a úrokového krytí při typicky velmi nízkých tržbách.</w:t>
      </w:r>
    </w:p>
    <w:p w14:paraId="0000030C" w14:textId="77777777" w:rsidR="00054D27" w:rsidRPr="00952825" w:rsidRDefault="00054D27">
      <w:pPr>
        <w:jc w:val="both"/>
        <w:rPr>
          <w:b/>
          <w:sz w:val="20"/>
          <w:szCs w:val="20"/>
        </w:rPr>
      </w:pPr>
    </w:p>
    <w:p w14:paraId="0000032B" w14:textId="77777777" w:rsidR="00054D27" w:rsidRPr="00800799" w:rsidRDefault="00AF622A">
      <w:pPr>
        <w:pStyle w:val="Nadpis3"/>
        <w:numPr>
          <w:ilvl w:val="1"/>
          <w:numId w:val="13"/>
        </w:numPr>
        <w:rPr>
          <w:color w:val="D04A02"/>
          <w:sz w:val="24"/>
          <w:szCs w:val="24"/>
        </w:rPr>
      </w:pPr>
      <w:bookmarkStart w:id="76" w:name="_kc8g1ysx358z"/>
      <w:bookmarkStart w:id="77" w:name="_Toc90364563"/>
      <w:bookmarkStart w:id="78" w:name="_Toc89232801"/>
      <w:bookmarkStart w:id="79" w:name="_Toc89067101"/>
      <w:bookmarkEnd w:id="76"/>
      <w:r w:rsidRPr="00800799">
        <w:rPr>
          <w:color w:val="D04A02"/>
          <w:sz w:val="24"/>
          <w:szCs w:val="24"/>
        </w:rPr>
        <w:t>Analýza absorpční kapacity OP TAK z roku 2020</w:t>
      </w:r>
      <w:bookmarkEnd w:id="77"/>
      <w:bookmarkEnd w:id="78"/>
      <w:bookmarkEnd w:id="79"/>
      <w:r w:rsidRPr="00800799">
        <w:rPr>
          <w:color w:val="D04A02"/>
          <w:sz w:val="24"/>
          <w:szCs w:val="24"/>
        </w:rPr>
        <w:t xml:space="preserve"> </w:t>
      </w:r>
    </w:p>
    <w:p w14:paraId="2233B29D" w14:textId="77777777" w:rsidR="003F3DD2" w:rsidRPr="00EA0A6C" w:rsidRDefault="00AF622A">
      <w:pPr>
        <w:jc w:val="both"/>
        <w:rPr>
          <w:sz w:val="20"/>
          <w:szCs w:val="20"/>
        </w:rPr>
      </w:pPr>
      <w:r w:rsidRPr="00EA0A6C">
        <w:rPr>
          <w:sz w:val="20"/>
          <w:szCs w:val="20"/>
        </w:rPr>
        <w:t xml:space="preserve">Cílem analýzy bylo zjistit absorpční kapacitu pro období </w:t>
      </w:r>
      <w:proofErr w:type="gramStart"/>
      <w:r w:rsidRPr="00EA0A6C">
        <w:rPr>
          <w:sz w:val="20"/>
          <w:szCs w:val="20"/>
        </w:rPr>
        <w:t>2021 - 2027</w:t>
      </w:r>
      <w:proofErr w:type="gramEnd"/>
      <w:r w:rsidRPr="00EA0A6C">
        <w:rPr>
          <w:sz w:val="20"/>
          <w:szCs w:val="20"/>
        </w:rPr>
        <w:t xml:space="preserve"> v rámci konkrétních cílů OP TAK. </w:t>
      </w:r>
    </w:p>
    <w:p w14:paraId="425C30ED" w14:textId="71C43DF7" w:rsidR="00FA3615" w:rsidRPr="00EA0A6C" w:rsidRDefault="00FA3615">
      <w:pPr>
        <w:jc w:val="both"/>
        <w:rPr>
          <w:sz w:val="20"/>
          <w:szCs w:val="20"/>
        </w:rPr>
      </w:pPr>
      <w:r w:rsidRPr="00EA0A6C">
        <w:rPr>
          <w:sz w:val="20"/>
          <w:szCs w:val="20"/>
        </w:rPr>
        <w:t>Analýza se nevěnovala specificky absorpční kapacitě finančních nástrojů, ale vždy specifickému cíli jako celku. Nelze proto na základě závěrů této analýzy stanovit závěry ohledně odhadu absorpční kapacity finančních nástrojů. Proto jsme v následujících komentářích využili též předběžný finanční plán OP TAK poskytnutý MPO. Analýza však bude vzata v úvahu jako orientační vodítko při odhadu absorpční kapacity jednotlivých finančních nástrojů v závěrečné zprávě projektu.</w:t>
      </w:r>
    </w:p>
    <w:p w14:paraId="23688FC2" w14:textId="0A260970" w:rsidR="00FA3615" w:rsidRPr="00EA0A6C" w:rsidRDefault="00FA3615">
      <w:pPr>
        <w:jc w:val="both"/>
        <w:rPr>
          <w:sz w:val="20"/>
          <w:szCs w:val="20"/>
        </w:rPr>
      </w:pPr>
      <w:r w:rsidRPr="00EA0A6C">
        <w:rPr>
          <w:sz w:val="20"/>
          <w:szCs w:val="20"/>
        </w:rPr>
        <w:t>Absorpční kapacita finančních nástrojů bude zejména v případě SC 2.1 bude značně ovlivněna existencí dalších finančních nástrojů – Národní plán obnovy, národní program Záruka 2024+ využívající obrátkové prostředky OP PIK v odhadované výši 6-9 mld. Kč</w:t>
      </w:r>
      <w:r w:rsidR="00676862" w:rsidRPr="00EA0A6C">
        <w:rPr>
          <w:rStyle w:val="Znakapoznpodarou"/>
          <w:sz w:val="20"/>
          <w:szCs w:val="20"/>
        </w:rPr>
        <w:footnoteReference w:id="5"/>
      </w:r>
      <w:r w:rsidRPr="00EA0A6C">
        <w:rPr>
          <w:sz w:val="20"/>
          <w:szCs w:val="20"/>
        </w:rPr>
        <w:t xml:space="preserve">, </w:t>
      </w:r>
      <w:proofErr w:type="spellStart"/>
      <w:r w:rsidRPr="00EA0A6C">
        <w:rPr>
          <w:sz w:val="20"/>
          <w:szCs w:val="20"/>
        </w:rPr>
        <w:t>InvestEU</w:t>
      </w:r>
      <w:proofErr w:type="spellEnd"/>
      <w:r w:rsidRPr="00EA0A6C">
        <w:rPr>
          <w:sz w:val="20"/>
          <w:szCs w:val="20"/>
        </w:rPr>
        <w:t xml:space="preserve">. Podle názoru </w:t>
      </w:r>
      <w:proofErr w:type="spellStart"/>
      <w:r w:rsidRPr="00EA0A6C">
        <w:rPr>
          <w:sz w:val="20"/>
          <w:szCs w:val="20"/>
        </w:rPr>
        <w:t>PwC</w:t>
      </w:r>
      <w:proofErr w:type="spellEnd"/>
      <w:r w:rsidRPr="00EA0A6C">
        <w:rPr>
          <w:sz w:val="20"/>
          <w:szCs w:val="20"/>
        </w:rPr>
        <w:t xml:space="preserve"> by se závěrečná zpráva měla zejména v případě Expanze OP TAK věnovat (nad rámec původního zadání) celkové strategii MPO v přístupu k finančním nástrojům – pro závěry ohledně absorpční kapacity Expanze bude potřeba znát (případně navrhnout) rozdělení způsobilosti projektů a časové návaznosti mezi tyto finanční nástroje, které všechny míří na stejné typy projektů, jako Expanze OP TAK (přístup k financování MSP).</w:t>
      </w:r>
    </w:p>
    <w:p w14:paraId="28197DE4" w14:textId="617CC1DC" w:rsidR="00FA3615" w:rsidRPr="00EA0A6C" w:rsidRDefault="00FA3615">
      <w:pPr>
        <w:jc w:val="both"/>
        <w:rPr>
          <w:sz w:val="20"/>
          <w:szCs w:val="20"/>
        </w:rPr>
      </w:pPr>
      <w:r w:rsidRPr="00EA0A6C">
        <w:rPr>
          <w:sz w:val="20"/>
          <w:szCs w:val="20"/>
        </w:rPr>
        <w:lastRenderedPageBreak/>
        <w:t xml:space="preserve">V případě ostatních specifických cílů a programu Nemovitosti </w:t>
      </w:r>
      <w:r w:rsidR="00676862" w:rsidRPr="00EA0A6C">
        <w:rPr>
          <w:sz w:val="20"/>
          <w:szCs w:val="20"/>
        </w:rPr>
        <w:t xml:space="preserve">bude pro stanovení odhadu absorpční kapacity zásadní zejména znalost ekonomických parametrů typového projektu a modelování scénářů kombinace dotace s finančním nástrojem za využití stávajících a budoucích navrhovaných pravidel veřejné </w:t>
      </w:r>
      <w:proofErr w:type="spellStart"/>
      <w:proofErr w:type="gramStart"/>
      <w:r w:rsidR="00676862" w:rsidRPr="00EA0A6C">
        <w:rPr>
          <w:sz w:val="20"/>
          <w:szCs w:val="20"/>
        </w:rPr>
        <w:t>podpory</w:t>
      </w:r>
      <w:r w:rsidRPr="00EA0A6C">
        <w:rPr>
          <w:sz w:val="20"/>
          <w:szCs w:val="20"/>
        </w:rPr>
        <w:t>.</w:t>
      </w:r>
      <w:r w:rsidR="00676862" w:rsidRPr="00EA0A6C">
        <w:rPr>
          <w:sz w:val="20"/>
          <w:szCs w:val="20"/>
        </w:rPr>
        <w:t>Toto</w:t>
      </w:r>
      <w:proofErr w:type="spellEnd"/>
      <w:proofErr w:type="gramEnd"/>
      <w:r w:rsidR="00676862" w:rsidRPr="00EA0A6C">
        <w:rPr>
          <w:sz w:val="20"/>
          <w:szCs w:val="20"/>
        </w:rPr>
        <w:t xml:space="preserve"> modelování bude provedeno v závěrečné zprávě projektu v závislosti na výstupech dotazníkového šetření.</w:t>
      </w:r>
    </w:p>
    <w:p w14:paraId="2B480945" w14:textId="29DE6BA3" w:rsidR="00FA3615" w:rsidRPr="00EA0A6C" w:rsidRDefault="00FA3615">
      <w:pPr>
        <w:jc w:val="both"/>
        <w:rPr>
          <w:sz w:val="20"/>
          <w:szCs w:val="20"/>
        </w:rPr>
      </w:pPr>
      <w:r w:rsidRPr="00EA0A6C">
        <w:rPr>
          <w:sz w:val="20"/>
          <w:szCs w:val="20"/>
        </w:rPr>
        <w:t xml:space="preserve">V případě programu Rizikový kapitál </w:t>
      </w:r>
      <w:r w:rsidR="00676862" w:rsidRPr="00EA0A6C">
        <w:rPr>
          <w:sz w:val="20"/>
          <w:szCs w:val="20"/>
        </w:rPr>
        <w:t xml:space="preserve">s ohledem na specifika firem vyhledávajících rizikové kapitálové financování </w:t>
      </w:r>
      <w:r w:rsidRPr="00EA0A6C">
        <w:rPr>
          <w:sz w:val="20"/>
          <w:szCs w:val="20"/>
        </w:rPr>
        <w:t>nepře</w:t>
      </w:r>
      <w:r w:rsidR="00676862" w:rsidRPr="00EA0A6C">
        <w:rPr>
          <w:sz w:val="20"/>
          <w:szCs w:val="20"/>
        </w:rPr>
        <w:t>dp</w:t>
      </w:r>
      <w:r w:rsidRPr="00EA0A6C">
        <w:rPr>
          <w:sz w:val="20"/>
          <w:szCs w:val="20"/>
        </w:rPr>
        <w:t>okládáme</w:t>
      </w:r>
      <w:r w:rsidR="00676862" w:rsidRPr="00EA0A6C">
        <w:rPr>
          <w:sz w:val="20"/>
          <w:szCs w:val="20"/>
        </w:rPr>
        <w:t>, že by byla absorpční kapacita tohoto programu ovlivněna dalšími finančními nástroji MPO nebo dotačními programy OP TAK.</w:t>
      </w:r>
    </w:p>
    <w:p w14:paraId="21F722E4" w14:textId="1F1E6677" w:rsidR="001B238D" w:rsidRPr="00952825" w:rsidRDefault="00FA3615">
      <w:pPr>
        <w:jc w:val="both"/>
        <w:rPr>
          <w:sz w:val="20"/>
          <w:szCs w:val="20"/>
        </w:rPr>
      </w:pPr>
      <w:r w:rsidRPr="00EA0A6C">
        <w:rPr>
          <w:sz w:val="20"/>
          <w:szCs w:val="20"/>
        </w:rPr>
        <w:t xml:space="preserve"> </w:t>
      </w:r>
      <w:r w:rsidR="00AF622A" w:rsidRPr="00EA0A6C">
        <w:rPr>
          <w:sz w:val="20"/>
          <w:szCs w:val="20"/>
        </w:rPr>
        <w:t xml:space="preserve">Následující tabulka ukazuje odhadovanou absorpční kapacitu specifických cílů OP TAK podle studie MPO (specifické cíle relevantní pro analýzu FN podle MPO) a komentářem ze strany </w:t>
      </w:r>
      <w:proofErr w:type="spellStart"/>
      <w:r w:rsidR="00AF622A" w:rsidRPr="00EA0A6C">
        <w:rPr>
          <w:sz w:val="20"/>
          <w:szCs w:val="20"/>
        </w:rPr>
        <w:t>PwC</w:t>
      </w:r>
      <w:proofErr w:type="spellEnd"/>
      <w:r w:rsidRPr="00EA0A6C">
        <w:rPr>
          <w:sz w:val="20"/>
          <w:szCs w:val="20"/>
        </w:rPr>
        <w:t xml:space="preserve"> s využitím předběžného finančního plánu OP TAK</w:t>
      </w:r>
      <w:r w:rsidR="00AF622A" w:rsidRPr="00EA0A6C">
        <w:rPr>
          <w:sz w:val="20"/>
          <w:szCs w:val="20"/>
        </w:rPr>
        <w:t>.</w:t>
      </w:r>
      <w:r w:rsidR="00AF622A" w:rsidRPr="00952825">
        <w:rPr>
          <w:sz w:val="20"/>
          <w:szCs w:val="20"/>
        </w:rPr>
        <w:t xml:space="preserve"> </w:t>
      </w:r>
    </w:p>
    <w:p w14:paraId="17A34ECF" w14:textId="77777777" w:rsidR="001B238D" w:rsidRPr="00952825" w:rsidRDefault="001B238D">
      <w:pPr>
        <w:jc w:val="both"/>
        <w:rPr>
          <w:sz w:val="20"/>
          <w:szCs w:val="20"/>
        </w:rPr>
      </w:pPr>
    </w:p>
    <w:tbl>
      <w:tblPr>
        <w:tblStyle w:val="aff0"/>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
        <w:gridCol w:w="2117"/>
        <w:gridCol w:w="1701"/>
        <w:gridCol w:w="1701"/>
        <w:gridCol w:w="1701"/>
        <w:gridCol w:w="992"/>
        <w:gridCol w:w="992"/>
      </w:tblGrid>
      <w:tr w:rsidR="001B238D" w:rsidRPr="00800799" w14:paraId="014769C1" w14:textId="77777777" w:rsidTr="001B238D">
        <w:trPr>
          <w:trHeight w:val="400"/>
        </w:trPr>
        <w:tc>
          <w:tcPr>
            <w:tcW w:w="3109" w:type="dxa"/>
            <w:gridSpan w:val="2"/>
            <w:vMerge w:val="restart"/>
            <w:shd w:val="clear" w:color="auto" w:fill="DBE5F1"/>
            <w:tcMar>
              <w:top w:w="100" w:type="dxa"/>
              <w:left w:w="100" w:type="dxa"/>
              <w:bottom w:w="100" w:type="dxa"/>
              <w:right w:w="100" w:type="dxa"/>
            </w:tcMar>
          </w:tcPr>
          <w:p w14:paraId="00000330" w14:textId="77777777" w:rsidR="001B238D" w:rsidRPr="00952825" w:rsidRDefault="001B238D">
            <w:pPr>
              <w:pBdr>
                <w:top w:val="nil"/>
                <w:left w:val="nil"/>
                <w:bottom w:val="nil"/>
                <w:right w:val="nil"/>
                <w:between w:val="nil"/>
              </w:pBdr>
              <w:rPr>
                <w:rFonts w:ascii="Arial" w:eastAsia="Arial" w:hAnsi="Arial" w:cs="Arial"/>
                <w:b/>
                <w:sz w:val="20"/>
                <w:szCs w:val="20"/>
              </w:rPr>
            </w:pPr>
            <w:r w:rsidRPr="00952825">
              <w:rPr>
                <w:rFonts w:ascii="Arial" w:eastAsia="Arial" w:hAnsi="Arial" w:cs="Arial"/>
                <w:b/>
                <w:sz w:val="20"/>
                <w:szCs w:val="20"/>
              </w:rPr>
              <w:t>Specifický cíl</w:t>
            </w:r>
          </w:p>
        </w:tc>
        <w:tc>
          <w:tcPr>
            <w:tcW w:w="5103" w:type="dxa"/>
            <w:gridSpan w:val="3"/>
            <w:shd w:val="clear" w:color="auto" w:fill="DBE5F1"/>
            <w:tcMar>
              <w:top w:w="100" w:type="dxa"/>
              <w:left w:w="100" w:type="dxa"/>
              <w:bottom w:w="100" w:type="dxa"/>
              <w:right w:w="100" w:type="dxa"/>
            </w:tcMar>
          </w:tcPr>
          <w:p w14:paraId="00000331" w14:textId="77777777" w:rsidR="001B238D" w:rsidRPr="00676862" w:rsidRDefault="001B238D">
            <w:pPr>
              <w:pBdr>
                <w:top w:val="nil"/>
                <w:left w:val="nil"/>
                <w:bottom w:val="nil"/>
                <w:right w:val="nil"/>
                <w:between w:val="nil"/>
              </w:pBdr>
              <w:rPr>
                <w:rFonts w:ascii="Arial" w:eastAsia="Arial" w:hAnsi="Arial" w:cs="Arial"/>
                <w:b/>
                <w:sz w:val="20"/>
                <w:szCs w:val="20"/>
              </w:rPr>
            </w:pPr>
            <w:r w:rsidRPr="003F3DD2">
              <w:rPr>
                <w:rFonts w:ascii="Arial" w:eastAsia="Arial" w:hAnsi="Arial" w:cs="Arial"/>
                <w:b/>
                <w:sz w:val="20"/>
                <w:szCs w:val="20"/>
              </w:rPr>
              <w:t xml:space="preserve">Odhad požadované podpory na realizaci plánovaných projektů (CZK) </w:t>
            </w:r>
          </w:p>
        </w:tc>
        <w:tc>
          <w:tcPr>
            <w:tcW w:w="992" w:type="dxa"/>
            <w:shd w:val="clear" w:color="auto" w:fill="DBE5F1"/>
          </w:tcPr>
          <w:p w14:paraId="7D69D209" w14:textId="77777777" w:rsidR="001B238D" w:rsidRPr="00EA0A6C" w:rsidRDefault="001B238D">
            <w:pPr>
              <w:widowControl w:val="0"/>
              <w:pBdr>
                <w:top w:val="nil"/>
                <w:left w:val="nil"/>
                <w:bottom w:val="nil"/>
                <w:right w:val="nil"/>
                <w:between w:val="nil"/>
              </w:pBdr>
              <w:rPr>
                <w:rFonts w:ascii="Arial" w:hAnsi="Arial" w:cs="Arial"/>
                <w:b/>
                <w:sz w:val="20"/>
                <w:szCs w:val="20"/>
              </w:rPr>
            </w:pPr>
          </w:p>
        </w:tc>
        <w:tc>
          <w:tcPr>
            <w:tcW w:w="992" w:type="dxa"/>
            <w:vMerge w:val="restart"/>
            <w:shd w:val="clear" w:color="auto" w:fill="DBE5F1"/>
            <w:tcMar>
              <w:top w:w="100" w:type="dxa"/>
              <w:left w:w="100" w:type="dxa"/>
              <w:bottom w:w="100" w:type="dxa"/>
              <w:right w:w="100" w:type="dxa"/>
            </w:tcMar>
          </w:tcPr>
          <w:p w14:paraId="00000334" w14:textId="6D19449B" w:rsidR="001B238D" w:rsidRPr="00800799" w:rsidRDefault="001B238D">
            <w:pPr>
              <w:widowControl w:val="0"/>
              <w:pBdr>
                <w:top w:val="nil"/>
                <w:left w:val="nil"/>
                <w:bottom w:val="nil"/>
                <w:right w:val="nil"/>
                <w:between w:val="nil"/>
              </w:pBdr>
              <w:rPr>
                <w:rFonts w:ascii="Arial" w:eastAsia="Arial" w:hAnsi="Arial" w:cs="Arial"/>
                <w:b/>
                <w:sz w:val="20"/>
                <w:szCs w:val="20"/>
              </w:rPr>
            </w:pPr>
            <w:r w:rsidRPr="00800799">
              <w:rPr>
                <w:rFonts w:ascii="Arial" w:eastAsia="Arial" w:hAnsi="Arial" w:cs="Arial"/>
                <w:b/>
                <w:sz w:val="20"/>
                <w:szCs w:val="20"/>
              </w:rPr>
              <w:t>Podíl na alokaci OP TAK (%)</w:t>
            </w:r>
          </w:p>
        </w:tc>
      </w:tr>
      <w:tr w:rsidR="001B238D" w:rsidRPr="00800799" w14:paraId="2BB0BADA" w14:textId="77777777" w:rsidTr="001B238D">
        <w:trPr>
          <w:trHeight w:val="400"/>
        </w:trPr>
        <w:tc>
          <w:tcPr>
            <w:tcW w:w="3109" w:type="dxa"/>
            <w:gridSpan w:val="2"/>
            <w:vMerge/>
            <w:shd w:val="clear" w:color="auto" w:fill="DBE5F1"/>
            <w:tcMar>
              <w:top w:w="100" w:type="dxa"/>
              <w:left w:w="100" w:type="dxa"/>
              <w:bottom w:w="100" w:type="dxa"/>
              <w:right w:w="100" w:type="dxa"/>
            </w:tcMar>
          </w:tcPr>
          <w:p w14:paraId="00000335" w14:textId="77777777" w:rsidR="001B238D" w:rsidRPr="00EA0A6C" w:rsidRDefault="001B238D">
            <w:pPr>
              <w:widowControl w:val="0"/>
              <w:pBdr>
                <w:top w:val="nil"/>
                <w:left w:val="nil"/>
                <w:bottom w:val="nil"/>
                <w:right w:val="nil"/>
                <w:between w:val="nil"/>
              </w:pBdr>
              <w:spacing w:line="276" w:lineRule="auto"/>
              <w:rPr>
                <w:rFonts w:ascii="Arial" w:hAnsi="Arial" w:cs="Arial"/>
                <w:b/>
                <w:sz w:val="20"/>
                <w:szCs w:val="20"/>
              </w:rPr>
            </w:pPr>
          </w:p>
        </w:tc>
        <w:tc>
          <w:tcPr>
            <w:tcW w:w="1701" w:type="dxa"/>
            <w:shd w:val="clear" w:color="auto" w:fill="DBE5F1"/>
            <w:tcMar>
              <w:top w:w="100" w:type="dxa"/>
              <w:left w:w="100" w:type="dxa"/>
              <w:bottom w:w="100" w:type="dxa"/>
              <w:right w:w="100" w:type="dxa"/>
            </w:tcMar>
          </w:tcPr>
          <w:p w14:paraId="00000336" w14:textId="77777777" w:rsidR="001B238D" w:rsidRPr="00800799" w:rsidRDefault="001B238D">
            <w:pPr>
              <w:pBdr>
                <w:top w:val="nil"/>
                <w:left w:val="nil"/>
                <w:bottom w:val="nil"/>
                <w:right w:val="nil"/>
                <w:between w:val="nil"/>
              </w:pBdr>
              <w:rPr>
                <w:rFonts w:ascii="Arial" w:eastAsia="Arial" w:hAnsi="Arial" w:cs="Arial"/>
                <w:b/>
                <w:sz w:val="20"/>
                <w:szCs w:val="20"/>
              </w:rPr>
            </w:pPr>
            <w:r w:rsidRPr="00800799">
              <w:rPr>
                <w:rFonts w:ascii="Arial" w:eastAsia="Arial" w:hAnsi="Arial" w:cs="Arial"/>
                <w:b/>
                <w:sz w:val="20"/>
                <w:szCs w:val="20"/>
              </w:rPr>
              <w:t>Dolní hranice</w:t>
            </w:r>
          </w:p>
        </w:tc>
        <w:tc>
          <w:tcPr>
            <w:tcW w:w="1701" w:type="dxa"/>
            <w:shd w:val="clear" w:color="auto" w:fill="DBE5F1"/>
            <w:tcMar>
              <w:top w:w="100" w:type="dxa"/>
              <w:left w:w="100" w:type="dxa"/>
              <w:bottom w:w="100" w:type="dxa"/>
              <w:right w:w="100" w:type="dxa"/>
            </w:tcMar>
          </w:tcPr>
          <w:p w14:paraId="00000337" w14:textId="77777777" w:rsidR="001B238D" w:rsidRPr="00C77291" w:rsidRDefault="001B238D">
            <w:pPr>
              <w:pBdr>
                <w:top w:val="nil"/>
                <w:left w:val="nil"/>
                <w:bottom w:val="nil"/>
                <w:right w:val="nil"/>
                <w:between w:val="nil"/>
              </w:pBdr>
              <w:rPr>
                <w:rFonts w:ascii="Arial" w:eastAsia="Arial" w:hAnsi="Arial" w:cs="Arial"/>
                <w:b/>
                <w:sz w:val="20"/>
                <w:szCs w:val="20"/>
              </w:rPr>
            </w:pPr>
            <w:r w:rsidRPr="00C77291">
              <w:rPr>
                <w:rFonts w:ascii="Arial" w:eastAsia="Arial" w:hAnsi="Arial" w:cs="Arial"/>
                <w:b/>
                <w:sz w:val="20"/>
                <w:szCs w:val="20"/>
              </w:rPr>
              <w:t xml:space="preserve">Bodový odhad </w:t>
            </w:r>
          </w:p>
        </w:tc>
        <w:tc>
          <w:tcPr>
            <w:tcW w:w="1701" w:type="dxa"/>
            <w:shd w:val="clear" w:color="auto" w:fill="DBE5F1"/>
            <w:tcMar>
              <w:top w:w="100" w:type="dxa"/>
              <w:left w:w="100" w:type="dxa"/>
              <w:bottom w:w="100" w:type="dxa"/>
              <w:right w:w="100" w:type="dxa"/>
            </w:tcMar>
          </w:tcPr>
          <w:p w14:paraId="00000338" w14:textId="77777777" w:rsidR="001B238D" w:rsidRPr="00952825" w:rsidRDefault="001B238D">
            <w:pPr>
              <w:pBdr>
                <w:top w:val="nil"/>
                <w:left w:val="nil"/>
                <w:bottom w:val="nil"/>
                <w:right w:val="nil"/>
                <w:between w:val="nil"/>
              </w:pBdr>
              <w:rPr>
                <w:rFonts w:ascii="Arial" w:eastAsia="Arial" w:hAnsi="Arial" w:cs="Arial"/>
                <w:b/>
                <w:sz w:val="20"/>
                <w:szCs w:val="20"/>
              </w:rPr>
            </w:pPr>
            <w:r w:rsidRPr="00952825">
              <w:rPr>
                <w:rFonts w:ascii="Arial" w:eastAsia="Arial" w:hAnsi="Arial" w:cs="Arial"/>
                <w:b/>
                <w:sz w:val="20"/>
                <w:szCs w:val="20"/>
              </w:rPr>
              <w:t>Horní hranice</w:t>
            </w:r>
          </w:p>
        </w:tc>
        <w:tc>
          <w:tcPr>
            <w:tcW w:w="992" w:type="dxa"/>
            <w:shd w:val="clear" w:color="auto" w:fill="DBE5F1"/>
          </w:tcPr>
          <w:p w14:paraId="55523A39" w14:textId="77777777" w:rsidR="001B238D" w:rsidRPr="00EA0A6C" w:rsidRDefault="001B238D">
            <w:pPr>
              <w:widowControl w:val="0"/>
              <w:pBdr>
                <w:top w:val="nil"/>
                <w:left w:val="nil"/>
                <w:bottom w:val="nil"/>
                <w:right w:val="nil"/>
                <w:between w:val="nil"/>
              </w:pBdr>
              <w:rPr>
                <w:rFonts w:ascii="Arial" w:hAnsi="Arial" w:cs="Arial"/>
                <w:b/>
                <w:sz w:val="20"/>
                <w:szCs w:val="20"/>
              </w:rPr>
            </w:pPr>
          </w:p>
        </w:tc>
        <w:tc>
          <w:tcPr>
            <w:tcW w:w="992" w:type="dxa"/>
            <w:vMerge/>
            <w:shd w:val="clear" w:color="auto" w:fill="DBE5F1"/>
            <w:tcMar>
              <w:top w:w="100" w:type="dxa"/>
              <w:left w:w="100" w:type="dxa"/>
              <w:bottom w:w="100" w:type="dxa"/>
              <w:right w:w="100" w:type="dxa"/>
            </w:tcMar>
          </w:tcPr>
          <w:p w14:paraId="00000339" w14:textId="5FAB9A7B" w:rsidR="001B238D" w:rsidRPr="00EA0A6C" w:rsidRDefault="001B238D">
            <w:pPr>
              <w:widowControl w:val="0"/>
              <w:pBdr>
                <w:top w:val="nil"/>
                <w:left w:val="nil"/>
                <w:bottom w:val="nil"/>
                <w:right w:val="nil"/>
                <w:between w:val="nil"/>
              </w:pBdr>
              <w:spacing w:line="276" w:lineRule="auto"/>
              <w:rPr>
                <w:rFonts w:ascii="Arial" w:hAnsi="Arial" w:cs="Arial"/>
                <w:b/>
                <w:sz w:val="20"/>
                <w:szCs w:val="20"/>
              </w:rPr>
            </w:pPr>
          </w:p>
        </w:tc>
      </w:tr>
      <w:tr w:rsidR="001B238D" w:rsidRPr="00800799" w14:paraId="35FCF757" w14:textId="77777777" w:rsidTr="001B238D">
        <w:tc>
          <w:tcPr>
            <w:tcW w:w="3109" w:type="dxa"/>
            <w:gridSpan w:val="2"/>
            <w:shd w:val="clear" w:color="auto" w:fill="auto"/>
            <w:tcMar>
              <w:top w:w="100" w:type="dxa"/>
              <w:left w:w="100" w:type="dxa"/>
              <w:bottom w:w="100" w:type="dxa"/>
              <w:right w:w="100" w:type="dxa"/>
            </w:tcMar>
          </w:tcPr>
          <w:p w14:paraId="0000033A" w14:textId="2EFEAD36" w:rsidR="001B238D" w:rsidRPr="00800799" w:rsidRDefault="001B238D">
            <w:pPr>
              <w:widowControl w:val="0"/>
              <w:pBdr>
                <w:top w:val="nil"/>
                <w:left w:val="nil"/>
                <w:bottom w:val="nil"/>
                <w:right w:val="nil"/>
                <w:between w:val="nil"/>
              </w:pBdr>
              <w:rPr>
                <w:rFonts w:ascii="Arial" w:eastAsia="Arial" w:hAnsi="Arial" w:cs="Arial"/>
                <w:sz w:val="20"/>
                <w:szCs w:val="20"/>
              </w:rPr>
            </w:pPr>
            <w:r w:rsidRPr="00800799">
              <w:rPr>
                <w:sz w:val="20"/>
                <w:szCs w:val="20"/>
              </w:rPr>
              <w:t>SC 1.2: Využití</w:t>
            </w:r>
            <w:r w:rsidRPr="00800799">
              <w:rPr>
                <w:rFonts w:ascii="Arial" w:eastAsia="Arial" w:hAnsi="Arial" w:cs="Arial"/>
                <w:sz w:val="20"/>
                <w:szCs w:val="20"/>
              </w:rPr>
              <w:t xml:space="preserve"> přínosů digitalizace pro občany, podniky a vlády </w:t>
            </w:r>
          </w:p>
        </w:tc>
        <w:tc>
          <w:tcPr>
            <w:tcW w:w="1701" w:type="dxa"/>
            <w:shd w:val="clear" w:color="auto" w:fill="FCF4F4"/>
            <w:tcMar>
              <w:top w:w="100" w:type="dxa"/>
              <w:left w:w="100" w:type="dxa"/>
              <w:bottom w:w="100" w:type="dxa"/>
              <w:right w:w="100" w:type="dxa"/>
            </w:tcMar>
          </w:tcPr>
          <w:p w14:paraId="0000033B" w14:textId="77777777" w:rsidR="001B238D" w:rsidRPr="00C77291" w:rsidRDefault="001B238D">
            <w:pPr>
              <w:widowControl w:val="0"/>
              <w:pBdr>
                <w:top w:val="nil"/>
                <w:left w:val="nil"/>
                <w:bottom w:val="nil"/>
                <w:right w:val="nil"/>
                <w:between w:val="nil"/>
              </w:pBdr>
              <w:rPr>
                <w:rFonts w:ascii="Arial" w:eastAsia="Arial" w:hAnsi="Arial" w:cs="Arial"/>
                <w:sz w:val="20"/>
                <w:szCs w:val="20"/>
              </w:rPr>
            </w:pPr>
            <w:r w:rsidRPr="00C77291">
              <w:rPr>
                <w:rFonts w:ascii="Arial" w:eastAsia="Arial" w:hAnsi="Arial" w:cs="Arial"/>
                <w:sz w:val="20"/>
                <w:szCs w:val="20"/>
              </w:rPr>
              <w:t xml:space="preserve">3 319 877 091 </w:t>
            </w:r>
          </w:p>
        </w:tc>
        <w:tc>
          <w:tcPr>
            <w:tcW w:w="1701" w:type="dxa"/>
            <w:shd w:val="clear" w:color="auto" w:fill="FCF4F4"/>
            <w:tcMar>
              <w:top w:w="100" w:type="dxa"/>
              <w:left w:w="100" w:type="dxa"/>
              <w:bottom w:w="100" w:type="dxa"/>
              <w:right w:w="100" w:type="dxa"/>
            </w:tcMar>
          </w:tcPr>
          <w:p w14:paraId="0000033C" w14:textId="77777777" w:rsidR="001B238D" w:rsidRPr="00952825" w:rsidRDefault="001B238D">
            <w:pPr>
              <w:widowControl w:val="0"/>
              <w:pBdr>
                <w:top w:val="nil"/>
                <w:left w:val="nil"/>
                <w:bottom w:val="nil"/>
                <w:right w:val="nil"/>
                <w:between w:val="nil"/>
              </w:pBdr>
              <w:rPr>
                <w:rFonts w:ascii="Arial" w:eastAsia="Arial" w:hAnsi="Arial" w:cs="Arial"/>
                <w:sz w:val="20"/>
                <w:szCs w:val="20"/>
              </w:rPr>
            </w:pPr>
            <w:r w:rsidRPr="00952825">
              <w:rPr>
                <w:rFonts w:ascii="Arial" w:eastAsia="Arial" w:hAnsi="Arial" w:cs="Arial"/>
                <w:sz w:val="20"/>
                <w:szCs w:val="20"/>
              </w:rPr>
              <w:t>4 769 385 140</w:t>
            </w:r>
          </w:p>
        </w:tc>
        <w:tc>
          <w:tcPr>
            <w:tcW w:w="1701" w:type="dxa"/>
            <w:shd w:val="clear" w:color="auto" w:fill="FCF4F4"/>
            <w:tcMar>
              <w:top w:w="100" w:type="dxa"/>
              <w:left w:w="100" w:type="dxa"/>
              <w:bottom w:w="100" w:type="dxa"/>
              <w:right w:w="100" w:type="dxa"/>
            </w:tcMar>
          </w:tcPr>
          <w:p w14:paraId="0000033D" w14:textId="77777777" w:rsidR="001B238D" w:rsidRPr="00952825" w:rsidRDefault="001B238D">
            <w:pPr>
              <w:widowControl w:val="0"/>
              <w:pBdr>
                <w:top w:val="nil"/>
                <w:left w:val="nil"/>
                <w:bottom w:val="nil"/>
                <w:right w:val="nil"/>
                <w:between w:val="nil"/>
              </w:pBdr>
              <w:rPr>
                <w:rFonts w:ascii="Arial" w:eastAsia="Arial" w:hAnsi="Arial" w:cs="Arial"/>
                <w:sz w:val="20"/>
                <w:szCs w:val="20"/>
              </w:rPr>
            </w:pPr>
            <w:r w:rsidRPr="00952825">
              <w:rPr>
                <w:rFonts w:ascii="Arial" w:eastAsia="Arial" w:hAnsi="Arial" w:cs="Arial"/>
                <w:sz w:val="20"/>
                <w:szCs w:val="20"/>
              </w:rPr>
              <w:t>6 839 139 278</w:t>
            </w:r>
          </w:p>
        </w:tc>
        <w:tc>
          <w:tcPr>
            <w:tcW w:w="992" w:type="dxa"/>
            <w:shd w:val="clear" w:color="auto" w:fill="FCF4F4"/>
          </w:tcPr>
          <w:p w14:paraId="1779C686" w14:textId="77777777" w:rsidR="001B238D" w:rsidRPr="00EA0A6C" w:rsidRDefault="001B238D">
            <w:pPr>
              <w:widowControl w:val="0"/>
              <w:pBdr>
                <w:top w:val="nil"/>
                <w:left w:val="nil"/>
                <w:bottom w:val="nil"/>
                <w:right w:val="nil"/>
                <w:between w:val="nil"/>
              </w:pBdr>
              <w:rPr>
                <w:rFonts w:ascii="Arial" w:hAnsi="Arial" w:cs="Arial"/>
                <w:b/>
                <w:sz w:val="20"/>
                <w:szCs w:val="20"/>
              </w:rPr>
            </w:pPr>
          </w:p>
        </w:tc>
        <w:tc>
          <w:tcPr>
            <w:tcW w:w="992" w:type="dxa"/>
            <w:shd w:val="clear" w:color="auto" w:fill="FCF4F4"/>
            <w:tcMar>
              <w:top w:w="100" w:type="dxa"/>
              <w:left w:w="100" w:type="dxa"/>
              <w:bottom w:w="100" w:type="dxa"/>
              <w:right w:w="100" w:type="dxa"/>
            </w:tcMar>
          </w:tcPr>
          <w:p w14:paraId="0000033E" w14:textId="4E9078DE" w:rsidR="001B238D" w:rsidRPr="00800799" w:rsidRDefault="001B238D">
            <w:pPr>
              <w:widowControl w:val="0"/>
              <w:pBdr>
                <w:top w:val="nil"/>
                <w:left w:val="nil"/>
                <w:bottom w:val="nil"/>
                <w:right w:val="nil"/>
                <w:between w:val="nil"/>
              </w:pBdr>
              <w:rPr>
                <w:rFonts w:ascii="Arial" w:eastAsia="Arial" w:hAnsi="Arial" w:cs="Arial"/>
                <w:b/>
                <w:sz w:val="20"/>
                <w:szCs w:val="20"/>
              </w:rPr>
            </w:pPr>
            <w:proofErr w:type="gramStart"/>
            <w:r w:rsidRPr="00800799">
              <w:rPr>
                <w:rFonts w:ascii="Arial" w:eastAsia="Arial" w:hAnsi="Arial" w:cs="Arial"/>
                <w:b/>
                <w:sz w:val="20"/>
                <w:szCs w:val="20"/>
              </w:rPr>
              <w:t>4,4%</w:t>
            </w:r>
            <w:proofErr w:type="gramEnd"/>
          </w:p>
        </w:tc>
      </w:tr>
      <w:tr w:rsidR="001B238D" w:rsidRPr="00800799" w14:paraId="44A9A826" w14:textId="77777777" w:rsidTr="001B238D">
        <w:trPr>
          <w:trHeight w:val="400"/>
        </w:trPr>
        <w:tc>
          <w:tcPr>
            <w:tcW w:w="992" w:type="dxa"/>
            <w:shd w:val="clear" w:color="auto" w:fill="E6B8AF"/>
          </w:tcPr>
          <w:p w14:paraId="673EA29E" w14:textId="77777777" w:rsidR="001B238D" w:rsidRPr="00EA0A6C" w:rsidRDefault="001B238D">
            <w:pPr>
              <w:widowControl w:val="0"/>
              <w:pBdr>
                <w:top w:val="nil"/>
                <w:left w:val="nil"/>
                <w:bottom w:val="nil"/>
                <w:right w:val="nil"/>
                <w:between w:val="nil"/>
              </w:pBdr>
              <w:rPr>
                <w:rFonts w:ascii="Arial" w:hAnsi="Arial" w:cs="Arial"/>
                <w:b/>
                <w:sz w:val="20"/>
                <w:szCs w:val="20"/>
              </w:rPr>
            </w:pPr>
          </w:p>
        </w:tc>
        <w:tc>
          <w:tcPr>
            <w:tcW w:w="9204" w:type="dxa"/>
            <w:gridSpan w:val="6"/>
            <w:shd w:val="clear" w:color="auto" w:fill="E6B8AF"/>
            <w:tcMar>
              <w:top w:w="100" w:type="dxa"/>
              <w:left w:w="100" w:type="dxa"/>
              <w:bottom w:w="100" w:type="dxa"/>
              <w:right w:w="100" w:type="dxa"/>
            </w:tcMar>
          </w:tcPr>
          <w:p w14:paraId="0000033F" w14:textId="6A7E343D" w:rsidR="001B238D" w:rsidRPr="00C77291" w:rsidRDefault="001B238D">
            <w:pPr>
              <w:widowControl w:val="0"/>
              <w:pBdr>
                <w:top w:val="nil"/>
                <w:left w:val="nil"/>
                <w:bottom w:val="nil"/>
                <w:right w:val="nil"/>
                <w:between w:val="nil"/>
              </w:pBdr>
              <w:rPr>
                <w:rFonts w:ascii="Arial" w:eastAsia="Arial" w:hAnsi="Arial" w:cs="Arial"/>
                <w:b/>
                <w:sz w:val="20"/>
                <w:szCs w:val="20"/>
              </w:rPr>
            </w:pPr>
            <w:r w:rsidRPr="00800799">
              <w:rPr>
                <w:rFonts w:ascii="Arial" w:eastAsia="Arial" w:hAnsi="Arial" w:cs="Arial"/>
                <w:b/>
                <w:sz w:val="20"/>
                <w:szCs w:val="20"/>
              </w:rPr>
              <w:t xml:space="preserve">Komentář </w:t>
            </w:r>
            <w:proofErr w:type="spellStart"/>
            <w:r w:rsidRPr="00800799">
              <w:rPr>
                <w:rFonts w:ascii="Arial" w:eastAsia="Arial" w:hAnsi="Arial" w:cs="Arial"/>
                <w:b/>
                <w:sz w:val="20"/>
                <w:szCs w:val="20"/>
              </w:rPr>
              <w:t>PwC</w:t>
            </w:r>
            <w:proofErr w:type="spellEnd"/>
            <w:r w:rsidRPr="00800799">
              <w:rPr>
                <w:rFonts w:ascii="Arial" w:eastAsia="Arial" w:hAnsi="Arial" w:cs="Arial"/>
                <w:b/>
                <w:sz w:val="20"/>
                <w:szCs w:val="20"/>
              </w:rPr>
              <w:t xml:space="preserve"> (SC 1.2): </w:t>
            </w:r>
            <w:r w:rsidRPr="00800799">
              <w:rPr>
                <w:rFonts w:ascii="Arial" w:eastAsia="Arial" w:hAnsi="Arial" w:cs="Arial"/>
                <w:sz w:val="20"/>
                <w:szCs w:val="20"/>
              </w:rPr>
              <w:t xml:space="preserve">Podle předběžného finančního plánu OP TAK by se alokace na FN měla pohybovat okolo 1 mld. Kč určené na projekty MSP do 2 mil. Kč v aktivitě Digitální podnik, na projekty aktivity Datová centra (společně s dotacemi) a dále na projekty </w:t>
            </w:r>
            <w:proofErr w:type="spellStart"/>
            <w:r w:rsidRPr="00800799">
              <w:rPr>
                <w:rFonts w:ascii="Arial" w:eastAsia="Arial" w:hAnsi="Arial" w:cs="Arial"/>
                <w:sz w:val="20"/>
                <w:szCs w:val="20"/>
              </w:rPr>
              <w:t>mid-caps</w:t>
            </w:r>
            <w:proofErr w:type="spellEnd"/>
            <w:r w:rsidRPr="00800799">
              <w:rPr>
                <w:rFonts w:ascii="Arial" w:eastAsia="Arial" w:hAnsi="Arial" w:cs="Arial"/>
                <w:sz w:val="20"/>
                <w:szCs w:val="20"/>
              </w:rPr>
              <w:t xml:space="preserve"> v ostatních aktivitách (vývoj SW, Technologie 4.0). V případě využití kombinace FN s dotací (odpuštění sp</w:t>
            </w:r>
            <w:r w:rsidRPr="00C77291">
              <w:rPr>
                <w:rFonts w:ascii="Arial" w:eastAsia="Arial" w:hAnsi="Arial" w:cs="Arial"/>
                <w:sz w:val="20"/>
                <w:szCs w:val="20"/>
              </w:rPr>
              <w:t xml:space="preserve">látek) v jedné operaci nebude alokace dostatečná </w:t>
            </w:r>
            <w:r w:rsidRPr="00952825">
              <w:rPr>
                <w:rFonts w:ascii="Arial" w:eastAsia="Arial" w:hAnsi="Arial" w:cs="Arial"/>
                <w:sz w:val="20"/>
                <w:szCs w:val="20"/>
              </w:rPr>
              <w:t xml:space="preserve">v případě úvěrového FN s nižším pákovým efektem (pákový efekt 2x a dotace 30 % znamená potenciál přibližně 1,3 mld. Kč úvěrů v kombinaci s 390 mil. Kč dotací). V případě záručního finančního nástroje s předpokládaným pákovým efektem přibližně 10x </w:t>
            </w:r>
            <w:r w:rsidRPr="00800799">
              <w:rPr>
                <w:rFonts w:ascii="Arial" w:eastAsia="Arial" w:hAnsi="Arial" w:cs="Arial"/>
                <w:sz w:val="20"/>
                <w:szCs w:val="20"/>
              </w:rPr>
              <w:t xml:space="preserve">a dotací 30 % lze předpokládat přibližně 2,5 mld. Kč záruk v kombinaci se 750 mil. Kč dotací. Tato částka by orientačně mohla pokrýt absorpční kapacitu pro aktivitu Digitální podnik (bude ještě ověřeno strukturovanými rozhovory s ČBA a NRB – vyhodnocení digitálního pilotu COSME). Pro projekty </w:t>
            </w:r>
            <w:proofErr w:type="spellStart"/>
            <w:r w:rsidRPr="00800799">
              <w:rPr>
                <w:rFonts w:ascii="Arial" w:eastAsia="Arial" w:hAnsi="Arial" w:cs="Arial"/>
                <w:sz w:val="20"/>
                <w:szCs w:val="20"/>
              </w:rPr>
              <w:t>mid-caps</w:t>
            </w:r>
            <w:proofErr w:type="spellEnd"/>
            <w:r w:rsidRPr="00800799">
              <w:rPr>
                <w:rFonts w:ascii="Arial" w:eastAsia="Arial" w:hAnsi="Arial" w:cs="Arial"/>
                <w:sz w:val="20"/>
                <w:szCs w:val="20"/>
              </w:rPr>
              <w:t xml:space="preserve"> a aktivitu Datová centra (větší projekty v řádech desítek milionů Kč) již nebude alokace dostatečná.</w:t>
            </w:r>
          </w:p>
        </w:tc>
      </w:tr>
      <w:tr w:rsidR="001B238D" w:rsidRPr="00800799" w14:paraId="3BA48C60" w14:textId="77777777" w:rsidTr="001B238D">
        <w:tc>
          <w:tcPr>
            <w:tcW w:w="3109" w:type="dxa"/>
            <w:gridSpan w:val="2"/>
            <w:shd w:val="clear" w:color="auto" w:fill="auto"/>
            <w:tcMar>
              <w:top w:w="100" w:type="dxa"/>
              <w:left w:w="100" w:type="dxa"/>
              <w:bottom w:w="100" w:type="dxa"/>
              <w:right w:w="100" w:type="dxa"/>
            </w:tcMar>
          </w:tcPr>
          <w:p w14:paraId="00000344" w14:textId="25A63311" w:rsidR="001B238D" w:rsidRPr="00800799" w:rsidRDefault="001B238D">
            <w:pPr>
              <w:widowControl w:val="0"/>
              <w:pBdr>
                <w:top w:val="nil"/>
                <w:left w:val="nil"/>
                <w:bottom w:val="nil"/>
                <w:right w:val="nil"/>
                <w:between w:val="nil"/>
              </w:pBdr>
              <w:rPr>
                <w:rFonts w:ascii="Arial" w:eastAsia="Arial" w:hAnsi="Arial" w:cs="Arial"/>
                <w:sz w:val="20"/>
                <w:szCs w:val="20"/>
              </w:rPr>
            </w:pPr>
            <w:r w:rsidRPr="00800799">
              <w:rPr>
                <w:sz w:val="20"/>
                <w:szCs w:val="20"/>
              </w:rPr>
              <w:t xml:space="preserve">SC 2.1: </w:t>
            </w:r>
            <w:r w:rsidRPr="00800799">
              <w:rPr>
                <w:rFonts w:ascii="Arial" w:eastAsia="Arial" w:hAnsi="Arial" w:cs="Arial"/>
                <w:sz w:val="20"/>
                <w:szCs w:val="20"/>
              </w:rPr>
              <w:t>Posílení růstu a konkurenceschopnosti malých a středních podniků</w:t>
            </w:r>
          </w:p>
        </w:tc>
        <w:tc>
          <w:tcPr>
            <w:tcW w:w="1701" w:type="dxa"/>
            <w:shd w:val="clear" w:color="auto" w:fill="FFE9E9"/>
            <w:tcMar>
              <w:top w:w="100" w:type="dxa"/>
              <w:left w:w="100" w:type="dxa"/>
              <w:bottom w:w="100" w:type="dxa"/>
              <w:right w:w="100" w:type="dxa"/>
            </w:tcMar>
          </w:tcPr>
          <w:p w14:paraId="00000345" w14:textId="77777777" w:rsidR="001B238D" w:rsidRPr="00800799" w:rsidRDefault="001B238D">
            <w:pPr>
              <w:widowControl w:val="0"/>
              <w:pBdr>
                <w:top w:val="nil"/>
                <w:left w:val="nil"/>
                <w:bottom w:val="nil"/>
                <w:right w:val="nil"/>
                <w:between w:val="nil"/>
              </w:pBdr>
              <w:rPr>
                <w:rFonts w:ascii="Arial" w:eastAsia="Arial" w:hAnsi="Arial" w:cs="Arial"/>
                <w:sz w:val="20"/>
                <w:szCs w:val="20"/>
              </w:rPr>
            </w:pPr>
            <w:r w:rsidRPr="00800799">
              <w:rPr>
                <w:rFonts w:ascii="Arial" w:eastAsia="Arial" w:hAnsi="Arial" w:cs="Arial"/>
                <w:sz w:val="20"/>
                <w:szCs w:val="20"/>
              </w:rPr>
              <w:t>16 419 703 416</w:t>
            </w:r>
          </w:p>
        </w:tc>
        <w:tc>
          <w:tcPr>
            <w:tcW w:w="1701" w:type="dxa"/>
            <w:shd w:val="clear" w:color="auto" w:fill="FFE9E9"/>
            <w:tcMar>
              <w:top w:w="100" w:type="dxa"/>
              <w:left w:w="100" w:type="dxa"/>
              <w:bottom w:w="100" w:type="dxa"/>
              <w:right w:w="100" w:type="dxa"/>
            </w:tcMar>
          </w:tcPr>
          <w:p w14:paraId="00000346" w14:textId="77777777" w:rsidR="001B238D" w:rsidRPr="00C77291" w:rsidRDefault="001B238D">
            <w:pPr>
              <w:widowControl w:val="0"/>
              <w:pBdr>
                <w:top w:val="nil"/>
                <w:left w:val="nil"/>
                <w:bottom w:val="nil"/>
                <w:right w:val="nil"/>
                <w:between w:val="nil"/>
              </w:pBdr>
              <w:rPr>
                <w:rFonts w:ascii="Arial" w:eastAsia="Arial" w:hAnsi="Arial" w:cs="Arial"/>
                <w:sz w:val="20"/>
                <w:szCs w:val="20"/>
              </w:rPr>
            </w:pPr>
            <w:r w:rsidRPr="00C77291">
              <w:rPr>
                <w:rFonts w:ascii="Arial" w:eastAsia="Arial" w:hAnsi="Arial" w:cs="Arial"/>
                <w:sz w:val="20"/>
                <w:szCs w:val="20"/>
              </w:rPr>
              <w:t>20 907 902 530</w:t>
            </w:r>
          </w:p>
        </w:tc>
        <w:tc>
          <w:tcPr>
            <w:tcW w:w="1701" w:type="dxa"/>
            <w:shd w:val="clear" w:color="auto" w:fill="FFD9D9"/>
            <w:tcMar>
              <w:top w:w="100" w:type="dxa"/>
              <w:left w:w="100" w:type="dxa"/>
              <w:bottom w:w="100" w:type="dxa"/>
              <w:right w:w="100" w:type="dxa"/>
            </w:tcMar>
          </w:tcPr>
          <w:p w14:paraId="00000347" w14:textId="77777777" w:rsidR="001B238D" w:rsidRPr="00952825" w:rsidRDefault="001B238D">
            <w:pPr>
              <w:widowControl w:val="0"/>
              <w:pBdr>
                <w:top w:val="nil"/>
                <w:left w:val="nil"/>
                <w:bottom w:val="nil"/>
                <w:right w:val="nil"/>
                <w:between w:val="nil"/>
              </w:pBdr>
              <w:rPr>
                <w:rFonts w:ascii="Arial" w:eastAsia="Arial" w:hAnsi="Arial" w:cs="Arial"/>
                <w:sz w:val="20"/>
                <w:szCs w:val="20"/>
              </w:rPr>
            </w:pPr>
            <w:r w:rsidRPr="00952825">
              <w:rPr>
                <w:rFonts w:ascii="Arial" w:eastAsia="Arial" w:hAnsi="Arial" w:cs="Arial"/>
                <w:sz w:val="20"/>
                <w:szCs w:val="20"/>
              </w:rPr>
              <w:t>25 710 368 151</w:t>
            </w:r>
          </w:p>
        </w:tc>
        <w:tc>
          <w:tcPr>
            <w:tcW w:w="992" w:type="dxa"/>
            <w:shd w:val="clear" w:color="auto" w:fill="FFD9D9"/>
          </w:tcPr>
          <w:p w14:paraId="13B29EB7" w14:textId="77777777" w:rsidR="001B238D" w:rsidRPr="00EA0A6C" w:rsidRDefault="001B238D">
            <w:pPr>
              <w:widowControl w:val="0"/>
              <w:pBdr>
                <w:top w:val="nil"/>
                <w:left w:val="nil"/>
                <w:bottom w:val="nil"/>
                <w:right w:val="nil"/>
                <w:between w:val="nil"/>
              </w:pBdr>
              <w:rPr>
                <w:rFonts w:ascii="Arial" w:hAnsi="Arial" w:cs="Arial"/>
                <w:b/>
                <w:sz w:val="20"/>
                <w:szCs w:val="20"/>
              </w:rPr>
            </w:pPr>
          </w:p>
        </w:tc>
        <w:tc>
          <w:tcPr>
            <w:tcW w:w="992" w:type="dxa"/>
            <w:shd w:val="clear" w:color="auto" w:fill="FFD9D9"/>
            <w:tcMar>
              <w:top w:w="100" w:type="dxa"/>
              <w:left w:w="100" w:type="dxa"/>
              <w:bottom w:w="100" w:type="dxa"/>
              <w:right w:w="100" w:type="dxa"/>
            </w:tcMar>
          </w:tcPr>
          <w:p w14:paraId="00000348" w14:textId="68F17F6E" w:rsidR="001B238D" w:rsidRPr="00800799" w:rsidRDefault="001B238D">
            <w:pPr>
              <w:widowControl w:val="0"/>
              <w:pBdr>
                <w:top w:val="nil"/>
                <w:left w:val="nil"/>
                <w:bottom w:val="nil"/>
                <w:right w:val="nil"/>
                <w:between w:val="nil"/>
              </w:pBdr>
              <w:rPr>
                <w:rFonts w:ascii="Arial" w:eastAsia="Arial" w:hAnsi="Arial" w:cs="Arial"/>
                <w:b/>
                <w:sz w:val="20"/>
                <w:szCs w:val="20"/>
              </w:rPr>
            </w:pPr>
            <w:proofErr w:type="gramStart"/>
            <w:r w:rsidRPr="00800799">
              <w:rPr>
                <w:rFonts w:ascii="Arial" w:eastAsia="Arial" w:hAnsi="Arial" w:cs="Arial"/>
                <w:b/>
                <w:sz w:val="20"/>
                <w:szCs w:val="20"/>
              </w:rPr>
              <w:t>19,3%</w:t>
            </w:r>
            <w:proofErr w:type="gramEnd"/>
          </w:p>
        </w:tc>
      </w:tr>
      <w:tr w:rsidR="001B238D" w:rsidRPr="00800799" w14:paraId="32AA1F29" w14:textId="77777777" w:rsidTr="001B238D">
        <w:trPr>
          <w:trHeight w:val="400"/>
        </w:trPr>
        <w:tc>
          <w:tcPr>
            <w:tcW w:w="992" w:type="dxa"/>
            <w:shd w:val="clear" w:color="auto" w:fill="E6B8AF"/>
          </w:tcPr>
          <w:p w14:paraId="29450B82" w14:textId="77777777" w:rsidR="001B238D" w:rsidRPr="00EA0A6C" w:rsidRDefault="001B238D">
            <w:pPr>
              <w:widowControl w:val="0"/>
              <w:pBdr>
                <w:top w:val="nil"/>
                <w:left w:val="nil"/>
                <w:bottom w:val="nil"/>
                <w:right w:val="nil"/>
                <w:between w:val="nil"/>
              </w:pBdr>
              <w:rPr>
                <w:rFonts w:ascii="Arial" w:hAnsi="Arial" w:cs="Arial"/>
                <w:b/>
                <w:sz w:val="20"/>
                <w:szCs w:val="20"/>
              </w:rPr>
            </w:pPr>
          </w:p>
        </w:tc>
        <w:tc>
          <w:tcPr>
            <w:tcW w:w="9204" w:type="dxa"/>
            <w:gridSpan w:val="6"/>
            <w:shd w:val="clear" w:color="auto" w:fill="E6B8AF"/>
            <w:tcMar>
              <w:top w:w="100" w:type="dxa"/>
              <w:left w:w="100" w:type="dxa"/>
              <w:bottom w:w="100" w:type="dxa"/>
              <w:right w:w="100" w:type="dxa"/>
            </w:tcMar>
          </w:tcPr>
          <w:p w14:paraId="21887FED" w14:textId="15334B8A" w:rsidR="003F3DD2" w:rsidRPr="00EA0A6C" w:rsidRDefault="001B238D">
            <w:pPr>
              <w:widowControl w:val="0"/>
              <w:pBdr>
                <w:top w:val="nil"/>
                <w:left w:val="nil"/>
                <w:bottom w:val="nil"/>
                <w:right w:val="nil"/>
                <w:between w:val="nil"/>
              </w:pBdr>
              <w:rPr>
                <w:rFonts w:ascii="Arial" w:eastAsia="Arial" w:hAnsi="Arial" w:cs="Arial"/>
                <w:b/>
                <w:sz w:val="20"/>
                <w:szCs w:val="20"/>
              </w:rPr>
            </w:pPr>
            <w:r w:rsidRPr="00800799">
              <w:rPr>
                <w:rFonts w:ascii="Arial" w:eastAsia="Arial" w:hAnsi="Arial" w:cs="Arial"/>
                <w:b/>
                <w:sz w:val="20"/>
                <w:szCs w:val="20"/>
              </w:rPr>
              <w:t xml:space="preserve">Komentář </w:t>
            </w:r>
            <w:proofErr w:type="spellStart"/>
            <w:r w:rsidRPr="00800799">
              <w:rPr>
                <w:rFonts w:ascii="Arial" w:eastAsia="Arial" w:hAnsi="Arial" w:cs="Arial"/>
                <w:b/>
                <w:sz w:val="20"/>
                <w:szCs w:val="20"/>
              </w:rPr>
              <w:t>PwC</w:t>
            </w:r>
            <w:proofErr w:type="spellEnd"/>
            <w:r w:rsidRPr="00800799">
              <w:rPr>
                <w:rFonts w:ascii="Arial" w:eastAsia="Arial" w:hAnsi="Arial" w:cs="Arial"/>
                <w:b/>
                <w:sz w:val="20"/>
                <w:szCs w:val="20"/>
              </w:rPr>
              <w:t xml:space="preserve"> (SC 2.1): </w:t>
            </w:r>
            <w:r w:rsidRPr="00800799">
              <w:rPr>
                <w:rFonts w:ascii="Arial" w:eastAsia="Arial" w:hAnsi="Arial" w:cs="Arial"/>
                <w:sz w:val="20"/>
                <w:szCs w:val="20"/>
              </w:rPr>
              <w:t xml:space="preserve">Podle předběžného finančního plánu OP TAK by se alokace na FN měla pohybovat okolo 4,6 </w:t>
            </w:r>
            <w:r w:rsidRPr="00C77291">
              <w:rPr>
                <w:rFonts w:ascii="Arial" w:eastAsia="Arial" w:hAnsi="Arial" w:cs="Arial"/>
                <w:sz w:val="20"/>
                <w:szCs w:val="20"/>
              </w:rPr>
              <w:t>mld. Kč (z toho 3,8 mld. Kč Expanze a 800 mil. Kč Rizikový kapitál).</w:t>
            </w:r>
            <w:r w:rsidRPr="00C77291">
              <w:rPr>
                <w:rFonts w:ascii="Arial" w:eastAsia="Arial" w:hAnsi="Arial" w:cs="Arial"/>
                <w:b/>
                <w:sz w:val="20"/>
                <w:szCs w:val="20"/>
              </w:rPr>
              <w:t xml:space="preserve"> Jak ukázaly výsledky programu Expanze v OPPIK, absorpční kapacita tohoto programu je několikanásobně vyšší</w:t>
            </w:r>
            <w:r w:rsidRPr="00952825">
              <w:rPr>
                <w:rFonts w:ascii="Arial" w:eastAsia="Arial" w:hAnsi="Arial" w:cs="Arial"/>
                <w:b/>
                <w:sz w:val="20"/>
                <w:szCs w:val="20"/>
              </w:rPr>
              <w:t xml:space="preserve"> a dosahuje přibližně 20 mld. Kč. Nejvyšší absorpční kapacita existuje v případě záruk za provozní úvěry. Nicméně NRB bude v průběhu programovacího období disponovat také přibližně 10 mld. Kč obrátkových prostředků OPPIK využitelných např. pro národní záruční nebo úvěrový program, které pokryjí nejen potřebu záruk na území</w:t>
            </w:r>
            <w:r w:rsidRPr="00800799">
              <w:rPr>
                <w:rFonts w:ascii="Arial" w:eastAsia="Arial" w:hAnsi="Arial" w:cs="Arial"/>
                <w:b/>
                <w:sz w:val="20"/>
                <w:szCs w:val="20"/>
              </w:rPr>
              <w:t xml:space="preserve"> </w:t>
            </w:r>
            <w:proofErr w:type="spellStart"/>
            <w:r w:rsidRPr="00800799">
              <w:rPr>
                <w:rFonts w:ascii="Arial" w:eastAsia="Arial" w:hAnsi="Arial" w:cs="Arial"/>
                <w:b/>
                <w:sz w:val="20"/>
                <w:szCs w:val="20"/>
              </w:rPr>
              <w:t>hl.m.Pra</w:t>
            </w:r>
            <w:r w:rsidRPr="00EA0A6C">
              <w:rPr>
                <w:rFonts w:ascii="Arial" w:eastAsia="Arial" w:hAnsi="Arial" w:cs="Arial"/>
                <w:b/>
                <w:sz w:val="20"/>
                <w:szCs w:val="20"/>
              </w:rPr>
              <w:t>hy</w:t>
            </w:r>
            <w:proofErr w:type="spellEnd"/>
            <w:r w:rsidRPr="00EA0A6C">
              <w:rPr>
                <w:rFonts w:ascii="Arial" w:eastAsia="Arial" w:hAnsi="Arial" w:cs="Arial"/>
                <w:b/>
                <w:sz w:val="20"/>
                <w:szCs w:val="20"/>
              </w:rPr>
              <w:t xml:space="preserve">, ale také dalších regionů. Dále bude mít NRB v letech 2022-2026 k dispozici 900 mil. Kč na „zelené“ úvěry pro MSP a </w:t>
            </w:r>
            <w:proofErr w:type="spellStart"/>
            <w:r w:rsidRPr="00EA0A6C">
              <w:rPr>
                <w:rFonts w:ascii="Arial" w:eastAsia="Arial" w:hAnsi="Arial" w:cs="Arial"/>
                <w:b/>
                <w:sz w:val="20"/>
                <w:szCs w:val="20"/>
              </w:rPr>
              <w:t>mid-caps</w:t>
            </w:r>
            <w:proofErr w:type="spellEnd"/>
            <w:r w:rsidRPr="00EA0A6C">
              <w:rPr>
                <w:rFonts w:ascii="Arial" w:eastAsia="Arial" w:hAnsi="Arial" w:cs="Arial"/>
                <w:b/>
                <w:sz w:val="20"/>
                <w:szCs w:val="20"/>
              </w:rPr>
              <w:t xml:space="preserve"> v komponentě 4.2 Národního plánu obnovy.</w:t>
            </w:r>
            <w:r w:rsidR="003F3DD2" w:rsidRPr="00EA0A6C">
              <w:rPr>
                <w:rFonts w:ascii="Arial" w:eastAsia="Arial" w:hAnsi="Arial" w:cs="Arial"/>
                <w:b/>
                <w:sz w:val="20"/>
                <w:szCs w:val="20"/>
              </w:rPr>
              <w:t xml:space="preserve"> </w:t>
            </w:r>
            <w:r w:rsidR="003F3DD2" w:rsidRPr="00EA0A6C">
              <w:rPr>
                <w:b/>
                <w:sz w:val="20"/>
                <w:szCs w:val="20"/>
              </w:rPr>
              <w:t xml:space="preserve">Dále bude využit i program </w:t>
            </w:r>
            <w:proofErr w:type="spellStart"/>
            <w:r w:rsidR="003F3DD2" w:rsidRPr="00EA0A6C">
              <w:rPr>
                <w:b/>
                <w:sz w:val="20"/>
                <w:szCs w:val="20"/>
              </w:rPr>
              <w:t>InvestEU</w:t>
            </w:r>
            <w:proofErr w:type="spellEnd"/>
            <w:r w:rsidR="003F3DD2" w:rsidRPr="00EA0A6C">
              <w:rPr>
                <w:b/>
                <w:sz w:val="20"/>
                <w:szCs w:val="20"/>
              </w:rPr>
              <w:t xml:space="preserve"> (převod 80 mil. EUR do složky členského státu v rámci okna pro MSP).</w:t>
            </w:r>
          </w:p>
          <w:p w14:paraId="00000349" w14:textId="51169937" w:rsidR="001B238D" w:rsidRPr="00C77291" w:rsidRDefault="001B238D">
            <w:pPr>
              <w:widowControl w:val="0"/>
              <w:pBdr>
                <w:top w:val="nil"/>
                <w:left w:val="nil"/>
                <w:bottom w:val="nil"/>
                <w:right w:val="nil"/>
                <w:between w:val="nil"/>
              </w:pBdr>
              <w:rPr>
                <w:rFonts w:ascii="Arial" w:eastAsia="Arial" w:hAnsi="Arial" w:cs="Arial"/>
                <w:sz w:val="20"/>
                <w:szCs w:val="20"/>
              </w:rPr>
            </w:pPr>
            <w:r w:rsidRPr="00EA0A6C">
              <w:rPr>
                <w:rFonts w:ascii="Arial" w:eastAsia="Arial" w:hAnsi="Arial" w:cs="Arial"/>
                <w:b/>
                <w:sz w:val="20"/>
                <w:szCs w:val="20"/>
              </w:rPr>
              <w:t xml:space="preserve">Zároveň ještě mohou být prostředky Expanze OPPIK navýšeny do roku 2023 o nevyčerpané prostředky dotačních projektů v rámci pravidla </w:t>
            </w:r>
            <w:proofErr w:type="gramStart"/>
            <w:r w:rsidRPr="00EA0A6C">
              <w:rPr>
                <w:rFonts w:ascii="Arial" w:eastAsia="Arial" w:hAnsi="Arial" w:cs="Arial"/>
                <w:b/>
                <w:sz w:val="20"/>
                <w:szCs w:val="20"/>
              </w:rPr>
              <w:t>10%</w:t>
            </w:r>
            <w:proofErr w:type="gramEnd"/>
            <w:r w:rsidRPr="00EA0A6C">
              <w:rPr>
                <w:rFonts w:ascii="Arial" w:eastAsia="Arial" w:hAnsi="Arial" w:cs="Arial"/>
                <w:b/>
                <w:sz w:val="20"/>
                <w:szCs w:val="20"/>
              </w:rPr>
              <w:t xml:space="preserve"> flexibility alokace mezi prioritními osami OPPIK. Proto i případně nižší navrhovaná alokace Expanze v OPTAK může pokrýt absorpční </w:t>
            </w:r>
            <w:r w:rsidRPr="00EA0A6C">
              <w:rPr>
                <w:rFonts w:ascii="Arial" w:eastAsia="Arial" w:hAnsi="Arial" w:cs="Arial"/>
                <w:b/>
                <w:sz w:val="20"/>
                <w:szCs w:val="20"/>
              </w:rPr>
              <w:lastRenderedPageBreak/>
              <w:t>kapacitu</w:t>
            </w:r>
            <w:r w:rsidR="003F3DD2" w:rsidRPr="00EA0A6C">
              <w:rPr>
                <w:rFonts w:ascii="Arial" w:eastAsia="Arial" w:hAnsi="Arial" w:cs="Arial"/>
                <w:b/>
                <w:sz w:val="20"/>
                <w:szCs w:val="20"/>
              </w:rPr>
              <w:t xml:space="preserve"> </w:t>
            </w:r>
            <w:r w:rsidR="003F3DD2" w:rsidRPr="00EA0A6C">
              <w:rPr>
                <w:b/>
                <w:sz w:val="20"/>
                <w:szCs w:val="20"/>
              </w:rPr>
              <w:t>zvýhodněných úvěrů a záruk pro MSP</w:t>
            </w:r>
            <w:r w:rsidRPr="00EA0A6C">
              <w:rPr>
                <w:rFonts w:ascii="Arial" w:eastAsia="Arial" w:hAnsi="Arial" w:cs="Arial"/>
                <w:b/>
                <w:sz w:val="20"/>
                <w:szCs w:val="20"/>
              </w:rPr>
              <w:t>. V případě relativně nižší uvažované alokace navrhované v současném finančním plánu OPTAK by bylo vhodné Expanzi zaměřit na specifická opatření, např. na posílení digitalizace MSP (jen MS</w:t>
            </w:r>
            <w:r w:rsidRPr="00800799">
              <w:rPr>
                <w:rFonts w:ascii="Arial" w:eastAsia="Arial" w:hAnsi="Arial" w:cs="Arial"/>
                <w:b/>
                <w:sz w:val="20"/>
                <w:szCs w:val="20"/>
              </w:rPr>
              <w:t xml:space="preserve">P, nad rámec specifického cíle 1.2) a zvláštní podporované aktivity </w:t>
            </w:r>
            <w:r w:rsidRPr="00800799">
              <w:rPr>
                <w:rFonts w:ascii="Arial" w:eastAsia="Arial" w:hAnsi="Arial" w:cs="Arial"/>
                <w:sz w:val="20"/>
                <w:szCs w:val="20"/>
              </w:rPr>
              <w:t>(bude ještě ověřeno strukturovanými rozhovory s ČBA a NRB – vyhodnocení digitálního pilotu COSME).</w:t>
            </w:r>
          </w:p>
          <w:p w14:paraId="0000034A" w14:textId="77777777" w:rsidR="001B238D" w:rsidRPr="00952825" w:rsidRDefault="001B238D">
            <w:pPr>
              <w:widowControl w:val="0"/>
              <w:pBdr>
                <w:top w:val="nil"/>
                <w:left w:val="nil"/>
                <w:bottom w:val="nil"/>
                <w:right w:val="nil"/>
                <w:between w:val="nil"/>
              </w:pBdr>
              <w:rPr>
                <w:rFonts w:ascii="Arial" w:eastAsia="Arial" w:hAnsi="Arial" w:cs="Arial"/>
                <w:sz w:val="20"/>
                <w:szCs w:val="20"/>
              </w:rPr>
            </w:pPr>
          </w:p>
          <w:p w14:paraId="0000034B" w14:textId="77777777" w:rsidR="001B238D" w:rsidRPr="00381528" w:rsidRDefault="001B238D">
            <w:pPr>
              <w:widowControl w:val="0"/>
              <w:pBdr>
                <w:top w:val="nil"/>
                <w:left w:val="nil"/>
                <w:bottom w:val="nil"/>
                <w:right w:val="nil"/>
                <w:between w:val="nil"/>
              </w:pBdr>
              <w:rPr>
                <w:rFonts w:ascii="Arial" w:eastAsia="Arial" w:hAnsi="Arial" w:cs="Arial"/>
                <w:b/>
                <w:sz w:val="20"/>
                <w:szCs w:val="20"/>
              </w:rPr>
            </w:pPr>
            <w:r w:rsidRPr="00952825">
              <w:rPr>
                <w:rFonts w:ascii="Arial" w:eastAsia="Arial" w:hAnsi="Arial" w:cs="Arial"/>
                <w:sz w:val="20"/>
                <w:szCs w:val="20"/>
              </w:rPr>
              <w:t xml:space="preserve">Co se týče programu Rizikový kapitál, finanční alokace navrhovaná ve finančním plánu OP TAK je nižší než v případě OPPIK. </w:t>
            </w:r>
            <w:r w:rsidRPr="00952825">
              <w:rPr>
                <w:rFonts w:ascii="Arial" w:eastAsia="Arial" w:hAnsi="Arial" w:cs="Arial"/>
                <w:b/>
                <w:sz w:val="20"/>
                <w:szCs w:val="20"/>
              </w:rPr>
              <w:t>V této souvislosti bude záležet hlavně na schopnosti vyčerpat prostředky Národního plánu obnovy, kde je na aktivity rizikového kapitálu k dispozici další přibližně 1 mld. Kč v komponentě 1.4 určen</w:t>
            </w:r>
            <w:r w:rsidRPr="003F3DD2">
              <w:rPr>
                <w:rFonts w:ascii="Arial" w:eastAsia="Arial" w:hAnsi="Arial" w:cs="Arial"/>
                <w:b/>
                <w:sz w:val="20"/>
                <w:szCs w:val="20"/>
              </w:rPr>
              <w:t xml:space="preserve">á pro transfer technologií, strategické </w:t>
            </w:r>
            <w:proofErr w:type="spellStart"/>
            <w:r w:rsidRPr="003F3DD2">
              <w:rPr>
                <w:rFonts w:ascii="Arial" w:eastAsia="Arial" w:hAnsi="Arial" w:cs="Arial"/>
                <w:b/>
                <w:sz w:val="20"/>
                <w:szCs w:val="20"/>
              </w:rPr>
              <w:t>startupy</w:t>
            </w:r>
            <w:proofErr w:type="spellEnd"/>
            <w:r w:rsidRPr="003F3DD2">
              <w:rPr>
                <w:rFonts w:ascii="Arial" w:eastAsia="Arial" w:hAnsi="Arial" w:cs="Arial"/>
                <w:b/>
                <w:sz w:val="20"/>
                <w:szCs w:val="20"/>
              </w:rPr>
              <w:t xml:space="preserve"> a (</w:t>
            </w:r>
            <w:proofErr w:type="spellStart"/>
            <w:r w:rsidRPr="003F3DD2">
              <w:rPr>
                <w:rFonts w:ascii="Arial" w:eastAsia="Arial" w:hAnsi="Arial" w:cs="Arial"/>
                <w:b/>
                <w:sz w:val="20"/>
                <w:szCs w:val="20"/>
              </w:rPr>
              <w:t>pre</w:t>
            </w:r>
            <w:proofErr w:type="spellEnd"/>
            <w:r w:rsidRPr="003F3DD2">
              <w:rPr>
                <w:rFonts w:ascii="Arial" w:eastAsia="Arial" w:hAnsi="Arial" w:cs="Arial"/>
                <w:b/>
                <w:sz w:val="20"/>
                <w:szCs w:val="20"/>
              </w:rPr>
              <w:t>-)</w:t>
            </w:r>
            <w:proofErr w:type="spellStart"/>
            <w:r w:rsidRPr="003F3DD2">
              <w:rPr>
                <w:rFonts w:ascii="Arial" w:eastAsia="Arial" w:hAnsi="Arial" w:cs="Arial"/>
                <w:b/>
                <w:sz w:val="20"/>
                <w:szCs w:val="20"/>
              </w:rPr>
              <w:t>seed</w:t>
            </w:r>
            <w:proofErr w:type="spellEnd"/>
            <w:r w:rsidRPr="003F3DD2">
              <w:rPr>
                <w:rFonts w:ascii="Arial" w:eastAsia="Arial" w:hAnsi="Arial" w:cs="Arial"/>
                <w:b/>
                <w:sz w:val="20"/>
                <w:szCs w:val="20"/>
              </w:rPr>
              <w:t xml:space="preserve"> fond, včetně pokrytí podpory </w:t>
            </w:r>
            <w:proofErr w:type="spellStart"/>
            <w:r w:rsidRPr="003F3DD2">
              <w:rPr>
                <w:rFonts w:ascii="Arial" w:eastAsia="Arial" w:hAnsi="Arial" w:cs="Arial"/>
                <w:b/>
                <w:sz w:val="20"/>
                <w:szCs w:val="20"/>
              </w:rPr>
              <w:t>hl.m.Prahy</w:t>
            </w:r>
            <w:proofErr w:type="spellEnd"/>
            <w:r w:rsidRPr="003F3DD2">
              <w:rPr>
                <w:rFonts w:ascii="Arial" w:eastAsia="Arial" w:hAnsi="Arial" w:cs="Arial"/>
                <w:b/>
                <w:sz w:val="20"/>
                <w:szCs w:val="20"/>
              </w:rPr>
              <w:t>. Dalších 800 mil. Kč v OPTAK v by bylo možné použít na navýšení alokace pro kapitálový nástroj transferu technologií a (</w:t>
            </w:r>
            <w:proofErr w:type="spellStart"/>
            <w:r w:rsidRPr="003F3DD2">
              <w:rPr>
                <w:rFonts w:ascii="Arial" w:eastAsia="Arial" w:hAnsi="Arial" w:cs="Arial"/>
                <w:b/>
                <w:sz w:val="20"/>
                <w:szCs w:val="20"/>
              </w:rPr>
              <w:t>pre</w:t>
            </w:r>
            <w:proofErr w:type="spellEnd"/>
            <w:r w:rsidRPr="003F3DD2">
              <w:rPr>
                <w:rFonts w:ascii="Arial" w:eastAsia="Arial" w:hAnsi="Arial" w:cs="Arial"/>
                <w:b/>
                <w:sz w:val="20"/>
                <w:szCs w:val="20"/>
              </w:rPr>
              <w:t>-)</w:t>
            </w:r>
            <w:proofErr w:type="spellStart"/>
            <w:r w:rsidRPr="003F3DD2">
              <w:rPr>
                <w:rFonts w:ascii="Arial" w:eastAsia="Arial" w:hAnsi="Arial" w:cs="Arial"/>
                <w:b/>
                <w:sz w:val="20"/>
                <w:szCs w:val="20"/>
              </w:rPr>
              <w:t>seed</w:t>
            </w:r>
            <w:proofErr w:type="spellEnd"/>
            <w:r w:rsidRPr="003F3DD2">
              <w:rPr>
                <w:rFonts w:ascii="Arial" w:eastAsia="Arial" w:hAnsi="Arial" w:cs="Arial"/>
                <w:b/>
                <w:sz w:val="20"/>
                <w:szCs w:val="20"/>
              </w:rPr>
              <w:t xml:space="preserve"> fond mimo území </w:t>
            </w:r>
            <w:proofErr w:type="spellStart"/>
            <w:r w:rsidRPr="003F3DD2">
              <w:rPr>
                <w:rFonts w:ascii="Arial" w:eastAsia="Arial" w:hAnsi="Arial" w:cs="Arial"/>
                <w:b/>
                <w:sz w:val="20"/>
                <w:szCs w:val="20"/>
              </w:rPr>
              <w:t>hl.m.Prahy</w:t>
            </w:r>
            <w:proofErr w:type="spellEnd"/>
            <w:r w:rsidRPr="003F3DD2">
              <w:rPr>
                <w:rFonts w:ascii="Arial" w:eastAsia="Arial" w:hAnsi="Arial" w:cs="Arial"/>
                <w:b/>
                <w:sz w:val="20"/>
                <w:szCs w:val="20"/>
              </w:rPr>
              <w:t xml:space="preserve"> a za časový horizont 2025 (</w:t>
            </w:r>
            <w:proofErr w:type="spellStart"/>
            <w:r w:rsidRPr="003F3DD2">
              <w:rPr>
                <w:rFonts w:ascii="Arial" w:eastAsia="Arial" w:hAnsi="Arial" w:cs="Arial"/>
                <w:b/>
                <w:sz w:val="20"/>
                <w:szCs w:val="20"/>
              </w:rPr>
              <w:t>follow</w:t>
            </w:r>
            <w:proofErr w:type="spellEnd"/>
            <w:r w:rsidRPr="003F3DD2">
              <w:rPr>
                <w:rFonts w:ascii="Arial" w:eastAsia="Arial" w:hAnsi="Arial" w:cs="Arial"/>
                <w:b/>
                <w:sz w:val="20"/>
                <w:szCs w:val="20"/>
              </w:rPr>
              <w:t>-on investice) a na pokračování IPO fondu.</w:t>
            </w:r>
          </w:p>
          <w:p w14:paraId="0000034C" w14:textId="77777777" w:rsidR="001B238D" w:rsidRPr="00676862" w:rsidRDefault="001B238D">
            <w:pPr>
              <w:widowControl w:val="0"/>
              <w:pBdr>
                <w:top w:val="nil"/>
                <w:left w:val="nil"/>
                <w:bottom w:val="nil"/>
                <w:right w:val="nil"/>
                <w:between w:val="nil"/>
              </w:pBdr>
              <w:rPr>
                <w:rFonts w:ascii="Arial" w:eastAsia="Arial" w:hAnsi="Arial" w:cs="Arial"/>
                <w:b/>
                <w:sz w:val="20"/>
                <w:szCs w:val="20"/>
              </w:rPr>
            </w:pPr>
          </w:p>
          <w:p w14:paraId="0000034D" w14:textId="77777777" w:rsidR="001B238D" w:rsidRPr="00800799" w:rsidRDefault="001B238D">
            <w:pPr>
              <w:widowControl w:val="0"/>
              <w:pBdr>
                <w:top w:val="nil"/>
                <w:left w:val="nil"/>
                <w:bottom w:val="nil"/>
                <w:right w:val="nil"/>
                <w:between w:val="nil"/>
              </w:pBdr>
              <w:rPr>
                <w:rFonts w:ascii="Arial" w:eastAsia="Arial" w:hAnsi="Arial" w:cs="Arial"/>
                <w:sz w:val="20"/>
                <w:szCs w:val="20"/>
              </w:rPr>
            </w:pPr>
            <w:r w:rsidRPr="00676862">
              <w:rPr>
                <w:rFonts w:ascii="Arial" w:eastAsia="Arial" w:hAnsi="Arial" w:cs="Arial"/>
                <w:b/>
                <w:sz w:val="20"/>
                <w:szCs w:val="20"/>
              </w:rPr>
              <w:t xml:space="preserve">Součástí předběžného finančního plánu OPTAK není FN v programu Nemovitosti, kde by v případě pokrytí území celé ČR kromě </w:t>
            </w:r>
            <w:proofErr w:type="spellStart"/>
            <w:r w:rsidRPr="00676862">
              <w:rPr>
                <w:rFonts w:ascii="Arial" w:eastAsia="Arial" w:hAnsi="Arial" w:cs="Arial"/>
                <w:b/>
                <w:sz w:val="20"/>
                <w:szCs w:val="20"/>
              </w:rPr>
              <w:t>hl.m.Prahy</w:t>
            </w:r>
            <w:proofErr w:type="spellEnd"/>
            <w:r w:rsidRPr="00676862">
              <w:rPr>
                <w:rFonts w:ascii="Arial" w:eastAsia="Arial" w:hAnsi="Arial" w:cs="Arial"/>
                <w:b/>
                <w:sz w:val="20"/>
                <w:szCs w:val="20"/>
              </w:rPr>
              <w:t xml:space="preserve"> </w:t>
            </w:r>
            <w:proofErr w:type="spellStart"/>
            <w:r w:rsidRPr="00676862">
              <w:rPr>
                <w:rFonts w:ascii="Arial" w:eastAsia="Arial" w:hAnsi="Arial" w:cs="Arial"/>
                <w:b/>
                <w:sz w:val="20"/>
                <w:szCs w:val="20"/>
              </w:rPr>
              <w:t>kvazikapitálovým</w:t>
            </w:r>
            <w:proofErr w:type="spellEnd"/>
            <w:r w:rsidRPr="00676862">
              <w:rPr>
                <w:rFonts w:ascii="Arial" w:eastAsia="Arial" w:hAnsi="Arial" w:cs="Arial"/>
                <w:b/>
                <w:sz w:val="20"/>
                <w:szCs w:val="20"/>
              </w:rPr>
              <w:t xml:space="preserve"> finančním nástrojem v návaznosti na pilotní projekt ITI Ostrava v OPPIK měla být k dispozici minimální abso</w:t>
            </w:r>
            <w:r w:rsidRPr="00800799">
              <w:rPr>
                <w:b/>
                <w:sz w:val="20"/>
                <w:szCs w:val="20"/>
              </w:rPr>
              <w:t>rpční kapacita 2,5 mld. Kč</w:t>
            </w:r>
            <w:r w:rsidRPr="00800799">
              <w:rPr>
                <w:sz w:val="20"/>
                <w:szCs w:val="20"/>
              </w:rPr>
              <w:t xml:space="preserve">. V rámci strukturovaných rozhovorů s NR investiční a ČBA bude ověřena též varianta </w:t>
            </w:r>
            <w:proofErr w:type="spellStart"/>
            <w:r w:rsidRPr="00800799">
              <w:rPr>
                <w:sz w:val="20"/>
                <w:szCs w:val="20"/>
              </w:rPr>
              <w:t>seniorního</w:t>
            </w:r>
            <w:proofErr w:type="spellEnd"/>
            <w:r w:rsidRPr="00800799">
              <w:rPr>
                <w:sz w:val="20"/>
                <w:szCs w:val="20"/>
              </w:rPr>
              <w:t xml:space="preserve"> úvěru.</w:t>
            </w:r>
          </w:p>
        </w:tc>
      </w:tr>
      <w:tr w:rsidR="001B238D" w:rsidRPr="00800799" w14:paraId="437A2B08" w14:textId="77777777" w:rsidTr="001B238D">
        <w:tc>
          <w:tcPr>
            <w:tcW w:w="3109" w:type="dxa"/>
            <w:gridSpan w:val="2"/>
            <w:shd w:val="clear" w:color="auto" w:fill="auto"/>
            <w:tcMar>
              <w:top w:w="100" w:type="dxa"/>
              <w:left w:w="100" w:type="dxa"/>
              <w:bottom w:w="100" w:type="dxa"/>
              <w:right w:w="100" w:type="dxa"/>
            </w:tcMar>
          </w:tcPr>
          <w:p w14:paraId="00000352" w14:textId="77777777" w:rsidR="001B238D" w:rsidRPr="00800799" w:rsidRDefault="001B238D">
            <w:pPr>
              <w:widowControl w:val="0"/>
              <w:pBdr>
                <w:top w:val="nil"/>
                <w:left w:val="nil"/>
                <w:bottom w:val="nil"/>
                <w:right w:val="nil"/>
                <w:between w:val="nil"/>
              </w:pBdr>
              <w:rPr>
                <w:rFonts w:ascii="Arial" w:eastAsia="Arial" w:hAnsi="Arial" w:cs="Arial"/>
                <w:sz w:val="20"/>
                <w:szCs w:val="20"/>
              </w:rPr>
            </w:pPr>
            <w:r w:rsidRPr="00800799">
              <w:rPr>
                <w:sz w:val="20"/>
                <w:szCs w:val="20"/>
              </w:rPr>
              <w:lastRenderedPageBreak/>
              <w:t>SC 4.1: Podpora opatření v oblasti energetické účinnosti a snižování emisí skleníkových plynů</w:t>
            </w:r>
          </w:p>
        </w:tc>
        <w:tc>
          <w:tcPr>
            <w:tcW w:w="1701" w:type="dxa"/>
            <w:shd w:val="clear" w:color="auto" w:fill="FFE9E9"/>
            <w:tcMar>
              <w:top w:w="100" w:type="dxa"/>
              <w:left w:w="100" w:type="dxa"/>
              <w:bottom w:w="100" w:type="dxa"/>
              <w:right w:w="100" w:type="dxa"/>
            </w:tcMar>
          </w:tcPr>
          <w:p w14:paraId="00000353" w14:textId="77777777" w:rsidR="001B238D" w:rsidRPr="00800799" w:rsidRDefault="001B238D">
            <w:pPr>
              <w:widowControl w:val="0"/>
              <w:pBdr>
                <w:top w:val="nil"/>
                <w:left w:val="nil"/>
                <w:bottom w:val="nil"/>
                <w:right w:val="nil"/>
                <w:between w:val="nil"/>
              </w:pBdr>
              <w:rPr>
                <w:rFonts w:ascii="Arial" w:eastAsia="Arial" w:hAnsi="Arial" w:cs="Arial"/>
                <w:sz w:val="20"/>
                <w:szCs w:val="20"/>
              </w:rPr>
            </w:pPr>
            <w:r w:rsidRPr="00800799">
              <w:rPr>
                <w:sz w:val="20"/>
                <w:szCs w:val="20"/>
              </w:rPr>
              <w:t xml:space="preserve">11 431 294 618 </w:t>
            </w:r>
          </w:p>
        </w:tc>
        <w:tc>
          <w:tcPr>
            <w:tcW w:w="1701" w:type="dxa"/>
            <w:shd w:val="clear" w:color="auto" w:fill="FFE9E9"/>
            <w:tcMar>
              <w:top w:w="100" w:type="dxa"/>
              <w:left w:w="100" w:type="dxa"/>
              <w:bottom w:w="100" w:type="dxa"/>
              <w:right w:w="100" w:type="dxa"/>
            </w:tcMar>
          </w:tcPr>
          <w:p w14:paraId="00000354" w14:textId="77777777" w:rsidR="001B238D" w:rsidRPr="00800799" w:rsidRDefault="001B238D">
            <w:pPr>
              <w:widowControl w:val="0"/>
              <w:pBdr>
                <w:top w:val="nil"/>
                <w:left w:val="nil"/>
                <w:bottom w:val="nil"/>
                <w:right w:val="nil"/>
                <w:between w:val="nil"/>
              </w:pBdr>
              <w:rPr>
                <w:rFonts w:ascii="Arial" w:eastAsia="Arial" w:hAnsi="Arial" w:cs="Arial"/>
                <w:sz w:val="20"/>
                <w:szCs w:val="20"/>
              </w:rPr>
            </w:pPr>
            <w:r w:rsidRPr="00800799">
              <w:rPr>
                <w:sz w:val="20"/>
                <w:szCs w:val="20"/>
              </w:rPr>
              <w:t>15 055 546 989</w:t>
            </w:r>
          </w:p>
        </w:tc>
        <w:tc>
          <w:tcPr>
            <w:tcW w:w="1701" w:type="dxa"/>
            <w:shd w:val="clear" w:color="auto" w:fill="FFD9D9"/>
            <w:tcMar>
              <w:top w:w="100" w:type="dxa"/>
              <w:left w:w="100" w:type="dxa"/>
              <w:bottom w:w="100" w:type="dxa"/>
              <w:right w:w="100" w:type="dxa"/>
            </w:tcMar>
          </w:tcPr>
          <w:p w14:paraId="00000355" w14:textId="77777777" w:rsidR="001B238D" w:rsidRPr="00800799" w:rsidRDefault="001B238D">
            <w:pPr>
              <w:widowControl w:val="0"/>
              <w:pBdr>
                <w:top w:val="nil"/>
                <w:left w:val="nil"/>
                <w:bottom w:val="nil"/>
                <w:right w:val="nil"/>
                <w:between w:val="nil"/>
              </w:pBdr>
              <w:rPr>
                <w:rFonts w:ascii="Arial" w:eastAsia="Arial" w:hAnsi="Arial" w:cs="Arial"/>
                <w:sz w:val="20"/>
                <w:szCs w:val="20"/>
              </w:rPr>
            </w:pPr>
            <w:r w:rsidRPr="00800799">
              <w:rPr>
                <w:sz w:val="20"/>
                <w:szCs w:val="20"/>
              </w:rPr>
              <w:t xml:space="preserve">19 876 541 451 </w:t>
            </w:r>
          </w:p>
        </w:tc>
        <w:tc>
          <w:tcPr>
            <w:tcW w:w="992" w:type="dxa"/>
            <w:shd w:val="clear" w:color="auto" w:fill="FFD9D9"/>
          </w:tcPr>
          <w:p w14:paraId="55AD19C6" w14:textId="77777777" w:rsidR="001B238D" w:rsidRPr="00EA0A6C" w:rsidRDefault="001B238D">
            <w:pPr>
              <w:widowControl w:val="0"/>
              <w:pBdr>
                <w:top w:val="nil"/>
                <w:left w:val="nil"/>
                <w:bottom w:val="nil"/>
                <w:right w:val="nil"/>
                <w:between w:val="nil"/>
              </w:pBdr>
              <w:rPr>
                <w:rFonts w:ascii="Arial" w:hAnsi="Arial" w:cs="Arial"/>
                <w:b/>
                <w:sz w:val="20"/>
                <w:szCs w:val="20"/>
              </w:rPr>
            </w:pPr>
          </w:p>
        </w:tc>
        <w:tc>
          <w:tcPr>
            <w:tcW w:w="992" w:type="dxa"/>
            <w:shd w:val="clear" w:color="auto" w:fill="FFD9D9"/>
            <w:tcMar>
              <w:top w:w="100" w:type="dxa"/>
              <w:left w:w="100" w:type="dxa"/>
              <w:bottom w:w="100" w:type="dxa"/>
              <w:right w:w="100" w:type="dxa"/>
            </w:tcMar>
          </w:tcPr>
          <w:p w14:paraId="00000356" w14:textId="58D74634" w:rsidR="001B238D" w:rsidRPr="00800799" w:rsidRDefault="001B238D">
            <w:pPr>
              <w:widowControl w:val="0"/>
              <w:pBdr>
                <w:top w:val="nil"/>
                <w:left w:val="nil"/>
                <w:bottom w:val="nil"/>
                <w:right w:val="nil"/>
                <w:between w:val="nil"/>
              </w:pBdr>
              <w:rPr>
                <w:rFonts w:ascii="Arial" w:eastAsia="Arial" w:hAnsi="Arial" w:cs="Arial"/>
                <w:b/>
                <w:sz w:val="20"/>
                <w:szCs w:val="20"/>
              </w:rPr>
            </w:pPr>
            <w:proofErr w:type="gramStart"/>
            <w:r w:rsidRPr="00800799">
              <w:rPr>
                <w:rFonts w:ascii="Arial" w:eastAsia="Arial" w:hAnsi="Arial" w:cs="Arial"/>
                <w:b/>
                <w:sz w:val="20"/>
                <w:szCs w:val="20"/>
              </w:rPr>
              <w:t>13,9%</w:t>
            </w:r>
            <w:proofErr w:type="gramEnd"/>
          </w:p>
        </w:tc>
      </w:tr>
      <w:tr w:rsidR="001B238D" w:rsidRPr="00800799" w14:paraId="40D1A228" w14:textId="77777777" w:rsidTr="001B238D">
        <w:trPr>
          <w:trHeight w:val="400"/>
        </w:trPr>
        <w:tc>
          <w:tcPr>
            <w:tcW w:w="992" w:type="dxa"/>
            <w:shd w:val="clear" w:color="auto" w:fill="E6B8AF"/>
          </w:tcPr>
          <w:p w14:paraId="7FEC326B" w14:textId="77777777" w:rsidR="001B238D" w:rsidRPr="00EA0A6C" w:rsidRDefault="001B238D">
            <w:pPr>
              <w:widowControl w:val="0"/>
              <w:pBdr>
                <w:top w:val="nil"/>
                <w:left w:val="nil"/>
                <w:bottom w:val="nil"/>
                <w:right w:val="nil"/>
                <w:between w:val="nil"/>
              </w:pBdr>
              <w:rPr>
                <w:rFonts w:ascii="Arial" w:hAnsi="Arial" w:cs="Arial"/>
                <w:b/>
                <w:sz w:val="20"/>
                <w:szCs w:val="20"/>
              </w:rPr>
            </w:pPr>
          </w:p>
        </w:tc>
        <w:tc>
          <w:tcPr>
            <w:tcW w:w="9204" w:type="dxa"/>
            <w:gridSpan w:val="6"/>
            <w:shd w:val="clear" w:color="auto" w:fill="E6B8AF"/>
            <w:tcMar>
              <w:top w:w="100" w:type="dxa"/>
              <w:left w:w="100" w:type="dxa"/>
              <w:bottom w:w="100" w:type="dxa"/>
              <w:right w:w="100" w:type="dxa"/>
            </w:tcMar>
          </w:tcPr>
          <w:p w14:paraId="00000357" w14:textId="6CC29572" w:rsidR="001B238D" w:rsidRPr="00952825" w:rsidRDefault="001B238D">
            <w:pPr>
              <w:widowControl w:val="0"/>
              <w:pBdr>
                <w:top w:val="nil"/>
                <w:left w:val="nil"/>
                <w:bottom w:val="nil"/>
                <w:right w:val="nil"/>
                <w:between w:val="nil"/>
              </w:pBdr>
              <w:rPr>
                <w:rFonts w:ascii="Arial" w:eastAsia="Arial" w:hAnsi="Arial" w:cs="Arial"/>
                <w:b/>
                <w:sz w:val="20"/>
                <w:szCs w:val="20"/>
              </w:rPr>
            </w:pPr>
            <w:r w:rsidRPr="00800799">
              <w:rPr>
                <w:rFonts w:ascii="Arial" w:eastAsia="Arial" w:hAnsi="Arial" w:cs="Arial"/>
                <w:b/>
                <w:sz w:val="20"/>
                <w:szCs w:val="20"/>
              </w:rPr>
              <w:t xml:space="preserve">Komentář </w:t>
            </w:r>
            <w:proofErr w:type="spellStart"/>
            <w:r w:rsidRPr="00800799">
              <w:rPr>
                <w:rFonts w:ascii="Arial" w:eastAsia="Arial" w:hAnsi="Arial" w:cs="Arial"/>
                <w:b/>
                <w:sz w:val="20"/>
                <w:szCs w:val="20"/>
              </w:rPr>
              <w:t>PwC</w:t>
            </w:r>
            <w:proofErr w:type="spellEnd"/>
            <w:r w:rsidRPr="00800799">
              <w:rPr>
                <w:rFonts w:ascii="Arial" w:eastAsia="Arial" w:hAnsi="Arial" w:cs="Arial"/>
                <w:b/>
                <w:sz w:val="20"/>
                <w:szCs w:val="20"/>
              </w:rPr>
              <w:t xml:space="preserve"> (SC 4.1): </w:t>
            </w:r>
            <w:r w:rsidRPr="00800799">
              <w:rPr>
                <w:rFonts w:ascii="Arial" w:eastAsia="Arial" w:hAnsi="Arial" w:cs="Arial"/>
                <w:sz w:val="20"/>
                <w:szCs w:val="20"/>
              </w:rPr>
              <w:t xml:space="preserve">Podle předběžného finančního plánu OP TAK by se alokace na FN měla pohybovat okolo 1,9 mld. Kč průřezově na všechny aktivity úspor energie. Tato částka je mnohem vyšší než realizovaný pilotní FN </w:t>
            </w:r>
            <w:r w:rsidRPr="00C77291">
              <w:rPr>
                <w:rFonts w:ascii="Arial" w:eastAsia="Arial" w:hAnsi="Arial" w:cs="Arial"/>
                <w:sz w:val="20"/>
                <w:szCs w:val="20"/>
              </w:rPr>
              <w:t>v OPPIK (po úpravách alokace cca 80 mil. Kč).</w:t>
            </w:r>
            <w:r w:rsidRPr="00C77291">
              <w:rPr>
                <w:rFonts w:ascii="Arial" w:eastAsia="Arial" w:hAnsi="Arial" w:cs="Arial"/>
                <w:b/>
                <w:sz w:val="20"/>
                <w:szCs w:val="20"/>
              </w:rPr>
              <w:t xml:space="preserve"> Doporučován bude finanční nástroj zvýhodněný úvěr nebo záruka v kombinaci s dotací. Pokud bude nastaveno pravidlo, podle kterého nebude docházet k překryvu dotačních výzev a FN (např. menší projekty do 5 mil. K</w:t>
            </w:r>
            <w:r w:rsidRPr="00952825">
              <w:rPr>
                <w:rFonts w:ascii="Arial" w:eastAsia="Arial" w:hAnsi="Arial" w:cs="Arial"/>
                <w:b/>
                <w:sz w:val="20"/>
                <w:szCs w:val="20"/>
              </w:rPr>
              <w:t>č budou pokryty výhradně FN v kombinaci s dotací a dále bude poskytnuto ze strany NRB poradenství ELENA pro přípravu projektů), lze očekávat, že navrhovaná alokace bude realistická. Úvěrový finanční nástroj by v takovém případě znamenal podporu projektů ve výši přibližně 2,1 mld. Kč úvěrů a 700 mil. Kč dotace (odpuštění splátek).</w:t>
            </w:r>
          </w:p>
        </w:tc>
      </w:tr>
      <w:tr w:rsidR="001B238D" w:rsidRPr="00800799" w14:paraId="4546A09D" w14:textId="77777777" w:rsidTr="001B238D">
        <w:tc>
          <w:tcPr>
            <w:tcW w:w="3109" w:type="dxa"/>
            <w:gridSpan w:val="2"/>
            <w:shd w:val="clear" w:color="auto" w:fill="auto"/>
            <w:tcMar>
              <w:top w:w="100" w:type="dxa"/>
              <w:left w:w="100" w:type="dxa"/>
              <w:bottom w:w="100" w:type="dxa"/>
              <w:right w:w="100" w:type="dxa"/>
            </w:tcMar>
          </w:tcPr>
          <w:p w14:paraId="0000035C" w14:textId="24F6EA57" w:rsidR="001B238D" w:rsidRPr="00C77291" w:rsidRDefault="001B238D">
            <w:pPr>
              <w:widowControl w:val="0"/>
              <w:rPr>
                <w:rFonts w:ascii="Arial" w:eastAsia="Arial" w:hAnsi="Arial" w:cs="Arial"/>
                <w:sz w:val="20"/>
                <w:szCs w:val="20"/>
              </w:rPr>
            </w:pPr>
            <w:r w:rsidRPr="00800799">
              <w:rPr>
                <w:rFonts w:ascii="Arial" w:eastAsia="Arial" w:hAnsi="Arial" w:cs="Arial"/>
                <w:sz w:val="20"/>
                <w:szCs w:val="20"/>
              </w:rPr>
              <w:t xml:space="preserve">SC 4.4: Posílení biologické rozmanitosti, zelené infrastruktury v městském prostředí a snížení znečištění (podpora čisté mobility) </w:t>
            </w:r>
          </w:p>
        </w:tc>
        <w:tc>
          <w:tcPr>
            <w:tcW w:w="1701" w:type="dxa"/>
            <w:shd w:val="clear" w:color="auto" w:fill="auto"/>
            <w:tcMar>
              <w:top w:w="100" w:type="dxa"/>
              <w:left w:w="100" w:type="dxa"/>
              <w:bottom w:w="100" w:type="dxa"/>
              <w:right w:w="100" w:type="dxa"/>
            </w:tcMar>
          </w:tcPr>
          <w:p w14:paraId="0000035D" w14:textId="77777777" w:rsidR="001B238D" w:rsidRPr="00952825" w:rsidRDefault="001B238D">
            <w:pPr>
              <w:widowControl w:val="0"/>
              <w:rPr>
                <w:rFonts w:ascii="Arial" w:eastAsia="Arial" w:hAnsi="Arial" w:cs="Arial"/>
                <w:sz w:val="20"/>
                <w:szCs w:val="20"/>
              </w:rPr>
            </w:pPr>
            <w:r w:rsidRPr="00952825">
              <w:rPr>
                <w:rFonts w:ascii="Arial" w:eastAsia="Arial" w:hAnsi="Arial" w:cs="Arial"/>
                <w:sz w:val="20"/>
                <w:szCs w:val="20"/>
              </w:rPr>
              <w:t xml:space="preserve">1 313 744 429 </w:t>
            </w:r>
          </w:p>
        </w:tc>
        <w:tc>
          <w:tcPr>
            <w:tcW w:w="1701" w:type="dxa"/>
            <w:shd w:val="clear" w:color="auto" w:fill="auto"/>
            <w:tcMar>
              <w:top w:w="100" w:type="dxa"/>
              <w:left w:w="100" w:type="dxa"/>
              <w:bottom w:w="100" w:type="dxa"/>
              <w:right w:w="100" w:type="dxa"/>
            </w:tcMar>
          </w:tcPr>
          <w:p w14:paraId="0000035E" w14:textId="77777777" w:rsidR="001B238D" w:rsidRPr="00952825" w:rsidRDefault="001B238D">
            <w:pPr>
              <w:widowControl w:val="0"/>
              <w:rPr>
                <w:rFonts w:ascii="Arial" w:eastAsia="Arial" w:hAnsi="Arial" w:cs="Arial"/>
                <w:sz w:val="20"/>
                <w:szCs w:val="20"/>
              </w:rPr>
            </w:pPr>
            <w:r w:rsidRPr="00952825">
              <w:rPr>
                <w:rFonts w:ascii="Arial" w:eastAsia="Arial" w:hAnsi="Arial" w:cs="Arial"/>
                <w:sz w:val="20"/>
                <w:szCs w:val="20"/>
              </w:rPr>
              <w:t>1 885 658 167</w:t>
            </w:r>
          </w:p>
        </w:tc>
        <w:tc>
          <w:tcPr>
            <w:tcW w:w="1701" w:type="dxa"/>
            <w:shd w:val="clear" w:color="auto" w:fill="auto"/>
            <w:tcMar>
              <w:top w:w="100" w:type="dxa"/>
              <w:left w:w="100" w:type="dxa"/>
              <w:bottom w:w="100" w:type="dxa"/>
              <w:right w:w="100" w:type="dxa"/>
            </w:tcMar>
          </w:tcPr>
          <w:p w14:paraId="0000035F" w14:textId="77777777" w:rsidR="001B238D" w:rsidRPr="00952825" w:rsidRDefault="001B238D">
            <w:pPr>
              <w:widowControl w:val="0"/>
              <w:rPr>
                <w:rFonts w:ascii="Arial" w:eastAsia="Arial" w:hAnsi="Arial" w:cs="Arial"/>
                <w:sz w:val="20"/>
                <w:szCs w:val="20"/>
              </w:rPr>
            </w:pPr>
            <w:r w:rsidRPr="00952825">
              <w:rPr>
                <w:rFonts w:ascii="Arial" w:eastAsia="Arial" w:hAnsi="Arial" w:cs="Arial"/>
                <w:sz w:val="20"/>
                <w:szCs w:val="20"/>
              </w:rPr>
              <w:t xml:space="preserve">2 554 755 631 </w:t>
            </w:r>
          </w:p>
        </w:tc>
        <w:tc>
          <w:tcPr>
            <w:tcW w:w="992" w:type="dxa"/>
          </w:tcPr>
          <w:p w14:paraId="611BCAFF" w14:textId="77777777" w:rsidR="001B238D" w:rsidRPr="00EA0A6C" w:rsidRDefault="001B238D">
            <w:pPr>
              <w:widowControl w:val="0"/>
              <w:rPr>
                <w:rFonts w:ascii="Arial" w:hAnsi="Arial" w:cs="Arial"/>
                <w:b/>
                <w:sz w:val="20"/>
                <w:szCs w:val="20"/>
              </w:rPr>
            </w:pPr>
          </w:p>
        </w:tc>
        <w:tc>
          <w:tcPr>
            <w:tcW w:w="992" w:type="dxa"/>
            <w:shd w:val="clear" w:color="auto" w:fill="auto"/>
            <w:tcMar>
              <w:top w:w="100" w:type="dxa"/>
              <w:left w:w="100" w:type="dxa"/>
              <w:bottom w:w="100" w:type="dxa"/>
              <w:right w:w="100" w:type="dxa"/>
            </w:tcMar>
          </w:tcPr>
          <w:p w14:paraId="00000360" w14:textId="23572464" w:rsidR="001B238D" w:rsidRPr="00800799" w:rsidRDefault="001B238D">
            <w:pPr>
              <w:widowControl w:val="0"/>
              <w:rPr>
                <w:rFonts w:ascii="Arial" w:eastAsia="Arial" w:hAnsi="Arial" w:cs="Arial"/>
                <w:b/>
                <w:sz w:val="20"/>
                <w:szCs w:val="20"/>
              </w:rPr>
            </w:pPr>
            <w:proofErr w:type="gramStart"/>
            <w:r w:rsidRPr="00800799">
              <w:rPr>
                <w:rFonts w:ascii="Arial" w:eastAsia="Arial" w:hAnsi="Arial" w:cs="Arial"/>
                <w:b/>
                <w:sz w:val="20"/>
                <w:szCs w:val="20"/>
              </w:rPr>
              <w:t>1,7%</w:t>
            </w:r>
            <w:proofErr w:type="gramEnd"/>
          </w:p>
        </w:tc>
      </w:tr>
      <w:tr w:rsidR="001B238D" w:rsidRPr="00800799" w14:paraId="418C76D6" w14:textId="77777777" w:rsidTr="001B238D">
        <w:trPr>
          <w:trHeight w:val="400"/>
        </w:trPr>
        <w:tc>
          <w:tcPr>
            <w:tcW w:w="992" w:type="dxa"/>
            <w:shd w:val="clear" w:color="auto" w:fill="E6B8AF"/>
          </w:tcPr>
          <w:p w14:paraId="0B4A1520" w14:textId="77777777" w:rsidR="001B238D" w:rsidRPr="00EA0A6C" w:rsidRDefault="001B238D">
            <w:pPr>
              <w:widowControl w:val="0"/>
              <w:rPr>
                <w:rFonts w:ascii="Arial" w:hAnsi="Arial" w:cs="Arial"/>
                <w:b/>
                <w:sz w:val="20"/>
                <w:szCs w:val="20"/>
              </w:rPr>
            </w:pPr>
          </w:p>
        </w:tc>
        <w:tc>
          <w:tcPr>
            <w:tcW w:w="9204" w:type="dxa"/>
            <w:gridSpan w:val="6"/>
            <w:shd w:val="clear" w:color="auto" w:fill="E6B8AF"/>
            <w:tcMar>
              <w:top w:w="100" w:type="dxa"/>
              <w:left w:w="100" w:type="dxa"/>
              <w:bottom w:w="100" w:type="dxa"/>
              <w:right w:w="100" w:type="dxa"/>
            </w:tcMar>
          </w:tcPr>
          <w:p w14:paraId="00000361" w14:textId="02477B19" w:rsidR="001B238D" w:rsidRPr="003F3DD2" w:rsidRDefault="001B238D">
            <w:pPr>
              <w:widowControl w:val="0"/>
              <w:rPr>
                <w:rFonts w:ascii="Arial" w:eastAsia="Arial" w:hAnsi="Arial" w:cs="Arial"/>
                <w:b/>
                <w:sz w:val="20"/>
                <w:szCs w:val="20"/>
              </w:rPr>
            </w:pPr>
            <w:r w:rsidRPr="00800799">
              <w:rPr>
                <w:rFonts w:ascii="Arial" w:eastAsia="Arial" w:hAnsi="Arial" w:cs="Arial"/>
                <w:b/>
                <w:sz w:val="20"/>
                <w:szCs w:val="20"/>
              </w:rPr>
              <w:t xml:space="preserve">Komentář </w:t>
            </w:r>
            <w:proofErr w:type="spellStart"/>
            <w:r w:rsidRPr="00800799">
              <w:rPr>
                <w:rFonts w:ascii="Arial" w:eastAsia="Arial" w:hAnsi="Arial" w:cs="Arial"/>
                <w:b/>
                <w:sz w:val="20"/>
                <w:szCs w:val="20"/>
              </w:rPr>
              <w:t>PwC</w:t>
            </w:r>
            <w:proofErr w:type="spellEnd"/>
            <w:r w:rsidRPr="00800799">
              <w:rPr>
                <w:rFonts w:ascii="Arial" w:eastAsia="Arial" w:hAnsi="Arial" w:cs="Arial"/>
                <w:b/>
                <w:sz w:val="20"/>
                <w:szCs w:val="20"/>
              </w:rPr>
              <w:t xml:space="preserve"> (SC 4.4): </w:t>
            </w:r>
            <w:r w:rsidRPr="00800799">
              <w:rPr>
                <w:rFonts w:ascii="Arial" w:eastAsia="Arial" w:hAnsi="Arial" w:cs="Arial"/>
                <w:sz w:val="20"/>
                <w:szCs w:val="20"/>
              </w:rPr>
              <w:t>Podle předběžného finančního plánu OP TAK by se alokace na FN měla pohybovat okolo 1,6 mld. Kč. Tato částka by mohla být využita na finanční nástroj typu zvýhodněný</w:t>
            </w:r>
            <w:r w:rsidRPr="00C77291">
              <w:rPr>
                <w:rFonts w:ascii="Arial" w:eastAsia="Arial" w:hAnsi="Arial" w:cs="Arial"/>
                <w:sz w:val="20"/>
                <w:szCs w:val="20"/>
              </w:rPr>
              <w:t xml:space="preserve"> úvěr v kombinaci s dotací určený na aktivity Nákup vozidel na alternativní pohon a Budování</w:t>
            </w:r>
            <w:r w:rsidRPr="00952825">
              <w:rPr>
                <w:rFonts w:ascii="Arial" w:eastAsia="Arial" w:hAnsi="Arial" w:cs="Arial"/>
                <w:sz w:val="20"/>
                <w:szCs w:val="20"/>
              </w:rPr>
              <w:t xml:space="preserve"> dobíjecích a plnících stanic v podnicích. </w:t>
            </w:r>
            <w:r w:rsidRPr="00952825">
              <w:rPr>
                <w:rFonts w:ascii="Arial" w:eastAsia="Arial" w:hAnsi="Arial" w:cs="Arial"/>
                <w:b/>
                <w:sz w:val="20"/>
                <w:szCs w:val="20"/>
              </w:rPr>
              <w:t>Zejména v případě aktivity budování privátních dobíjecích stanic v kombinaci s vlastním zdrojem OZE a kapacitou pro akumulaci může být FN realisticky využitelný, výše alokace bude ověřena v dotazníkovém šetření a ve strukturovaných rozhovorech s NRB, ČBA a ČLFA.</w:t>
            </w:r>
          </w:p>
          <w:p w14:paraId="00000362" w14:textId="77777777" w:rsidR="001B238D" w:rsidRPr="003F3DD2" w:rsidRDefault="001B238D">
            <w:pPr>
              <w:widowControl w:val="0"/>
              <w:rPr>
                <w:rFonts w:ascii="Arial" w:eastAsia="Arial" w:hAnsi="Arial" w:cs="Arial"/>
                <w:sz w:val="20"/>
                <w:szCs w:val="20"/>
              </w:rPr>
            </w:pPr>
          </w:p>
          <w:p w14:paraId="00000363" w14:textId="77777777" w:rsidR="001B238D" w:rsidRPr="00676862" w:rsidRDefault="001B238D">
            <w:pPr>
              <w:widowControl w:val="0"/>
              <w:rPr>
                <w:rFonts w:ascii="Arial" w:eastAsia="Arial" w:hAnsi="Arial" w:cs="Arial"/>
                <w:sz w:val="20"/>
                <w:szCs w:val="20"/>
              </w:rPr>
            </w:pPr>
            <w:r w:rsidRPr="003F3DD2">
              <w:rPr>
                <w:rFonts w:ascii="Arial" w:eastAsia="Arial" w:hAnsi="Arial" w:cs="Arial"/>
                <w:b/>
                <w:sz w:val="20"/>
                <w:szCs w:val="20"/>
              </w:rPr>
              <w:t>Otázkou zůstává aktivita Nákupu vozidel na alternativní pohon, která je navíc podporována i v Národním plánu obno</w:t>
            </w:r>
            <w:r w:rsidRPr="00381528">
              <w:rPr>
                <w:rFonts w:ascii="Arial" w:eastAsia="Arial" w:hAnsi="Arial" w:cs="Arial"/>
                <w:b/>
                <w:sz w:val="20"/>
                <w:szCs w:val="20"/>
              </w:rPr>
              <w:t>vy v komponentě 2.4 (možná realizace též finančním nástrojem) a zároveň ve většině zemí se t</w:t>
            </w:r>
            <w:r w:rsidRPr="00676862">
              <w:rPr>
                <w:rFonts w:ascii="Arial" w:eastAsia="Arial" w:hAnsi="Arial" w:cs="Arial"/>
                <w:b/>
                <w:sz w:val="20"/>
                <w:szCs w:val="20"/>
              </w:rPr>
              <w:t>aková podpora odehrává v režimu daňových úlev</w:t>
            </w:r>
            <w:r w:rsidRPr="00676862">
              <w:rPr>
                <w:rFonts w:ascii="Arial" w:eastAsia="Arial" w:hAnsi="Arial" w:cs="Arial"/>
                <w:sz w:val="20"/>
                <w:szCs w:val="20"/>
              </w:rPr>
              <w:t>. Využitelnost této aktivity pro finanční nástroj bude dále diskutována s ČBA, NRB a ČLFA.</w:t>
            </w:r>
          </w:p>
        </w:tc>
      </w:tr>
      <w:tr w:rsidR="001B238D" w:rsidRPr="00800799" w14:paraId="44B7B460" w14:textId="77777777" w:rsidTr="001B238D">
        <w:tc>
          <w:tcPr>
            <w:tcW w:w="3109" w:type="dxa"/>
            <w:gridSpan w:val="2"/>
            <w:shd w:val="clear" w:color="auto" w:fill="auto"/>
            <w:tcMar>
              <w:top w:w="100" w:type="dxa"/>
              <w:left w:w="100" w:type="dxa"/>
              <w:bottom w:w="100" w:type="dxa"/>
              <w:right w:w="100" w:type="dxa"/>
            </w:tcMar>
          </w:tcPr>
          <w:p w14:paraId="00000368" w14:textId="752592FE" w:rsidR="001B238D" w:rsidRPr="00952825" w:rsidRDefault="001B238D">
            <w:pPr>
              <w:widowControl w:val="0"/>
              <w:rPr>
                <w:rFonts w:ascii="Arial" w:eastAsia="Arial" w:hAnsi="Arial" w:cs="Arial"/>
                <w:sz w:val="20"/>
                <w:szCs w:val="20"/>
              </w:rPr>
            </w:pPr>
            <w:r w:rsidRPr="00800799">
              <w:rPr>
                <w:sz w:val="20"/>
                <w:szCs w:val="20"/>
              </w:rPr>
              <w:t xml:space="preserve">SC 5.1: Podpora </w:t>
            </w:r>
            <w:r w:rsidRPr="00800799">
              <w:rPr>
                <w:rFonts w:ascii="Arial" w:eastAsia="Arial" w:hAnsi="Arial" w:cs="Arial"/>
                <w:sz w:val="20"/>
                <w:szCs w:val="20"/>
              </w:rPr>
              <w:t xml:space="preserve">přizpůsobení se </w:t>
            </w:r>
            <w:r w:rsidRPr="00800799">
              <w:rPr>
                <w:rFonts w:ascii="Arial" w:eastAsia="Arial" w:hAnsi="Arial" w:cs="Arial"/>
                <w:sz w:val="20"/>
                <w:szCs w:val="20"/>
              </w:rPr>
              <w:lastRenderedPageBreak/>
              <w:t>změnám klimatu, prevence rizik a odolnosti vůči katastrofám (podpora průmyslového</w:t>
            </w:r>
            <w:r w:rsidRPr="00C77291">
              <w:rPr>
                <w:rFonts w:ascii="Arial" w:eastAsia="Arial" w:hAnsi="Arial" w:cs="Arial"/>
                <w:sz w:val="20"/>
                <w:szCs w:val="20"/>
              </w:rPr>
              <w:t xml:space="preserve"> hospodaření s vodou</w:t>
            </w:r>
            <w:r w:rsidRPr="00952825">
              <w:rPr>
                <w:rFonts w:ascii="Arial" w:eastAsia="Arial" w:hAnsi="Arial" w:cs="Arial"/>
                <w:sz w:val="20"/>
                <w:szCs w:val="20"/>
              </w:rPr>
              <w:t xml:space="preserve">) </w:t>
            </w:r>
          </w:p>
        </w:tc>
        <w:tc>
          <w:tcPr>
            <w:tcW w:w="1701" w:type="dxa"/>
            <w:shd w:val="clear" w:color="auto" w:fill="FCF4F4"/>
            <w:tcMar>
              <w:top w:w="100" w:type="dxa"/>
              <w:left w:w="100" w:type="dxa"/>
              <w:bottom w:w="100" w:type="dxa"/>
              <w:right w:w="100" w:type="dxa"/>
            </w:tcMar>
          </w:tcPr>
          <w:p w14:paraId="00000369" w14:textId="77777777" w:rsidR="001B238D" w:rsidRPr="00952825" w:rsidRDefault="001B238D">
            <w:pPr>
              <w:widowControl w:val="0"/>
              <w:rPr>
                <w:rFonts w:ascii="Arial" w:eastAsia="Arial" w:hAnsi="Arial" w:cs="Arial"/>
                <w:sz w:val="20"/>
                <w:szCs w:val="20"/>
              </w:rPr>
            </w:pPr>
            <w:r w:rsidRPr="00952825">
              <w:rPr>
                <w:rFonts w:ascii="Arial" w:eastAsia="Arial" w:hAnsi="Arial" w:cs="Arial"/>
                <w:sz w:val="20"/>
                <w:szCs w:val="20"/>
              </w:rPr>
              <w:lastRenderedPageBreak/>
              <w:t xml:space="preserve">1 218 752 008 </w:t>
            </w:r>
          </w:p>
        </w:tc>
        <w:tc>
          <w:tcPr>
            <w:tcW w:w="1701" w:type="dxa"/>
            <w:shd w:val="clear" w:color="auto" w:fill="FCF4F4"/>
            <w:tcMar>
              <w:top w:w="100" w:type="dxa"/>
              <w:left w:w="100" w:type="dxa"/>
              <w:bottom w:w="100" w:type="dxa"/>
              <w:right w:w="100" w:type="dxa"/>
            </w:tcMar>
          </w:tcPr>
          <w:p w14:paraId="0000036A" w14:textId="77777777" w:rsidR="001B238D" w:rsidRPr="00952825" w:rsidRDefault="001B238D">
            <w:pPr>
              <w:widowControl w:val="0"/>
              <w:rPr>
                <w:rFonts w:ascii="Arial" w:eastAsia="Arial" w:hAnsi="Arial" w:cs="Arial"/>
                <w:sz w:val="20"/>
                <w:szCs w:val="20"/>
              </w:rPr>
            </w:pPr>
            <w:r w:rsidRPr="00952825">
              <w:rPr>
                <w:rFonts w:ascii="Arial" w:eastAsia="Arial" w:hAnsi="Arial" w:cs="Arial"/>
                <w:sz w:val="20"/>
                <w:szCs w:val="20"/>
              </w:rPr>
              <w:t>2 194 572 686</w:t>
            </w:r>
          </w:p>
        </w:tc>
        <w:tc>
          <w:tcPr>
            <w:tcW w:w="1701" w:type="dxa"/>
            <w:shd w:val="clear" w:color="auto" w:fill="FCF4F4"/>
            <w:tcMar>
              <w:top w:w="100" w:type="dxa"/>
              <w:left w:w="100" w:type="dxa"/>
              <w:bottom w:w="100" w:type="dxa"/>
              <w:right w:w="100" w:type="dxa"/>
            </w:tcMar>
          </w:tcPr>
          <w:p w14:paraId="0000036B" w14:textId="77777777" w:rsidR="001B238D" w:rsidRPr="003F3DD2" w:rsidRDefault="001B238D">
            <w:pPr>
              <w:widowControl w:val="0"/>
              <w:rPr>
                <w:rFonts w:ascii="Arial" w:eastAsia="Arial" w:hAnsi="Arial" w:cs="Arial"/>
                <w:sz w:val="20"/>
                <w:szCs w:val="20"/>
              </w:rPr>
            </w:pPr>
            <w:r w:rsidRPr="003F3DD2">
              <w:rPr>
                <w:rFonts w:ascii="Arial" w:eastAsia="Arial" w:hAnsi="Arial" w:cs="Arial"/>
                <w:sz w:val="20"/>
                <w:szCs w:val="20"/>
              </w:rPr>
              <w:t>3 031 055 462</w:t>
            </w:r>
          </w:p>
        </w:tc>
        <w:tc>
          <w:tcPr>
            <w:tcW w:w="992" w:type="dxa"/>
            <w:shd w:val="clear" w:color="auto" w:fill="FCF4F4"/>
          </w:tcPr>
          <w:p w14:paraId="40D7E64C" w14:textId="77777777" w:rsidR="001B238D" w:rsidRPr="00EA0A6C" w:rsidRDefault="001B238D">
            <w:pPr>
              <w:widowControl w:val="0"/>
              <w:rPr>
                <w:rFonts w:ascii="Arial" w:hAnsi="Arial" w:cs="Arial"/>
                <w:b/>
                <w:sz w:val="20"/>
                <w:szCs w:val="20"/>
              </w:rPr>
            </w:pPr>
          </w:p>
        </w:tc>
        <w:tc>
          <w:tcPr>
            <w:tcW w:w="992" w:type="dxa"/>
            <w:shd w:val="clear" w:color="auto" w:fill="FCF4F4"/>
            <w:tcMar>
              <w:top w:w="100" w:type="dxa"/>
              <w:left w:w="100" w:type="dxa"/>
              <w:bottom w:w="100" w:type="dxa"/>
              <w:right w:w="100" w:type="dxa"/>
            </w:tcMar>
          </w:tcPr>
          <w:p w14:paraId="0000036C" w14:textId="34191218" w:rsidR="001B238D" w:rsidRPr="00800799" w:rsidRDefault="001B238D">
            <w:pPr>
              <w:widowControl w:val="0"/>
              <w:rPr>
                <w:rFonts w:ascii="Arial" w:eastAsia="Arial" w:hAnsi="Arial" w:cs="Arial"/>
                <w:b/>
                <w:sz w:val="20"/>
                <w:szCs w:val="20"/>
              </w:rPr>
            </w:pPr>
            <w:proofErr w:type="gramStart"/>
            <w:r w:rsidRPr="00800799">
              <w:rPr>
                <w:rFonts w:ascii="Arial" w:eastAsia="Arial" w:hAnsi="Arial" w:cs="Arial"/>
                <w:b/>
                <w:sz w:val="20"/>
                <w:szCs w:val="20"/>
              </w:rPr>
              <w:t>2,0%</w:t>
            </w:r>
            <w:proofErr w:type="gramEnd"/>
          </w:p>
        </w:tc>
      </w:tr>
      <w:tr w:rsidR="001B238D" w:rsidRPr="00800799" w14:paraId="568FAF66" w14:textId="77777777" w:rsidTr="001B238D">
        <w:trPr>
          <w:trHeight w:val="400"/>
        </w:trPr>
        <w:tc>
          <w:tcPr>
            <w:tcW w:w="992" w:type="dxa"/>
            <w:shd w:val="clear" w:color="auto" w:fill="E6B8AF"/>
          </w:tcPr>
          <w:p w14:paraId="71172155" w14:textId="77777777" w:rsidR="001B238D" w:rsidRPr="00EA0A6C" w:rsidRDefault="001B238D">
            <w:pPr>
              <w:widowControl w:val="0"/>
              <w:rPr>
                <w:rFonts w:ascii="Arial" w:hAnsi="Arial" w:cs="Arial"/>
                <w:b/>
                <w:sz w:val="20"/>
                <w:szCs w:val="20"/>
              </w:rPr>
            </w:pPr>
          </w:p>
        </w:tc>
        <w:tc>
          <w:tcPr>
            <w:tcW w:w="9204" w:type="dxa"/>
            <w:gridSpan w:val="6"/>
            <w:shd w:val="clear" w:color="auto" w:fill="E6B8AF"/>
            <w:tcMar>
              <w:top w:w="100" w:type="dxa"/>
              <w:left w:w="100" w:type="dxa"/>
              <w:bottom w:w="100" w:type="dxa"/>
              <w:right w:w="100" w:type="dxa"/>
            </w:tcMar>
          </w:tcPr>
          <w:p w14:paraId="0000036D" w14:textId="35AAB60F" w:rsidR="001B238D" w:rsidRPr="00952825" w:rsidRDefault="001B238D">
            <w:pPr>
              <w:widowControl w:val="0"/>
              <w:rPr>
                <w:rFonts w:ascii="Arial" w:eastAsia="Arial" w:hAnsi="Arial" w:cs="Arial"/>
                <w:b/>
                <w:sz w:val="20"/>
                <w:szCs w:val="20"/>
              </w:rPr>
            </w:pPr>
            <w:r w:rsidRPr="00800799">
              <w:rPr>
                <w:rFonts w:ascii="Arial" w:eastAsia="Arial" w:hAnsi="Arial" w:cs="Arial"/>
                <w:b/>
                <w:sz w:val="20"/>
                <w:szCs w:val="20"/>
              </w:rPr>
              <w:t xml:space="preserve">Komentář </w:t>
            </w:r>
            <w:proofErr w:type="spellStart"/>
            <w:r w:rsidRPr="00800799">
              <w:rPr>
                <w:rFonts w:ascii="Arial" w:eastAsia="Arial" w:hAnsi="Arial" w:cs="Arial"/>
                <w:b/>
                <w:sz w:val="20"/>
                <w:szCs w:val="20"/>
              </w:rPr>
              <w:t>PwC</w:t>
            </w:r>
            <w:proofErr w:type="spellEnd"/>
            <w:r w:rsidRPr="00800799">
              <w:rPr>
                <w:rFonts w:ascii="Arial" w:eastAsia="Arial" w:hAnsi="Arial" w:cs="Arial"/>
                <w:b/>
                <w:sz w:val="20"/>
                <w:szCs w:val="20"/>
              </w:rPr>
              <w:t xml:space="preserve"> (SC 5.1): </w:t>
            </w:r>
            <w:r w:rsidRPr="00800799">
              <w:rPr>
                <w:rFonts w:ascii="Arial" w:eastAsia="Arial" w:hAnsi="Arial" w:cs="Arial"/>
                <w:sz w:val="20"/>
                <w:szCs w:val="20"/>
              </w:rPr>
              <w:t xml:space="preserve">Podle předběžného finančního plánu OP TAK by se alokace na FN měla pohybovat okolo 120 mil. Kč na aktivitu Jímání a </w:t>
            </w:r>
            <w:r w:rsidRPr="00C77291">
              <w:rPr>
                <w:rFonts w:ascii="Arial" w:eastAsia="Arial" w:hAnsi="Arial" w:cs="Arial"/>
                <w:sz w:val="20"/>
                <w:szCs w:val="20"/>
              </w:rPr>
              <w:t>akumulace vody. Tato alokace je příliš nízká pro spuštění samostatného finančního nástroje (úvěrová kapacita přibližně 150 mil. Kč ve spojení s 45 mil. Kč dotací) a v případě takto nízké</w:t>
            </w:r>
            <w:r w:rsidRPr="00952825">
              <w:rPr>
                <w:rFonts w:ascii="Arial" w:eastAsia="Arial" w:hAnsi="Arial" w:cs="Arial"/>
                <w:sz w:val="20"/>
                <w:szCs w:val="20"/>
              </w:rPr>
              <w:t xml:space="preserve"> absorpční kapacity by bylo vhodnější tyto projekty podpořit jako zvláštní podporovanou aktivitu v programu Expanze. V rámci dotazníkového šetření a strukturovaných rozhovorů s ČBA, ČLFA a NRB bude zároveň ověřena reálná absorpční kapacita této aktivity.</w:t>
            </w:r>
          </w:p>
        </w:tc>
      </w:tr>
      <w:tr w:rsidR="001B238D" w:rsidRPr="00800799" w14:paraId="6148C4CD" w14:textId="77777777" w:rsidTr="001B238D">
        <w:tc>
          <w:tcPr>
            <w:tcW w:w="3109" w:type="dxa"/>
            <w:gridSpan w:val="2"/>
            <w:shd w:val="clear" w:color="auto" w:fill="auto"/>
            <w:tcMar>
              <w:top w:w="100" w:type="dxa"/>
              <w:left w:w="100" w:type="dxa"/>
              <w:bottom w:w="100" w:type="dxa"/>
              <w:right w:w="100" w:type="dxa"/>
            </w:tcMar>
          </w:tcPr>
          <w:p w14:paraId="00000372" w14:textId="77777777" w:rsidR="001B238D" w:rsidRPr="00800799" w:rsidRDefault="001B238D">
            <w:pPr>
              <w:widowControl w:val="0"/>
              <w:rPr>
                <w:rFonts w:ascii="Arial" w:eastAsia="Arial" w:hAnsi="Arial" w:cs="Arial"/>
                <w:b/>
                <w:sz w:val="20"/>
                <w:szCs w:val="20"/>
              </w:rPr>
            </w:pPr>
            <w:r w:rsidRPr="00800799">
              <w:rPr>
                <w:b/>
                <w:sz w:val="20"/>
                <w:szCs w:val="20"/>
              </w:rPr>
              <w:t>Celkem OP TAK</w:t>
            </w:r>
          </w:p>
        </w:tc>
        <w:tc>
          <w:tcPr>
            <w:tcW w:w="1701" w:type="dxa"/>
            <w:shd w:val="clear" w:color="auto" w:fill="auto"/>
            <w:tcMar>
              <w:top w:w="100" w:type="dxa"/>
              <w:left w:w="100" w:type="dxa"/>
              <w:bottom w:w="100" w:type="dxa"/>
              <w:right w:w="100" w:type="dxa"/>
            </w:tcMar>
          </w:tcPr>
          <w:p w14:paraId="00000373" w14:textId="77777777" w:rsidR="001B238D" w:rsidRPr="00800799" w:rsidRDefault="001B238D">
            <w:pPr>
              <w:widowControl w:val="0"/>
              <w:rPr>
                <w:rFonts w:ascii="Arial" w:eastAsia="Arial" w:hAnsi="Arial" w:cs="Arial"/>
                <w:b/>
                <w:sz w:val="20"/>
                <w:szCs w:val="20"/>
              </w:rPr>
            </w:pPr>
            <w:r w:rsidRPr="00800799">
              <w:rPr>
                <w:b/>
                <w:sz w:val="20"/>
                <w:szCs w:val="20"/>
              </w:rPr>
              <w:t xml:space="preserve">82 615 151 996 </w:t>
            </w:r>
          </w:p>
        </w:tc>
        <w:tc>
          <w:tcPr>
            <w:tcW w:w="1701" w:type="dxa"/>
            <w:shd w:val="clear" w:color="auto" w:fill="auto"/>
            <w:tcMar>
              <w:top w:w="100" w:type="dxa"/>
              <w:left w:w="100" w:type="dxa"/>
              <w:bottom w:w="100" w:type="dxa"/>
              <w:right w:w="100" w:type="dxa"/>
            </w:tcMar>
          </w:tcPr>
          <w:p w14:paraId="00000374" w14:textId="77777777" w:rsidR="001B238D" w:rsidRPr="00800799" w:rsidRDefault="001B238D">
            <w:pPr>
              <w:widowControl w:val="0"/>
              <w:rPr>
                <w:rFonts w:ascii="Arial" w:eastAsia="Arial" w:hAnsi="Arial" w:cs="Arial"/>
                <w:b/>
                <w:sz w:val="20"/>
                <w:szCs w:val="20"/>
              </w:rPr>
            </w:pPr>
            <w:r w:rsidRPr="00800799">
              <w:rPr>
                <w:b/>
                <w:sz w:val="20"/>
                <w:szCs w:val="20"/>
              </w:rPr>
              <w:t xml:space="preserve">108 159 678 743 </w:t>
            </w:r>
          </w:p>
        </w:tc>
        <w:tc>
          <w:tcPr>
            <w:tcW w:w="1701" w:type="dxa"/>
            <w:shd w:val="clear" w:color="auto" w:fill="auto"/>
            <w:tcMar>
              <w:top w:w="100" w:type="dxa"/>
              <w:left w:w="100" w:type="dxa"/>
              <w:bottom w:w="100" w:type="dxa"/>
              <w:right w:w="100" w:type="dxa"/>
            </w:tcMar>
          </w:tcPr>
          <w:p w14:paraId="00000375" w14:textId="77777777" w:rsidR="001B238D" w:rsidRPr="00800799" w:rsidRDefault="001B238D">
            <w:pPr>
              <w:widowControl w:val="0"/>
              <w:rPr>
                <w:rFonts w:ascii="Arial" w:eastAsia="Arial" w:hAnsi="Arial" w:cs="Arial"/>
                <w:b/>
                <w:sz w:val="20"/>
                <w:szCs w:val="20"/>
              </w:rPr>
            </w:pPr>
            <w:r w:rsidRPr="00800799">
              <w:rPr>
                <w:b/>
                <w:sz w:val="20"/>
                <w:szCs w:val="20"/>
              </w:rPr>
              <w:t>137 898 896 897</w:t>
            </w:r>
          </w:p>
        </w:tc>
        <w:tc>
          <w:tcPr>
            <w:tcW w:w="992" w:type="dxa"/>
          </w:tcPr>
          <w:p w14:paraId="407F6616" w14:textId="77777777" w:rsidR="001B238D" w:rsidRPr="00EA0A6C" w:rsidRDefault="001B238D">
            <w:pPr>
              <w:widowControl w:val="0"/>
              <w:rPr>
                <w:rFonts w:ascii="Arial" w:hAnsi="Arial" w:cs="Arial"/>
                <w:b/>
                <w:sz w:val="20"/>
                <w:szCs w:val="20"/>
              </w:rPr>
            </w:pPr>
          </w:p>
        </w:tc>
        <w:tc>
          <w:tcPr>
            <w:tcW w:w="992" w:type="dxa"/>
            <w:shd w:val="clear" w:color="auto" w:fill="auto"/>
            <w:tcMar>
              <w:top w:w="100" w:type="dxa"/>
              <w:left w:w="100" w:type="dxa"/>
              <w:bottom w:w="100" w:type="dxa"/>
              <w:right w:w="100" w:type="dxa"/>
            </w:tcMar>
          </w:tcPr>
          <w:p w14:paraId="00000376" w14:textId="1F66A973" w:rsidR="001B238D" w:rsidRPr="00800799" w:rsidRDefault="001B238D">
            <w:pPr>
              <w:widowControl w:val="0"/>
              <w:rPr>
                <w:rFonts w:ascii="Arial" w:eastAsia="Arial" w:hAnsi="Arial" w:cs="Arial"/>
                <w:b/>
                <w:sz w:val="20"/>
                <w:szCs w:val="20"/>
              </w:rPr>
            </w:pPr>
            <w:proofErr w:type="gramStart"/>
            <w:r w:rsidRPr="00800799">
              <w:rPr>
                <w:rFonts w:ascii="Arial" w:eastAsia="Arial" w:hAnsi="Arial" w:cs="Arial"/>
                <w:b/>
                <w:sz w:val="20"/>
                <w:szCs w:val="20"/>
              </w:rPr>
              <w:t>100,0%</w:t>
            </w:r>
            <w:proofErr w:type="gramEnd"/>
          </w:p>
        </w:tc>
      </w:tr>
    </w:tbl>
    <w:p w14:paraId="00000377" w14:textId="77777777" w:rsidR="00054D27" w:rsidRPr="00800799" w:rsidRDefault="00054D27">
      <w:pPr>
        <w:jc w:val="both"/>
        <w:rPr>
          <w:sz w:val="20"/>
          <w:szCs w:val="20"/>
        </w:rPr>
      </w:pPr>
    </w:p>
    <w:p w14:paraId="00000378" w14:textId="77777777" w:rsidR="00054D27" w:rsidRPr="00800799" w:rsidRDefault="00054D27">
      <w:pPr>
        <w:jc w:val="both"/>
        <w:rPr>
          <w:sz w:val="20"/>
          <w:szCs w:val="20"/>
        </w:rPr>
      </w:pPr>
    </w:p>
    <w:p w14:paraId="00000379" w14:textId="3D850113" w:rsidR="00054D27" w:rsidRPr="00800799" w:rsidRDefault="00AF622A">
      <w:pPr>
        <w:jc w:val="both"/>
        <w:rPr>
          <w:sz w:val="20"/>
          <w:szCs w:val="20"/>
        </w:rPr>
      </w:pPr>
      <w:r w:rsidRPr="00800799">
        <w:rPr>
          <w:sz w:val="20"/>
          <w:szCs w:val="20"/>
        </w:rPr>
        <w:t xml:space="preserve">V kontextu </w:t>
      </w:r>
      <w:r w:rsidRPr="00800799">
        <w:rPr>
          <w:b/>
          <w:sz w:val="20"/>
          <w:szCs w:val="20"/>
        </w:rPr>
        <w:t>bariér podpory finančními nástroji</w:t>
      </w:r>
      <w:r w:rsidRPr="00800799">
        <w:rPr>
          <w:sz w:val="20"/>
          <w:szCs w:val="20"/>
        </w:rPr>
        <w:t xml:space="preserve"> byly identifikovány bariéry nízkého rozsahu podpory a nízké informovanosti o možnostech využití FN mezi podniky, které ještě v rámci programu o podporu nežádali. </w:t>
      </w:r>
    </w:p>
    <w:p w14:paraId="0000037A" w14:textId="77777777" w:rsidR="00054D27" w:rsidRPr="00800799" w:rsidRDefault="00AF622A">
      <w:pPr>
        <w:jc w:val="both"/>
        <w:rPr>
          <w:sz w:val="20"/>
          <w:szCs w:val="20"/>
        </w:rPr>
      </w:pPr>
      <w:r w:rsidRPr="00800799">
        <w:rPr>
          <w:b/>
          <w:sz w:val="20"/>
          <w:szCs w:val="20"/>
        </w:rPr>
        <w:t xml:space="preserve">Pro odstranění bariér byla navržená specifická doporučení. Doporučení týkající se FN </w:t>
      </w:r>
      <w:r w:rsidRPr="00800799">
        <w:rPr>
          <w:sz w:val="20"/>
          <w:szCs w:val="20"/>
        </w:rPr>
        <w:t xml:space="preserve">se vztahuje na „propagaci programu a finančních nástrojů za účelem motivace čerpání podpory ze strany potenciálních příjemců“. Konkrétně se jedná o: </w:t>
      </w:r>
    </w:p>
    <w:p w14:paraId="0000037B" w14:textId="328717D6" w:rsidR="00054D27" w:rsidRPr="00800799" w:rsidRDefault="00AF622A">
      <w:pPr>
        <w:numPr>
          <w:ilvl w:val="0"/>
          <w:numId w:val="5"/>
        </w:numPr>
        <w:pBdr>
          <w:top w:val="nil"/>
          <w:left w:val="nil"/>
          <w:bottom w:val="nil"/>
          <w:right w:val="nil"/>
          <w:between w:val="nil"/>
        </w:pBdr>
        <w:spacing w:line="259" w:lineRule="auto"/>
        <w:jc w:val="both"/>
        <w:rPr>
          <w:b/>
          <w:color w:val="000000"/>
          <w:sz w:val="20"/>
          <w:szCs w:val="20"/>
        </w:rPr>
      </w:pPr>
      <w:r w:rsidRPr="00800799">
        <w:rPr>
          <w:color w:val="000000"/>
          <w:sz w:val="20"/>
          <w:szCs w:val="20"/>
        </w:rPr>
        <w:t xml:space="preserve">Realizace propagačních aktivit zaměřených především na cílovou skupinu podniků, které doposud </w:t>
      </w:r>
      <w:r w:rsidRPr="00800799">
        <w:rPr>
          <w:sz w:val="20"/>
          <w:szCs w:val="20"/>
        </w:rPr>
        <w:t>nežádali</w:t>
      </w:r>
      <w:r w:rsidRPr="00800799">
        <w:rPr>
          <w:color w:val="000000"/>
          <w:sz w:val="20"/>
          <w:szCs w:val="20"/>
        </w:rPr>
        <w:t xml:space="preserve"> o podporu v OP PI či OP PIK, jakožto na skupinu s potenciálem k čerpání prostředků nad rámec minulých výzev. Aktivity zaměřit především na přínosy podpory a vzdělávací aktivity za účelem zajištění schopnosti podat žádost o podporu na straně potenciálních příjemců. </w:t>
      </w:r>
    </w:p>
    <w:p w14:paraId="0000037C" w14:textId="77777777" w:rsidR="00054D27" w:rsidRPr="00800799" w:rsidRDefault="00AF622A">
      <w:pPr>
        <w:numPr>
          <w:ilvl w:val="0"/>
          <w:numId w:val="5"/>
        </w:numPr>
        <w:pBdr>
          <w:top w:val="nil"/>
          <w:left w:val="nil"/>
          <w:bottom w:val="nil"/>
          <w:right w:val="nil"/>
          <w:between w:val="nil"/>
        </w:pBdr>
        <w:spacing w:line="259" w:lineRule="auto"/>
        <w:jc w:val="both"/>
        <w:rPr>
          <w:b/>
          <w:color w:val="000000"/>
          <w:sz w:val="20"/>
          <w:szCs w:val="20"/>
        </w:rPr>
      </w:pPr>
      <w:r w:rsidRPr="00800799">
        <w:rPr>
          <w:color w:val="000000"/>
          <w:sz w:val="20"/>
          <w:szCs w:val="20"/>
        </w:rPr>
        <w:t xml:space="preserve">Realizace propagačních a osvětových kampaní za účelem snižování negativního pohledu na operační programy zaměřené na konkurenceschopnost. Využití kombinace komunikačních kanálů včetně propagace skrze příklady dobré praxe a zkušenosti podniků s úspěšnými projekty. </w:t>
      </w:r>
    </w:p>
    <w:p w14:paraId="0000037D" w14:textId="77777777" w:rsidR="00054D27" w:rsidRPr="00800799" w:rsidRDefault="00AF622A">
      <w:pPr>
        <w:numPr>
          <w:ilvl w:val="0"/>
          <w:numId w:val="5"/>
        </w:numPr>
        <w:pBdr>
          <w:top w:val="nil"/>
          <w:left w:val="nil"/>
          <w:bottom w:val="nil"/>
          <w:right w:val="nil"/>
          <w:between w:val="nil"/>
        </w:pBdr>
        <w:spacing w:after="160" w:line="259" w:lineRule="auto"/>
        <w:jc w:val="both"/>
        <w:rPr>
          <w:b/>
          <w:color w:val="000000"/>
          <w:sz w:val="20"/>
          <w:szCs w:val="20"/>
        </w:rPr>
      </w:pPr>
      <w:r w:rsidRPr="00800799">
        <w:rPr>
          <w:color w:val="000000"/>
          <w:sz w:val="20"/>
          <w:szCs w:val="20"/>
        </w:rPr>
        <w:t>Medializace a propagace výhod podpory prostřednictvím finančních nástrojů za účelem zvýšení zájmu o tyto nástroje ze strany potenciálních příjemců, mimo jiné také vzhledem k předpokládanému důrazu na finanční nástroje ze strany Evropské komise</w:t>
      </w:r>
    </w:p>
    <w:p w14:paraId="0000037E"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ind w:left="360"/>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0000037F"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ind w:left="360"/>
        <w:jc w:val="both"/>
        <w:rPr>
          <w:sz w:val="20"/>
          <w:szCs w:val="20"/>
        </w:rPr>
      </w:pPr>
      <w:r w:rsidRPr="00800799">
        <w:rPr>
          <w:sz w:val="20"/>
          <w:szCs w:val="20"/>
        </w:rPr>
        <w:t>S ohledem na několikrát navýšenou alokaci nosného programu podpory finančních nástrojů Expanze je otázka, jak by měla vypadat propagační aktivita. Měla by se zaměřit zejména na témata, kde budou finanční nástroje aplikovány poprvé, nebo kde v minulosti nebyly příliš úspěšné z hlediska čerpání (úspory energie, zvláštní podporované aktivity Expanze). Otázka propagačních aktivit bude řešena v rámci strukturovaného rozhovoru s NRB a v rámci dotazníkového šetření.</w:t>
      </w:r>
    </w:p>
    <w:p w14:paraId="00000380" w14:textId="77777777" w:rsidR="00054D27" w:rsidRPr="00800799" w:rsidRDefault="00054D27">
      <w:pPr>
        <w:pBdr>
          <w:top w:val="nil"/>
          <w:left w:val="nil"/>
          <w:bottom w:val="nil"/>
          <w:right w:val="nil"/>
          <w:between w:val="nil"/>
        </w:pBdr>
        <w:spacing w:line="360" w:lineRule="auto"/>
        <w:rPr>
          <w:color w:val="D04A02"/>
          <w:sz w:val="20"/>
          <w:szCs w:val="20"/>
        </w:rPr>
      </w:pPr>
    </w:p>
    <w:p w14:paraId="00000381" w14:textId="77777777" w:rsidR="00054D27" w:rsidRPr="00800799" w:rsidRDefault="00AF622A">
      <w:pPr>
        <w:jc w:val="both"/>
        <w:rPr>
          <w:b/>
          <w:sz w:val="20"/>
          <w:szCs w:val="20"/>
        </w:rPr>
      </w:pPr>
      <w:r w:rsidRPr="00800799">
        <w:rPr>
          <w:b/>
          <w:sz w:val="20"/>
          <w:szCs w:val="20"/>
        </w:rPr>
        <w:t xml:space="preserve">AO1: Do jaké míry byla naplněna plánovaná absorpční kapacita v současném a minulém programovém období (tj. </w:t>
      </w:r>
      <w:proofErr w:type="gramStart"/>
      <w:r w:rsidRPr="00800799">
        <w:rPr>
          <w:b/>
          <w:sz w:val="20"/>
          <w:szCs w:val="20"/>
        </w:rPr>
        <w:t>2014 – 2020</w:t>
      </w:r>
      <w:proofErr w:type="gramEnd"/>
      <w:r w:rsidRPr="00800799">
        <w:rPr>
          <w:b/>
          <w:sz w:val="20"/>
          <w:szCs w:val="20"/>
        </w:rPr>
        <w:t xml:space="preserve"> a 2007 – 2013)? Očekávání vs. Realita</w:t>
      </w:r>
    </w:p>
    <w:p w14:paraId="00000382" w14:textId="77777777" w:rsidR="00054D27" w:rsidRPr="00800799" w:rsidRDefault="00AF622A">
      <w:pPr>
        <w:numPr>
          <w:ilvl w:val="0"/>
          <w:numId w:val="6"/>
        </w:numPr>
        <w:pBdr>
          <w:top w:val="nil"/>
          <w:left w:val="nil"/>
          <w:bottom w:val="nil"/>
          <w:right w:val="nil"/>
          <w:between w:val="nil"/>
        </w:pBdr>
        <w:spacing w:after="160" w:line="259" w:lineRule="auto"/>
        <w:jc w:val="both"/>
        <w:rPr>
          <w:b/>
          <w:color w:val="000000"/>
          <w:sz w:val="20"/>
          <w:szCs w:val="20"/>
        </w:rPr>
      </w:pPr>
      <w:r w:rsidRPr="00800799">
        <w:rPr>
          <w:color w:val="000000"/>
          <w:sz w:val="20"/>
          <w:szCs w:val="20"/>
        </w:rPr>
        <w:t>Kvůli malým zkušenostem s tímto typem podpory bylo pro aktivity zaměřené na podporu vzniku firem prostřednictvím finančních nástrojů v období 2007-2013 vyvozené dvojnásobné nadhodnocení absorpční kapacity v OP PI</w:t>
      </w:r>
    </w:p>
    <w:p w14:paraId="00000383"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ind w:left="360"/>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00000384"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ind w:left="360"/>
        <w:jc w:val="both"/>
        <w:rPr>
          <w:sz w:val="20"/>
          <w:szCs w:val="20"/>
        </w:rPr>
      </w:pPr>
      <w:r w:rsidRPr="00800799">
        <w:rPr>
          <w:sz w:val="20"/>
          <w:szCs w:val="20"/>
        </w:rPr>
        <w:t xml:space="preserve">Problematika začínajících firem je pro finanční nástroje relevantní zejména v oblasti rizikového kapitálu, kde byly nástroje aplikovány v OP PIK poprvé bez předchozí zkušenosti. Budeme proto výsledky dále </w:t>
      </w:r>
      <w:r w:rsidRPr="00800799">
        <w:rPr>
          <w:sz w:val="20"/>
          <w:szCs w:val="20"/>
        </w:rPr>
        <w:lastRenderedPageBreak/>
        <w:t xml:space="preserve">ověřovat v rámci strukturovaných rozhovorů s CVCA, EIF, NR investiční, Nation1, Českou </w:t>
      </w:r>
      <w:proofErr w:type="spellStart"/>
      <w:r w:rsidRPr="00800799">
        <w:rPr>
          <w:sz w:val="20"/>
          <w:szCs w:val="20"/>
        </w:rPr>
        <w:t>fintech</w:t>
      </w:r>
      <w:proofErr w:type="spellEnd"/>
      <w:r w:rsidRPr="00800799">
        <w:rPr>
          <w:sz w:val="20"/>
          <w:szCs w:val="20"/>
        </w:rPr>
        <w:t xml:space="preserve"> asociací a Českou AI asociací.</w:t>
      </w:r>
    </w:p>
    <w:p w14:paraId="00000385" w14:textId="77777777" w:rsidR="00054D27" w:rsidRPr="00800799" w:rsidRDefault="00054D27">
      <w:pPr>
        <w:spacing w:after="160" w:line="259" w:lineRule="auto"/>
        <w:ind w:left="360"/>
        <w:rPr>
          <w:b/>
          <w:sz w:val="20"/>
          <w:szCs w:val="20"/>
        </w:rPr>
      </w:pPr>
    </w:p>
    <w:p w14:paraId="00000386" w14:textId="77777777" w:rsidR="00054D27" w:rsidRPr="00800799" w:rsidRDefault="00AF622A">
      <w:pPr>
        <w:jc w:val="both"/>
        <w:rPr>
          <w:b/>
          <w:sz w:val="20"/>
          <w:szCs w:val="20"/>
        </w:rPr>
      </w:pPr>
      <w:r w:rsidRPr="00800799">
        <w:rPr>
          <w:b/>
          <w:sz w:val="20"/>
          <w:szCs w:val="20"/>
        </w:rPr>
        <w:t xml:space="preserve">A02: Jaké je očekávání absorpční kapacity v budoucím programovém období </w:t>
      </w:r>
      <w:proofErr w:type="gramStart"/>
      <w:r w:rsidRPr="00800799">
        <w:rPr>
          <w:b/>
          <w:sz w:val="20"/>
          <w:szCs w:val="20"/>
        </w:rPr>
        <w:t>2021 – 2027</w:t>
      </w:r>
      <w:proofErr w:type="gramEnd"/>
      <w:r w:rsidRPr="00800799">
        <w:rPr>
          <w:b/>
          <w:sz w:val="20"/>
          <w:szCs w:val="20"/>
        </w:rPr>
        <w:t xml:space="preserve"> za jednotlivé oblasti podpory/specifické cíle, resp. do jaké míry je o podporu v dané oblasti zájem ze strany různých typů příjemců (MSP a v relevantních oblastech i velké podniky, resp. </w:t>
      </w:r>
      <w:proofErr w:type="spellStart"/>
      <w:r w:rsidRPr="00800799">
        <w:rPr>
          <w:b/>
          <w:sz w:val="20"/>
          <w:szCs w:val="20"/>
        </w:rPr>
        <w:t>MidCaps</w:t>
      </w:r>
      <w:proofErr w:type="spellEnd"/>
      <w:r w:rsidRPr="00800799">
        <w:rPr>
          <w:b/>
          <w:sz w:val="20"/>
          <w:szCs w:val="20"/>
        </w:rPr>
        <w:t>)?</w:t>
      </w:r>
    </w:p>
    <w:p w14:paraId="00000387" w14:textId="03AA2FBB" w:rsidR="00054D27" w:rsidRPr="00800799" w:rsidRDefault="00AF622A">
      <w:pPr>
        <w:numPr>
          <w:ilvl w:val="0"/>
          <w:numId w:val="6"/>
        </w:numPr>
        <w:pBdr>
          <w:top w:val="nil"/>
          <w:left w:val="nil"/>
          <w:bottom w:val="nil"/>
          <w:right w:val="nil"/>
          <w:between w:val="nil"/>
        </w:pBdr>
        <w:spacing w:after="160" w:line="259" w:lineRule="auto"/>
        <w:jc w:val="both"/>
        <w:rPr>
          <w:b/>
          <w:color w:val="000000"/>
          <w:sz w:val="20"/>
          <w:szCs w:val="20"/>
        </w:rPr>
      </w:pPr>
      <w:r w:rsidRPr="00800799">
        <w:rPr>
          <w:color w:val="000000"/>
          <w:sz w:val="20"/>
          <w:szCs w:val="20"/>
        </w:rPr>
        <w:t xml:space="preserve">Jenom </w:t>
      </w:r>
      <w:proofErr w:type="gramStart"/>
      <w:r w:rsidRPr="00800799">
        <w:rPr>
          <w:color w:val="000000"/>
          <w:sz w:val="20"/>
          <w:szCs w:val="20"/>
        </w:rPr>
        <w:t>25%</w:t>
      </w:r>
      <w:proofErr w:type="gramEnd"/>
      <w:r w:rsidRPr="00800799">
        <w:rPr>
          <w:color w:val="000000"/>
          <w:sz w:val="20"/>
          <w:szCs w:val="20"/>
        </w:rPr>
        <w:t xml:space="preserve"> potenciálních příjemců podpory by volilo </w:t>
      </w:r>
      <w:r w:rsidRPr="00800799">
        <w:rPr>
          <w:sz w:val="20"/>
          <w:szCs w:val="20"/>
        </w:rPr>
        <w:t>financování</w:t>
      </w:r>
      <w:r w:rsidRPr="00800799">
        <w:rPr>
          <w:color w:val="000000"/>
          <w:sz w:val="20"/>
          <w:szCs w:val="20"/>
        </w:rPr>
        <w:t xml:space="preserve"> projektů skrz finanční nástroje. Potenciálem k zvýšením zájmu by mohla být kombinace FN s dotací. V tomto případě by došlo k asistenci od ČMZRB „formou zvýhodněného úvěru či odkladu splátek nebo záruky k získání úvěru u komerčních bank splňujících nastavené podmínky ČMZRB a v případě splnění nastavených cílů a indikátorů by po ukončení projektu dle výsledků projektu mohl daný subjekt získat dodatečnou podporu formou odpuštění splátek jistiny úvěru příp. v kombinaci s příspěvkem na úhradu úroků“</w:t>
      </w:r>
    </w:p>
    <w:p w14:paraId="00000388"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ind w:left="360"/>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00000389"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ind w:left="360"/>
        <w:jc w:val="both"/>
        <w:rPr>
          <w:sz w:val="20"/>
          <w:szCs w:val="20"/>
        </w:rPr>
      </w:pPr>
      <w:r w:rsidRPr="00800799">
        <w:rPr>
          <w:sz w:val="20"/>
          <w:szCs w:val="20"/>
        </w:rPr>
        <w:t>Kombinace dotace a finančního nástroje (zejména v oblastech energetiky, vodního hospodářství, případně též digitalizace) bude jedním z hlavních témat všech strukturovaných rozhovorů a dotazníkového šetření.</w:t>
      </w:r>
    </w:p>
    <w:p w14:paraId="0000038A"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ind w:left="360"/>
        <w:jc w:val="both"/>
        <w:rPr>
          <w:sz w:val="20"/>
          <w:szCs w:val="20"/>
        </w:rPr>
      </w:pPr>
      <w:r w:rsidRPr="00800799">
        <w:rPr>
          <w:sz w:val="20"/>
          <w:szCs w:val="20"/>
        </w:rPr>
        <w:t xml:space="preserve">Co se týče kombinace s dalšími programy – v rámci strukturovaných rozhovorů s NRB a ČBA ověříme možnost kombinace/ komplementarity finančních nástrojů s nástroji </w:t>
      </w:r>
      <w:proofErr w:type="spellStart"/>
      <w:r w:rsidRPr="00800799">
        <w:rPr>
          <w:sz w:val="20"/>
          <w:szCs w:val="20"/>
        </w:rPr>
        <w:t>InvestEU</w:t>
      </w:r>
      <w:proofErr w:type="spellEnd"/>
      <w:r w:rsidRPr="00800799">
        <w:rPr>
          <w:sz w:val="20"/>
          <w:szCs w:val="20"/>
        </w:rPr>
        <w:t>.</w:t>
      </w:r>
    </w:p>
    <w:p w14:paraId="0000038B" w14:textId="77777777" w:rsidR="00054D27" w:rsidRPr="00800799" w:rsidRDefault="00054D27">
      <w:pPr>
        <w:pBdr>
          <w:top w:val="nil"/>
          <w:left w:val="nil"/>
          <w:bottom w:val="nil"/>
          <w:right w:val="nil"/>
          <w:between w:val="nil"/>
        </w:pBdr>
        <w:spacing w:line="360" w:lineRule="auto"/>
        <w:rPr>
          <w:color w:val="D04A02"/>
          <w:sz w:val="18"/>
          <w:szCs w:val="18"/>
        </w:rPr>
      </w:pPr>
    </w:p>
    <w:p w14:paraId="0000038C" w14:textId="14F07A66" w:rsidR="00054D27" w:rsidRPr="00800799" w:rsidRDefault="00AF622A">
      <w:pPr>
        <w:pStyle w:val="Nadpis3"/>
        <w:numPr>
          <w:ilvl w:val="1"/>
          <w:numId w:val="13"/>
        </w:numPr>
        <w:rPr>
          <w:color w:val="D04A02"/>
          <w:sz w:val="24"/>
          <w:szCs w:val="24"/>
        </w:rPr>
      </w:pPr>
      <w:bookmarkStart w:id="80" w:name="_s12rkg2lgl80"/>
      <w:bookmarkStart w:id="81" w:name="_Toc90364564"/>
      <w:bookmarkStart w:id="82" w:name="_Toc89232802"/>
      <w:bookmarkStart w:id="83" w:name="_Toc89067102"/>
      <w:bookmarkEnd w:id="80"/>
      <w:r w:rsidRPr="00800799">
        <w:rPr>
          <w:color w:val="D04A02"/>
          <w:sz w:val="24"/>
          <w:szCs w:val="24"/>
        </w:rPr>
        <w:t>Analýzy tržní situace v jednotlivých specifických cílech OP TAK z roku 2020</w:t>
      </w:r>
      <w:bookmarkEnd w:id="81"/>
      <w:bookmarkEnd w:id="82"/>
      <w:bookmarkEnd w:id="83"/>
    </w:p>
    <w:p w14:paraId="0000039A" w14:textId="5A45027B" w:rsidR="00054D27" w:rsidRPr="00800799" w:rsidRDefault="001B238D" w:rsidP="001B238D">
      <w:pPr>
        <w:pBdr>
          <w:top w:val="nil"/>
          <w:left w:val="nil"/>
          <w:bottom w:val="nil"/>
          <w:right w:val="nil"/>
          <w:between w:val="nil"/>
        </w:pBdr>
        <w:spacing w:line="240" w:lineRule="auto"/>
        <w:rPr>
          <w:color w:val="000000"/>
          <w:sz w:val="20"/>
          <w:szCs w:val="20"/>
        </w:rPr>
      </w:pPr>
      <w:r w:rsidRPr="00800799">
        <w:rPr>
          <w:color w:val="000000"/>
          <w:sz w:val="20"/>
          <w:szCs w:val="20"/>
        </w:rPr>
        <w:t xml:space="preserve">Dokument analýzy tržní situace v jednotlivých specifických cílech OP TAK z roku 2020 přinášejí řadu návrhů zejména v oblasti kombinace dotace a finančního nástroje, které budou zohledněny v návrhové fázi předběžného posouzení. Níže je uveden přehled doporučení ze studie a komentář </w:t>
      </w:r>
      <w:proofErr w:type="spellStart"/>
      <w:r w:rsidRPr="00800799">
        <w:rPr>
          <w:color w:val="000000"/>
          <w:sz w:val="20"/>
          <w:szCs w:val="20"/>
        </w:rPr>
        <w:t>PwC</w:t>
      </w:r>
      <w:proofErr w:type="spellEnd"/>
      <w:r w:rsidRPr="00800799">
        <w:rPr>
          <w:color w:val="000000"/>
          <w:sz w:val="20"/>
          <w:szCs w:val="20"/>
        </w:rPr>
        <w:t>. Naše hlavní poznámky se týkají následujících bodů:</w:t>
      </w:r>
    </w:p>
    <w:p w14:paraId="47DA38BB" w14:textId="606F25EC" w:rsidR="001B238D" w:rsidRPr="00800799" w:rsidRDefault="001B238D" w:rsidP="001B238D">
      <w:pPr>
        <w:pStyle w:val="Odstavecseseznamem"/>
        <w:numPr>
          <w:ilvl w:val="0"/>
          <w:numId w:val="25"/>
        </w:numPr>
        <w:pBdr>
          <w:top w:val="nil"/>
          <w:left w:val="nil"/>
          <w:bottom w:val="nil"/>
          <w:right w:val="nil"/>
          <w:between w:val="nil"/>
        </w:pBdr>
        <w:rPr>
          <w:rFonts w:ascii="Arial" w:hAnsi="Arial" w:cs="Arial"/>
          <w:color w:val="000000"/>
          <w:sz w:val="20"/>
          <w:szCs w:val="20"/>
        </w:rPr>
      </w:pPr>
      <w:r w:rsidRPr="00800799">
        <w:rPr>
          <w:rFonts w:ascii="Arial" w:hAnsi="Arial" w:cs="Arial"/>
          <w:color w:val="000000"/>
          <w:sz w:val="20"/>
          <w:szCs w:val="20"/>
        </w:rPr>
        <w:t>Pro oblast digitalizace bude pravděpodobně doporučen jeden pilotní finanční nástroj na základě zkušeností NRB s digitálním pilotem COSME.</w:t>
      </w:r>
    </w:p>
    <w:p w14:paraId="441AF9AC" w14:textId="40DFC9D6" w:rsidR="001B238D" w:rsidRPr="00800799" w:rsidRDefault="001B238D" w:rsidP="001B238D">
      <w:pPr>
        <w:pStyle w:val="Odstavecseseznamem"/>
        <w:numPr>
          <w:ilvl w:val="0"/>
          <w:numId w:val="25"/>
        </w:numPr>
        <w:pBdr>
          <w:top w:val="nil"/>
          <w:left w:val="nil"/>
          <w:bottom w:val="nil"/>
          <w:right w:val="nil"/>
          <w:between w:val="nil"/>
        </w:pBdr>
        <w:rPr>
          <w:rFonts w:ascii="Arial" w:hAnsi="Arial" w:cs="Arial"/>
          <w:color w:val="000000"/>
          <w:sz w:val="20"/>
          <w:szCs w:val="20"/>
        </w:rPr>
      </w:pPr>
      <w:r w:rsidRPr="00800799">
        <w:rPr>
          <w:rFonts w:ascii="Arial" w:hAnsi="Arial" w:cs="Arial"/>
          <w:color w:val="000000"/>
          <w:sz w:val="20"/>
          <w:szCs w:val="20"/>
        </w:rPr>
        <w:t>Preferovanou formou podpory je kombinace dotace a finančního nástroje</w:t>
      </w:r>
    </w:p>
    <w:p w14:paraId="05CC084B" w14:textId="0A043D9D" w:rsidR="001B238D" w:rsidRPr="00EA0A6C" w:rsidRDefault="001B238D" w:rsidP="001B238D">
      <w:pPr>
        <w:pStyle w:val="Odstavecseseznamem"/>
        <w:numPr>
          <w:ilvl w:val="0"/>
          <w:numId w:val="25"/>
        </w:numPr>
        <w:pBdr>
          <w:top w:val="nil"/>
          <w:left w:val="nil"/>
          <w:bottom w:val="nil"/>
          <w:right w:val="nil"/>
          <w:between w:val="nil"/>
        </w:pBdr>
        <w:rPr>
          <w:rFonts w:ascii="Arial" w:hAnsi="Arial" w:cs="Arial"/>
          <w:color w:val="000000"/>
          <w:sz w:val="20"/>
          <w:szCs w:val="20"/>
        </w:rPr>
      </w:pPr>
      <w:r w:rsidRPr="00800799">
        <w:rPr>
          <w:rFonts w:ascii="Arial" w:hAnsi="Arial" w:cs="Arial"/>
          <w:color w:val="000000"/>
          <w:sz w:val="20"/>
          <w:szCs w:val="20"/>
        </w:rPr>
        <w:t>Procentní výše podpor ve formě dotace v rámci kombinace s finančním nástrojem budou v případ</w:t>
      </w:r>
      <w:r w:rsidRPr="00EA0A6C">
        <w:rPr>
          <w:rFonts w:ascii="Arial" w:hAnsi="Arial" w:cs="Arial"/>
          <w:color w:val="000000"/>
          <w:sz w:val="20"/>
          <w:szCs w:val="20"/>
        </w:rPr>
        <w:t>ě podpory podle blokové výjimky ovlivněny zejména výší hrubého ekvivalentu podpory (HEP) finančního nástroje a maximální intenzity. Pouze jejich rozdíl bude moci být poskytnut ve formě dotace.</w:t>
      </w:r>
      <w:r w:rsidR="00DD32E7" w:rsidRPr="00EA0A6C">
        <w:rPr>
          <w:rFonts w:ascii="Arial" w:hAnsi="Arial" w:cs="Arial"/>
          <w:color w:val="000000"/>
          <w:sz w:val="20"/>
          <w:szCs w:val="20"/>
        </w:rPr>
        <w:t xml:space="preserve"> Návrh konstrukce kombinace dotace a FN v závěrečné zprávě také odůvodní výši dotace z hlediska očekávaných finančních parametrů projektů a potřebné výše dotační složky.</w:t>
      </w:r>
    </w:p>
    <w:p w14:paraId="63E7D5CD" w14:textId="27A6421B" w:rsidR="001B238D" w:rsidRPr="00EA0A6C" w:rsidRDefault="001B238D" w:rsidP="001B238D">
      <w:pPr>
        <w:pStyle w:val="Odstavecseseznamem"/>
        <w:numPr>
          <w:ilvl w:val="0"/>
          <w:numId w:val="25"/>
        </w:numPr>
        <w:pBdr>
          <w:top w:val="nil"/>
          <w:left w:val="nil"/>
          <w:bottom w:val="nil"/>
          <w:right w:val="nil"/>
          <w:between w:val="nil"/>
        </w:pBdr>
        <w:rPr>
          <w:rFonts w:ascii="Arial" w:hAnsi="Arial" w:cs="Arial"/>
          <w:color w:val="000000"/>
          <w:sz w:val="20"/>
          <w:szCs w:val="20"/>
        </w:rPr>
      </w:pPr>
      <w:r w:rsidRPr="00EA0A6C">
        <w:rPr>
          <w:rFonts w:ascii="Arial" w:hAnsi="Arial" w:cs="Arial"/>
          <w:color w:val="000000"/>
          <w:sz w:val="20"/>
          <w:szCs w:val="20"/>
        </w:rPr>
        <w:t>Obecně je z důvodu nižší HEP pro kombinaci s dotací vhodnější záruční forma podpory</w:t>
      </w:r>
    </w:p>
    <w:p w14:paraId="230EB550" w14:textId="2AF7BC60" w:rsidR="001B238D" w:rsidRPr="00EA0A6C" w:rsidRDefault="001B238D" w:rsidP="001B238D">
      <w:pPr>
        <w:pStyle w:val="Odstavecseseznamem"/>
        <w:numPr>
          <w:ilvl w:val="0"/>
          <w:numId w:val="25"/>
        </w:numPr>
        <w:pBdr>
          <w:top w:val="nil"/>
          <w:left w:val="nil"/>
          <w:bottom w:val="nil"/>
          <w:right w:val="nil"/>
          <w:between w:val="nil"/>
        </w:pBdr>
        <w:rPr>
          <w:rFonts w:ascii="Arial" w:hAnsi="Arial" w:cs="Arial"/>
          <w:color w:val="000000"/>
          <w:sz w:val="20"/>
          <w:szCs w:val="20"/>
        </w:rPr>
      </w:pPr>
      <w:r w:rsidRPr="00EA0A6C">
        <w:rPr>
          <w:rFonts w:ascii="Arial" w:hAnsi="Arial" w:cs="Arial"/>
          <w:color w:val="000000"/>
          <w:sz w:val="20"/>
          <w:szCs w:val="20"/>
        </w:rPr>
        <w:t>V programu Expanze dává kombinace forem podpory pouze v případě projektů s vyšší přidanou hodnotou (průmysl 4.0) nebo delší návratností, ale na oblast digitalizace bude přitom zřejmě zaměřena zejména podpora finančními nástroji v SC 1.2. Pro obecnou podporu přístupu k financování MSP v programu Expanze není dotační složka podpory zapotřebí.</w:t>
      </w:r>
    </w:p>
    <w:p w14:paraId="11501846" w14:textId="22000037" w:rsidR="001B238D" w:rsidRPr="00EA0A6C" w:rsidRDefault="001B238D" w:rsidP="001B238D">
      <w:pPr>
        <w:pStyle w:val="Odstavecseseznamem"/>
        <w:numPr>
          <w:ilvl w:val="0"/>
          <w:numId w:val="25"/>
        </w:numPr>
        <w:pBdr>
          <w:top w:val="nil"/>
          <w:left w:val="nil"/>
          <w:bottom w:val="nil"/>
          <w:right w:val="nil"/>
          <w:between w:val="nil"/>
        </w:pBdr>
        <w:rPr>
          <w:rFonts w:ascii="Arial" w:hAnsi="Arial" w:cs="Arial"/>
          <w:color w:val="000000"/>
          <w:sz w:val="20"/>
          <w:szCs w:val="20"/>
        </w:rPr>
      </w:pPr>
      <w:r w:rsidRPr="00EA0A6C">
        <w:rPr>
          <w:rFonts w:ascii="Arial" w:hAnsi="Arial" w:cs="Arial"/>
          <w:color w:val="000000"/>
          <w:sz w:val="20"/>
          <w:szCs w:val="20"/>
        </w:rPr>
        <w:t>Co se týče EPC, kombinace s dotací OP TAK a OP ŽP může být poměrně komplikovaná a mohla by způsobit snížení výše aktuálně poskytované dotační podpory na projekty EPC</w:t>
      </w:r>
      <w:r w:rsidR="00DD32E7" w:rsidRPr="00EA0A6C">
        <w:rPr>
          <w:rFonts w:ascii="Arial" w:hAnsi="Arial" w:cs="Arial"/>
          <w:color w:val="000000"/>
          <w:sz w:val="20"/>
          <w:szCs w:val="20"/>
        </w:rPr>
        <w:t>, nicméně bude dále analyzována i v závěrečné zprávě s ohledem na chystanou novelizaci GBER</w:t>
      </w:r>
      <w:r w:rsidRPr="00EA0A6C">
        <w:rPr>
          <w:rFonts w:ascii="Arial" w:hAnsi="Arial" w:cs="Arial"/>
          <w:color w:val="000000"/>
          <w:sz w:val="20"/>
          <w:szCs w:val="20"/>
        </w:rPr>
        <w:t xml:space="preserve">. </w:t>
      </w:r>
    </w:p>
    <w:p w14:paraId="3C409A8C" w14:textId="77777777" w:rsidR="001B238D" w:rsidRPr="00800799" w:rsidRDefault="001B238D" w:rsidP="001B238D">
      <w:pPr>
        <w:pBdr>
          <w:top w:val="nil"/>
          <w:left w:val="nil"/>
          <w:bottom w:val="nil"/>
          <w:right w:val="nil"/>
          <w:between w:val="nil"/>
        </w:pBdr>
        <w:spacing w:line="240" w:lineRule="auto"/>
        <w:rPr>
          <w:color w:val="000000"/>
          <w:sz w:val="20"/>
          <w:szCs w:val="20"/>
        </w:rPr>
      </w:pPr>
    </w:p>
    <w:p w14:paraId="0000039B" w14:textId="77777777" w:rsidR="00054D27" w:rsidRPr="00800799" w:rsidRDefault="00054D27">
      <w:pPr>
        <w:pBdr>
          <w:top w:val="nil"/>
          <w:left w:val="nil"/>
          <w:bottom w:val="nil"/>
          <w:right w:val="nil"/>
          <w:between w:val="nil"/>
        </w:pBdr>
        <w:spacing w:line="240" w:lineRule="auto"/>
        <w:ind w:left="720"/>
        <w:rPr>
          <w:color w:val="000000"/>
          <w:sz w:val="20"/>
          <w:szCs w:val="20"/>
        </w:rPr>
      </w:pPr>
    </w:p>
    <w:p w14:paraId="0000039C" w14:textId="77777777" w:rsidR="00054D27" w:rsidRPr="00800799" w:rsidRDefault="00AF622A">
      <w:pPr>
        <w:numPr>
          <w:ilvl w:val="0"/>
          <w:numId w:val="7"/>
        </w:numPr>
        <w:pBdr>
          <w:top w:val="nil"/>
          <w:left w:val="nil"/>
          <w:bottom w:val="nil"/>
          <w:right w:val="nil"/>
          <w:between w:val="nil"/>
        </w:pBdr>
        <w:spacing w:line="240" w:lineRule="auto"/>
        <w:rPr>
          <w:b/>
          <w:color w:val="000000"/>
          <w:sz w:val="20"/>
          <w:szCs w:val="20"/>
        </w:rPr>
      </w:pPr>
      <w:r w:rsidRPr="00800799">
        <w:rPr>
          <w:b/>
          <w:color w:val="000000"/>
          <w:sz w:val="20"/>
          <w:szCs w:val="20"/>
        </w:rPr>
        <w:t>Přehled doporučení pro využití forem podpory ve SC 1.2</w:t>
      </w:r>
    </w:p>
    <w:tbl>
      <w:tblPr>
        <w:tblStyle w:val="aff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8"/>
        <w:gridCol w:w="3135"/>
        <w:gridCol w:w="2649"/>
      </w:tblGrid>
      <w:tr w:rsidR="00054D27" w:rsidRPr="00800799" w14:paraId="1C075C16" w14:textId="77777777">
        <w:tc>
          <w:tcPr>
            <w:tcW w:w="3278" w:type="dxa"/>
            <w:tcBorders>
              <w:top w:val="single" w:sz="4" w:space="0" w:color="000000"/>
              <w:left w:val="single" w:sz="4" w:space="0" w:color="000000"/>
              <w:bottom w:val="single" w:sz="4" w:space="0" w:color="000000"/>
              <w:right w:val="single" w:sz="4" w:space="0" w:color="000000"/>
            </w:tcBorders>
            <w:shd w:val="clear" w:color="auto" w:fill="DBE5F1"/>
          </w:tcPr>
          <w:p w14:paraId="0000039D" w14:textId="77777777" w:rsidR="00054D27" w:rsidRPr="00800799" w:rsidRDefault="00AF622A">
            <w:pPr>
              <w:rPr>
                <w:rFonts w:ascii="Arial" w:eastAsia="Arial" w:hAnsi="Arial" w:cs="Arial"/>
                <w:b/>
                <w:sz w:val="20"/>
                <w:szCs w:val="20"/>
              </w:rPr>
            </w:pPr>
            <w:r w:rsidRPr="00800799">
              <w:rPr>
                <w:b/>
                <w:sz w:val="20"/>
                <w:szCs w:val="20"/>
              </w:rPr>
              <w:t xml:space="preserve">Analytická otázka </w:t>
            </w:r>
          </w:p>
        </w:tc>
        <w:tc>
          <w:tcPr>
            <w:tcW w:w="3135" w:type="dxa"/>
            <w:tcBorders>
              <w:top w:val="single" w:sz="4" w:space="0" w:color="000000"/>
              <w:left w:val="single" w:sz="4" w:space="0" w:color="000000"/>
              <w:bottom w:val="single" w:sz="4" w:space="0" w:color="000000"/>
              <w:right w:val="single" w:sz="4" w:space="0" w:color="000000"/>
            </w:tcBorders>
            <w:shd w:val="clear" w:color="auto" w:fill="DBE5F1"/>
          </w:tcPr>
          <w:p w14:paraId="0000039E" w14:textId="77777777" w:rsidR="00054D27" w:rsidRPr="00800799" w:rsidRDefault="00AF622A">
            <w:pPr>
              <w:rPr>
                <w:rFonts w:ascii="Arial" w:eastAsia="Arial" w:hAnsi="Arial" w:cs="Arial"/>
                <w:b/>
                <w:sz w:val="20"/>
                <w:szCs w:val="20"/>
              </w:rPr>
            </w:pPr>
            <w:r w:rsidRPr="00800799">
              <w:rPr>
                <w:b/>
                <w:sz w:val="20"/>
                <w:szCs w:val="20"/>
              </w:rPr>
              <w:t>Doporučená forma podpory</w:t>
            </w:r>
          </w:p>
        </w:tc>
        <w:tc>
          <w:tcPr>
            <w:tcW w:w="2649" w:type="dxa"/>
            <w:tcBorders>
              <w:top w:val="single" w:sz="4" w:space="0" w:color="000000"/>
              <w:left w:val="single" w:sz="4" w:space="0" w:color="000000"/>
              <w:bottom w:val="single" w:sz="4" w:space="0" w:color="000000"/>
              <w:right w:val="single" w:sz="4" w:space="0" w:color="000000"/>
            </w:tcBorders>
            <w:shd w:val="clear" w:color="auto" w:fill="DBE5F1"/>
          </w:tcPr>
          <w:p w14:paraId="0000039F" w14:textId="77777777" w:rsidR="00054D27" w:rsidRPr="00800799" w:rsidRDefault="00AF622A">
            <w:pPr>
              <w:rPr>
                <w:rFonts w:ascii="Arial" w:eastAsia="Arial" w:hAnsi="Arial" w:cs="Arial"/>
                <w:b/>
                <w:sz w:val="20"/>
                <w:szCs w:val="20"/>
              </w:rPr>
            </w:pPr>
            <w:r w:rsidRPr="00800799">
              <w:rPr>
                <w:b/>
                <w:sz w:val="20"/>
                <w:szCs w:val="20"/>
              </w:rPr>
              <w:t>Předpoklady a zdůvodnění</w:t>
            </w:r>
          </w:p>
        </w:tc>
      </w:tr>
      <w:tr w:rsidR="00054D27" w:rsidRPr="00800799" w14:paraId="61648863" w14:textId="77777777">
        <w:tc>
          <w:tcPr>
            <w:tcW w:w="3278" w:type="dxa"/>
            <w:vMerge w:val="restart"/>
            <w:tcBorders>
              <w:top w:val="single" w:sz="4" w:space="0" w:color="000000"/>
              <w:left w:val="single" w:sz="4" w:space="0" w:color="000000"/>
              <w:bottom w:val="single" w:sz="4" w:space="0" w:color="000000"/>
              <w:right w:val="single" w:sz="4" w:space="0" w:color="000000"/>
            </w:tcBorders>
          </w:tcPr>
          <w:p w14:paraId="000003A0" w14:textId="77777777" w:rsidR="00054D27" w:rsidRPr="00800799" w:rsidRDefault="00AF622A">
            <w:pPr>
              <w:rPr>
                <w:rFonts w:ascii="Arial" w:eastAsia="Arial" w:hAnsi="Arial" w:cs="Arial"/>
                <w:b/>
                <w:sz w:val="20"/>
                <w:szCs w:val="20"/>
              </w:rPr>
            </w:pPr>
            <w:r w:rsidRPr="00800799">
              <w:rPr>
                <w:sz w:val="20"/>
                <w:szCs w:val="20"/>
              </w:rPr>
              <w:lastRenderedPageBreak/>
              <w:t>Zavádění digitalizace v podniku včetně nezbytné analýzy procesů a návazné investiční podpory pro nasazování digitálních řešení; podpora projektů v oblastech souvisejících s umělou inteligencí, automatizací procesů a robotiky a kybernetické bezpečnosti online i fyzických systémů, v souvislosti se zaváděním nových technologických poznatků</w:t>
            </w:r>
          </w:p>
        </w:tc>
        <w:tc>
          <w:tcPr>
            <w:tcW w:w="3135" w:type="dxa"/>
            <w:tcBorders>
              <w:top w:val="single" w:sz="4" w:space="0" w:color="000000"/>
              <w:left w:val="single" w:sz="4" w:space="0" w:color="000000"/>
              <w:bottom w:val="single" w:sz="4" w:space="0" w:color="000000"/>
              <w:right w:val="single" w:sz="4" w:space="0" w:color="000000"/>
            </w:tcBorders>
          </w:tcPr>
          <w:p w14:paraId="000003A1" w14:textId="77777777" w:rsidR="00054D27" w:rsidRPr="00800799" w:rsidRDefault="00AF622A">
            <w:pPr>
              <w:rPr>
                <w:rFonts w:ascii="Arial" w:eastAsia="Arial" w:hAnsi="Arial" w:cs="Arial"/>
                <w:b/>
                <w:sz w:val="20"/>
                <w:szCs w:val="20"/>
              </w:rPr>
            </w:pPr>
            <w:r w:rsidRPr="00800799">
              <w:rPr>
                <w:sz w:val="20"/>
                <w:szCs w:val="20"/>
              </w:rPr>
              <w:t>Záruka vč. varianty s možností „odpuštění“ (finanční příspěvek) jistiny zaručeného úvěru (kombinace FN a dotace)</w:t>
            </w:r>
          </w:p>
        </w:tc>
        <w:tc>
          <w:tcPr>
            <w:tcW w:w="2649" w:type="dxa"/>
            <w:tcBorders>
              <w:top w:val="single" w:sz="4" w:space="0" w:color="000000"/>
              <w:left w:val="single" w:sz="4" w:space="0" w:color="000000"/>
              <w:bottom w:val="single" w:sz="4" w:space="0" w:color="000000"/>
              <w:right w:val="single" w:sz="4" w:space="0" w:color="000000"/>
            </w:tcBorders>
          </w:tcPr>
          <w:p w14:paraId="000003A2" w14:textId="53ECCAC5" w:rsidR="00054D27" w:rsidRPr="00952825" w:rsidRDefault="00AF622A">
            <w:pPr>
              <w:rPr>
                <w:rFonts w:ascii="Arial" w:eastAsia="Arial" w:hAnsi="Arial" w:cs="Arial"/>
                <w:b/>
                <w:sz w:val="20"/>
                <w:szCs w:val="20"/>
              </w:rPr>
            </w:pPr>
            <w:r w:rsidRPr="00800799">
              <w:rPr>
                <w:sz w:val="20"/>
                <w:szCs w:val="20"/>
              </w:rPr>
              <w:t>Finančně</w:t>
            </w:r>
            <w:r w:rsidRPr="00800799">
              <w:rPr>
                <w:rFonts w:ascii="Arial" w:eastAsia="Arial" w:hAnsi="Arial" w:cs="Arial"/>
                <w:sz w:val="20"/>
                <w:szCs w:val="20"/>
              </w:rPr>
              <w:t xml:space="preserve"> objemné projekty s dlouhou dobou návratnosti, nedostatečným ručením za komerční úvěr, větší množství podobných projektů, zkušenosti z programů Expa</w:t>
            </w:r>
            <w:r w:rsidRPr="00C77291">
              <w:rPr>
                <w:rFonts w:ascii="Arial" w:eastAsia="Arial" w:hAnsi="Arial" w:cs="Arial"/>
                <w:sz w:val="20"/>
                <w:szCs w:val="20"/>
              </w:rPr>
              <w:t>nze a Záruka, potenciální zjednodušení pravidel) v případě FN.</w:t>
            </w:r>
          </w:p>
        </w:tc>
      </w:tr>
      <w:tr w:rsidR="00054D27" w:rsidRPr="00800799" w14:paraId="68D13A58" w14:textId="77777777">
        <w:tc>
          <w:tcPr>
            <w:tcW w:w="3278" w:type="dxa"/>
            <w:vMerge/>
            <w:tcBorders>
              <w:top w:val="single" w:sz="4" w:space="0" w:color="000000"/>
              <w:left w:val="single" w:sz="4" w:space="0" w:color="000000"/>
              <w:bottom w:val="single" w:sz="4" w:space="0" w:color="000000"/>
              <w:right w:val="single" w:sz="4" w:space="0" w:color="000000"/>
            </w:tcBorders>
          </w:tcPr>
          <w:p w14:paraId="000003A3" w14:textId="77777777" w:rsidR="00054D27" w:rsidRPr="00800799" w:rsidRDefault="00054D27">
            <w:pPr>
              <w:widowControl w:val="0"/>
              <w:pBdr>
                <w:top w:val="nil"/>
                <w:left w:val="nil"/>
                <w:bottom w:val="nil"/>
                <w:right w:val="nil"/>
                <w:between w:val="nil"/>
              </w:pBdr>
              <w:spacing w:line="276" w:lineRule="auto"/>
              <w:rPr>
                <w:rFonts w:ascii="Arial" w:eastAsia="Arial" w:hAnsi="Arial" w:cs="Arial"/>
                <w:b/>
                <w:sz w:val="20"/>
                <w:szCs w:val="20"/>
              </w:rPr>
            </w:pPr>
          </w:p>
        </w:tc>
        <w:tc>
          <w:tcPr>
            <w:tcW w:w="3135" w:type="dxa"/>
            <w:tcBorders>
              <w:top w:val="single" w:sz="4" w:space="0" w:color="000000"/>
              <w:left w:val="single" w:sz="4" w:space="0" w:color="000000"/>
              <w:bottom w:val="single" w:sz="4" w:space="0" w:color="000000"/>
              <w:right w:val="single" w:sz="4" w:space="0" w:color="000000"/>
            </w:tcBorders>
          </w:tcPr>
          <w:p w14:paraId="000003A4" w14:textId="77777777" w:rsidR="00054D27" w:rsidRPr="00800799" w:rsidRDefault="00AF622A">
            <w:pPr>
              <w:rPr>
                <w:rFonts w:ascii="Arial" w:eastAsia="Arial" w:hAnsi="Arial" w:cs="Arial"/>
                <w:b/>
                <w:sz w:val="20"/>
                <w:szCs w:val="20"/>
              </w:rPr>
            </w:pPr>
            <w:r w:rsidRPr="00800799">
              <w:rPr>
                <w:sz w:val="20"/>
                <w:szCs w:val="20"/>
              </w:rPr>
              <w:t>Záruka + technické poradenství vč. varianty s možností „odpuštění“ (finanční příspěvek) jistiny zaručeného úvěru (kombinace FN a dotace)</w:t>
            </w:r>
          </w:p>
        </w:tc>
        <w:tc>
          <w:tcPr>
            <w:tcW w:w="2649" w:type="dxa"/>
            <w:tcBorders>
              <w:top w:val="single" w:sz="4" w:space="0" w:color="000000"/>
              <w:left w:val="single" w:sz="4" w:space="0" w:color="000000"/>
              <w:bottom w:val="single" w:sz="4" w:space="0" w:color="000000"/>
              <w:right w:val="single" w:sz="4" w:space="0" w:color="000000"/>
            </w:tcBorders>
          </w:tcPr>
          <w:p w14:paraId="000003A5" w14:textId="77777777" w:rsidR="00054D27" w:rsidRPr="00800799" w:rsidRDefault="00AF622A">
            <w:pPr>
              <w:rPr>
                <w:rFonts w:ascii="Arial" w:eastAsia="Arial" w:hAnsi="Arial" w:cs="Arial"/>
                <w:sz w:val="20"/>
                <w:szCs w:val="20"/>
              </w:rPr>
            </w:pPr>
            <w:r w:rsidRPr="00800799">
              <w:rPr>
                <w:sz w:val="20"/>
                <w:szCs w:val="20"/>
              </w:rPr>
              <w:t>Předchozí předpoklady + potřeba technické pomoci a potenciální zjednodušení pravidel (zejména možnost vyhnutí se výběrovým řízením dle ZZVZ) v případě kombinaci FN a dotace.</w:t>
            </w:r>
          </w:p>
        </w:tc>
      </w:tr>
      <w:tr w:rsidR="00054D27" w:rsidRPr="00800799" w14:paraId="3DB82FE4" w14:textId="77777777">
        <w:tc>
          <w:tcPr>
            <w:tcW w:w="3278" w:type="dxa"/>
            <w:vMerge/>
            <w:tcBorders>
              <w:top w:val="single" w:sz="4" w:space="0" w:color="000000"/>
              <w:left w:val="single" w:sz="4" w:space="0" w:color="000000"/>
              <w:bottom w:val="single" w:sz="4" w:space="0" w:color="000000"/>
              <w:right w:val="single" w:sz="4" w:space="0" w:color="000000"/>
            </w:tcBorders>
          </w:tcPr>
          <w:p w14:paraId="000003A6" w14:textId="77777777" w:rsidR="00054D27" w:rsidRPr="00800799" w:rsidRDefault="00054D27">
            <w:pPr>
              <w:widowControl w:val="0"/>
              <w:pBdr>
                <w:top w:val="nil"/>
                <w:left w:val="nil"/>
                <w:bottom w:val="nil"/>
                <w:right w:val="nil"/>
                <w:between w:val="nil"/>
              </w:pBdr>
              <w:spacing w:line="276" w:lineRule="auto"/>
              <w:rPr>
                <w:rFonts w:ascii="Arial" w:eastAsia="Arial" w:hAnsi="Arial" w:cs="Arial"/>
                <w:sz w:val="20"/>
                <w:szCs w:val="20"/>
              </w:rPr>
            </w:pPr>
          </w:p>
        </w:tc>
        <w:tc>
          <w:tcPr>
            <w:tcW w:w="3135" w:type="dxa"/>
            <w:tcBorders>
              <w:top w:val="single" w:sz="4" w:space="0" w:color="000000"/>
              <w:left w:val="single" w:sz="4" w:space="0" w:color="000000"/>
              <w:bottom w:val="single" w:sz="4" w:space="0" w:color="000000"/>
              <w:right w:val="single" w:sz="4" w:space="0" w:color="000000"/>
            </w:tcBorders>
          </w:tcPr>
          <w:p w14:paraId="000003A7" w14:textId="77777777" w:rsidR="00054D27" w:rsidRPr="00800799" w:rsidRDefault="00AF622A">
            <w:pPr>
              <w:rPr>
                <w:rFonts w:ascii="Arial" w:eastAsia="Arial" w:hAnsi="Arial" w:cs="Arial"/>
                <w:b/>
                <w:sz w:val="20"/>
                <w:szCs w:val="20"/>
              </w:rPr>
            </w:pPr>
            <w:r w:rsidRPr="00800799">
              <w:rPr>
                <w:sz w:val="20"/>
                <w:szCs w:val="20"/>
              </w:rPr>
              <w:t>Zvýhodněný úvěr vč. varianty s možným odpuštěním splátek jistiny (kombinace FN a dotace)</w:t>
            </w:r>
          </w:p>
        </w:tc>
        <w:tc>
          <w:tcPr>
            <w:tcW w:w="2649" w:type="dxa"/>
            <w:tcBorders>
              <w:top w:val="single" w:sz="4" w:space="0" w:color="000000"/>
              <w:left w:val="single" w:sz="4" w:space="0" w:color="000000"/>
              <w:bottom w:val="single" w:sz="4" w:space="0" w:color="000000"/>
              <w:right w:val="single" w:sz="4" w:space="0" w:color="000000"/>
            </w:tcBorders>
          </w:tcPr>
          <w:p w14:paraId="000003A8" w14:textId="3E2BD809" w:rsidR="00054D27" w:rsidRPr="00952825" w:rsidRDefault="00AF622A">
            <w:pPr>
              <w:rPr>
                <w:rFonts w:ascii="Arial" w:eastAsia="Arial" w:hAnsi="Arial" w:cs="Arial"/>
                <w:b/>
                <w:sz w:val="20"/>
                <w:szCs w:val="20"/>
              </w:rPr>
            </w:pPr>
            <w:r w:rsidRPr="00800799">
              <w:rPr>
                <w:sz w:val="20"/>
                <w:szCs w:val="20"/>
              </w:rPr>
              <w:t>Nižší</w:t>
            </w:r>
            <w:r w:rsidRPr="00800799">
              <w:rPr>
                <w:rFonts w:ascii="Arial" w:eastAsia="Arial" w:hAnsi="Arial" w:cs="Arial"/>
                <w:sz w:val="20"/>
                <w:szCs w:val="20"/>
              </w:rPr>
              <w:t xml:space="preserve"> návratnost, nedostatečné zdroje na financování projektu a ani při spolufinancování komerčním úvěrem, méně žadatelů, zkušenosti z programů Expanze a Progres (OPPI), potenciální </w:t>
            </w:r>
            <w:r w:rsidRPr="00C77291">
              <w:rPr>
                <w:rFonts w:ascii="Arial" w:eastAsia="Arial" w:hAnsi="Arial" w:cs="Arial"/>
                <w:sz w:val="20"/>
                <w:szCs w:val="20"/>
              </w:rPr>
              <w:t>zjednodušení pravidel (zejména možnost vyhnutí se výběrovým řízením dle ZZVZ) v případě kombinace FN a dotace</w:t>
            </w:r>
          </w:p>
        </w:tc>
      </w:tr>
      <w:tr w:rsidR="00054D27" w:rsidRPr="00800799" w14:paraId="5E120336" w14:textId="77777777">
        <w:tc>
          <w:tcPr>
            <w:tcW w:w="3278" w:type="dxa"/>
            <w:vMerge/>
            <w:tcBorders>
              <w:top w:val="single" w:sz="4" w:space="0" w:color="000000"/>
              <w:left w:val="single" w:sz="4" w:space="0" w:color="000000"/>
              <w:bottom w:val="single" w:sz="4" w:space="0" w:color="000000"/>
              <w:right w:val="single" w:sz="4" w:space="0" w:color="000000"/>
            </w:tcBorders>
          </w:tcPr>
          <w:p w14:paraId="000003A9" w14:textId="77777777" w:rsidR="00054D27" w:rsidRPr="00800799" w:rsidRDefault="00054D27">
            <w:pPr>
              <w:widowControl w:val="0"/>
              <w:pBdr>
                <w:top w:val="nil"/>
                <w:left w:val="nil"/>
                <w:bottom w:val="nil"/>
                <w:right w:val="nil"/>
                <w:between w:val="nil"/>
              </w:pBdr>
              <w:spacing w:line="276" w:lineRule="auto"/>
              <w:rPr>
                <w:rFonts w:ascii="Arial" w:eastAsia="Arial" w:hAnsi="Arial" w:cs="Arial"/>
                <w:b/>
                <w:sz w:val="20"/>
                <w:szCs w:val="20"/>
              </w:rPr>
            </w:pPr>
          </w:p>
        </w:tc>
        <w:tc>
          <w:tcPr>
            <w:tcW w:w="3135" w:type="dxa"/>
            <w:tcBorders>
              <w:top w:val="single" w:sz="4" w:space="0" w:color="000000"/>
              <w:left w:val="single" w:sz="4" w:space="0" w:color="000000"/>
              <w:bottom w:val="single" w:sz="4" w:space="0" w:color="000000"/>
              <w:right w:val="single" w:sz="4" w:space="0" w:color="000000"/>
            </w:tcBorders>
          </w:tcPr>
          <w:p w14:paraId="000003AA" w14:textId="77777777" w:rsidR="00054D27" w:rsidRPr="00800799" w:rsidRDefault="00AF622A">
            <w:pPr>
              <w:rPr>
                <w:rFonts w:ascii="Arial" w:eastAsia="Arial" w:hAnsi="Arial" w:cs="Arial"/>
                <w:b/>
                <w:sz w:val="20"/>
                <w:szCs w:val="20"/>
              </w:rPr>
            </w:pPr>
            <w:r w:rsidRPr="00800799">
              <w:rPr>
                <w:sz w:val="20"/>
                <w:szCs w:val="20"/>
              </w:rPr>
              <w:t>Zvýhodněný úvěr + technické poradenství (kombinace FN a dotace)</w:t>
            </w:r>
          </w:p>
        </w:tc>
        <w:tc>
          <w:tcPr>
            <w:tcW w:w="2649" w:type="dxa"/>
            <w:tcBorders>
              <w:top w:val="single" w:sz="4" w:space="0" w:color="000000"/>
              <w:left w:val="single" w:sz="4" w:space="0" w:color="000000"/>
              <w:bottom w:val="single" w:sz="4" w:space="0" w:color="000000"/>
              <w:right w:val="single" w:sz="4" w:space="0" w:color="000000"/>
            </w:tcBorders>
          </w:tcPr>
          <w:p w14:paraId="000003AB" w14:textId="77777777" w:rsidR="00054D27" w:rsidRPr="00800799" w:rsidRDefault="00AF622A">
            <w:pPr>
              <w:rPr>
                <w:rFonts w:ascii="Arial" w:eastAsia="Arial" w:hAnsi="Arial" w:cs="Arial"/>
                <w:b/>
                <w:sz w:val="20"/>
                <w:szCs w:val="20"/>
              </w:rPr>
            </w:pPr>
            <w:r w:rsidRPr="00800799">
              <w:rPr>
                <w:sz w:val="20"/>
                <w:szCs w:val="20"/>
              </w:rPr>
              <w:t>Předchozí předpoklady + potřeba technické pomoci a potenciální zjednodušení pravidel (zejména možnost vyhnutí se výběrovým řízením dle ZZVZ) v případě kombinace FN a dotace</w:t>
            </w:r>
          </w:p>
        </w:tc>
      </w:tr>
      <w:tr w:rsidR="00054D27" w:rsidRPr="00800799" w14:paraId="74121019" w14:textId="77777777">
        <w:tc>
          <w:tcPr>
            <w:tcW w:w="3278" w:type="dxa"/>
            <w:tcBorders>
              <w:top w:val="single" w:sz="4" w:space="0" w:color="000000"/>
              <w:left w:val="single" w:sz="4" w:space="0" w:color="000000"/>
              <w:bottom w:val="single" w:sz="4" w:space="0" w:color="000000"/>
              <w:right w:val="single" w:sz="4" w:space="0" w:color="000000"/>
            </w:tcBorders>
          </w:tcPr>
          <w:p w14:paraId="000003AC" w14:textId="77777777" w:rsidR="00054D27" w:rsidRPr="00800799" w:rsidRDefault="00AF622A">
            <w:pPr>
              <w:rPr>
                <w:rFonts w:ascii="Arial" w:eastAsia="Arial" w:hAnsi="Arial" w:cs="Arial"/>
                <w:b/>
                <w:sz w:val="20"/>
                <w:szCs w:val="20"/>
              </w:rPr>
            </w:pPr>
            <w:r w:rsidRPr="00800799">
              <w:rPr>
                <w:sz w:val="20"/>
                <w:szCs w:val="20"/>
              </w:rPr>
              <w:t xml:space="preserve">Využití moderních technologií (např. </w:t>
            </w:r>
            <w:proofErr w:type="spellStart"/>
            <w:r w:rsidRPr="00800799">
              <w:rPr>
                <w:sz w:val="20"/>
                <w:szCs w:val="20"/>
              </w:rPr>
              <w:t>block-chain</w:t>
            </w:r>
            <w:proofErr w:type="spellEnd"/>
            <w:r w:rsidRPr="00800799">
              <w:rPr>
                <w:sz w:val="20"/>
                <w:szCs w:val="20"/>
              </w:rPr>
              <w:t>, virtuální realita aj.) pro rozvoj ekonomiky</w:t>
            </w:r>
          </w:p>
        </w:tc>
        <w:tc>
          <w:tcPr>
            <w:tcW w:w="3135" w:type="dxa"/>
            <w:tcBorders>
              <w:top w:val="single" w:sz="4" w:space="0" w:color="000000"/>
              <w:left w:val="single" w:sz="4" w:space="0" w:color="000000"/>
              <w:bottom w:val="single" w:sz="4" w:space="0" w:color="000000"/>
              <w:right w:val="single" w:sz="4" w:space="0" w:color="000000"/>
            </w:tcBorders>
          </w:tcPr>
          <w:p w14:paraId="000003AD" w14:textId="77777777" w:rsidR="00054D27" w:rsidRPr="00800799" w:rsidRDefault="00AF622A">
            <w:pPr>
              <w:rPr>
                <w:rFonts w:ascii="Arial" w:eastAsia="Arial" w:hAnsi="Arial" w:cs="Arial"/>
                <w:sz w:val="20"/>
                <w:szCs w:val="20"/>
              </w:rPr>
            </w:pPr>
            <w:r w:rsidRPr="00800799">
              <w:rPr>
                <w:sz w:val="20"/>
                <w:szCs w:val="20"/>
              </w:rPr>
              <w:t>Zvýhodněný úvěr vč. varianty s možným odpuštěním splátek jistiny (kombinace FN a dotace)</w:t>
            </w:r>
          </w:p>
        </w:tc>
        <w:tc>
          <w:tcPr>
            <w:tcW w:w="2649" w:type="dxa"/>
            <w:tcBorders>
              <w:top w:val="single" w:sz="4" w:space="0" w:color="000000"/>
              <w:left w:val="single" w:sz="4" w:space="0" w:color="000000"/>
              <w:bottom w:val="single" w:sz="4" w:space="0" w:color="000000"/>
              <w:right w:val="single" w:sz="4" w:space="0" w:color="000000"/>
            </w:tcBorders>
          </w:tcPr>
          <w:p w14:paraId="000003AE" w14:textId="77777777" w:rsidR="00054D27" w:rsidRPr="00800799" w:rsidRDefault="00AF622A">
            <w:pPr>
              <w:rPr>
                <w:rFonts w:ascii="Arial" w:eastAsia="Arial" w:hAnsi="Arial" w:cs="Arial"/>
                <w:sz w:val="20"/>
                <w:szCs w:val="20"/>
              </w:rPr>
            </w:pPr>
            <w:r w:rsidRPr="00800799">
              <w:rPr>
                <w:sz w:val="20"/>
                <w:szCs w:val="20"/>
              </w:rPr>
              <w:t>méně finančně objemné projekty s dlouhou dobou návratnosti, nedostatečné zdroje na financování projektu a ani při spolufinancování komerčním úvěrem, méně žadatelů, potenciální zjednodušení pravidel (zejména možnost vyhnutí se výběrovým řízením dle ZZVZ) v případě kombinace FN a dotace</w:t>
            </w:r>
          </w:p>
        </w:tc>
      </w:tr>
      <w:tr w:rsidR="00054D27" w:rsidRPr="00800799" w14:paraId="740074FB" w14:textId="77777777">
        <w:tc>
          <w:tcPr>
            <w:tcW w:w="3278" w:type="dxa"/>
            <w:vMerge w:val="restart"/>
            <w:tcBorders>
              <w:top w:val="single" w:sz="4" w:space="0" w:color="000000"/>
              <w:left w:val="single" w:sz="4" w:space="0" w:color="000000"/>
              <w:bottom w:val="single" w:sz="4" w:space="0" w:color="000000"/>
              <w:right w:val="single" w:sz="4" w:space="0" w:color="000000"/>
            </w:tcBorders>
          </w:tcPr>
          <w:p w14:paraId="000003AF" w14:textId="5FA21A82" w:rsidR="00054D27" w:rsidRPr="00952825" w:rsidRDefault="00AF622A">
            <w:pPr>
              <w:rPr>
                <w:rFonts w:ascii="Arial" w:eastAsia="Arial" w:hAnsi="Arial" w:cs="Arial"/>
                <w:b/>
                <w:sz w:val="20"/>
                <w:szCs w:val="20"/>
              </w:rPr>
            </w:pPr>
            <w:r w:rsidRPr="00800799">
              <w:rPr>
                <w:sz w:val="20"/>
                <w:szCs w:val="20"/>
              </w:rPr>
              <w:lastRenderedPageBreak/>
              <w:t xml:space="preserve">Vývoj a pořízení specializovaného SW (např. pro počítačovou bezpečnost, simulace, monitorování, počítačové vidění, pro práci s velkými daty – Big Data </w:t>
            </w:r>
            <w:proofErr w:type="spellStart"/>
            <w:r w:rsidRPr="00800799">
              <w:rPr>
                <w:sz w:val="20"/>
                <w:szCs w:val="20"/>
              </w:rPr>
              <w:t>Analytics</w:t>
            </w:r>
            <w:proofErr w:type="spellEnd"/>
            <w:r w:rsidRPr="00800799">
              <w:rPr>
                <w:sz w:val="20"/>
                <w:szCs w:val="20"/>
              </w:rPr>
              <w:t xml:space="preserve">, pro </w:t>
            </w:r>
            <w:proofErr w:type="gramStart"/>
            <w:r w:rsidRPr="00800799">
              <w:rPr>
                <w:sz w:val="20"/>
                <w:szCs w:val="20"/>
              </w:rPr>
              <w:t>3D</w:t>
            </w:r>
            <w:proofErr w:type="gramEnd"/>
            <w:r w:rsidRPr="00800799">
              <w:rPr>
                <w:sz w:val="20"/>
                <w:szCs w:val="20"/>
              </w:rPr>
              <w:t xml:space="preserve"> tisk apod.), dále v oblasti digitalizace, automatizace, průmyslu 4.0 a vyšší úrovně, zavádění AI, robotizace, strojového učení, rozšířené a virtuální reality, business </w:t>
            </w:r>
            <w:proofErr w:type="spellStart"/>
            <w:r w:rsidRPr="00800799">
              <w:rPr>
                <w:sz w:val="20"/>
                <w:szCs w:val="20"/>
              </w:rPr>
              <w:t>intelligence</w:t>
            </w:r>
            <w:proofErr w:type="spellEnd"/>
            <w:r w:rsidRPr="00800799">
              <w:rPr>
                <w:sz w:val="20"/>
                <w:szCs w:val="20"/>
              </w:rPr>
              <w:t xml:space="preserve">, </w:t>
            </w:r>
            <w:r w:rsidRPr="00800799">
              <w:rPr>
                <w:rFonts w:ascii="Arial" w:eastAsia="Arial" w:hAnsi="Arial" w:cs="Arial"/>
                <w:sz w:val="20"/>
                <w:szCs w:val="20"/>
              </w:rPr>
              <w:t>e-</w:t>
            </w:r>
            <w:proofErr w:type="spellStart"/>
            <w:r w:rsidRPr="00800799">
              <w:rPr>
                <w:rFonts w:ascii="Arial" w:eastAsia="Arial" w:hAnsi="Arial" w:cs="Arial"/>
                <w:sz w:val="20"/>
                <w:szCs w:val="20"/>
              </w:rPr>
              <w:t>commerce</w:t>
            </w:r>
            <w:proofErr w:type="spellEnd"/>
            <w:r w:rsidRPr="00C77291">
              <w:rPr>
                <w:rFonts w:ascii="Arial" w:eastAsia="Arial" w:hAnsi="Arial" w:cs="Arial"/>
                <w:sz w:val="20"/>
                <w:szCs w:val="20"/>
              </w:rPr>
              <w:t xml:space="preserve"> apod. SW řešení, která zásadním způsobem zefektivňují procesy a přidanou hodnotu zejména v MSP</w:t>
            </w:r>
          </w:p>
        </w:tc>
        <w:tc>
          <w:tcPr>
            <w:tcW w:w="3135" w:type="dxa"/>
            <w:tcBorders>
              <w:top w:val="single" w:sz="4" w:space="0" w:color="000000"/>
              <w:left w:val="single" w:sz="4" w:space="0" w:color="000000"/>
              <w:bottom w:val="single" w:sz="4" w:space="0" w:color="000000"/>
              <w:right w:val="single" w:sz="4" w:space="0" w:color="000000"/>
            </w:tcBorders>
          </w:tcPr>
          <w:p w14:paraId="000003B0" w14:textId="77777777" w:rsidR="00054D27" w:rsidRPr="00952825" w:rsidRDefault="00AF622A">
            <w:pPr>
              <w:rPr>
                <w:rFonts w:ascii="Arial" w:eastAsia="Arial" w:hAnsi="Arial" w:cs="Arial"/>
                <w:sz w:val="20"/>
                <w:szCs w:val="20"/>
              </w:rPr>
            </w:pPr>
            <w:r w:rsidRPr="00952825">
              <w:rPr>
                <w:rFonts w:ascii="Arial" w:eastAsia="Arial" w:hAnsi="Arial" w:cs="Arial"/>
                <w:sz w:val="20"/>
                <w:szCs w:val="20"/>
              </w:rPr>
              <w:t>Záruka vč. varianty s možností „odpuštění“ (finanční příspěvek) jistiny zaručeného úvěru (kombinace FN a dotace)</w:t>
            </w:r>
          </w:p>
        </w:tc>
        <w:tc>
          <w:tcPr>
            <w:tcW w:w="2649" w:type="dxa"/>
            <w:tcBorders>
              <w:top w:val="single" w:sz="4" w:space="0" w:color="000000"/>
              <w:left w:val="single" w:sz="4" w:space="0" w:color="000000"/>
              <w:bottom w:val="single" w:sz="4" w:space="0" w:color="000000"/>
              <w:right w:val="single" w:sz="4" w:space="0" w:color="000000"/>
            </w:tcBorders>
          </w:tcPr>
          <w:p w14:paraId="000003B1" w14:textId="77777777" w:rsidR="00054D27" w:rsidRPr="003F3DD2" w:rsidRDefault="00AF622A">
            <w:pPr>
              <w:rPr>
                <w:rFonts w:ascii="Arial" w:eastAsia="Arial" w:hAnsi="Arial" w:cs="Arial"/>
                <w:sz w:val="20"/>
                <w:szCs w:val="20"/>
              </w:rPr>
            </w:pPr>
            <w:r w:rsidRPr="00952825">
              <w:rPr>
                <w:rFonts w:ascii="Arial" w:eastAsia="Arial" w:hAnsi="Arial" w:cs="Arial"/>
                <w:sz w:val="20"/>
                <w:szCs w:val="20"/>
              </w:rPr>
              <w:t>Mé</w:t>
            </w:r>
            <w:r w:rsidRPr="00E73839">
              <w:rPr>
                <w:rFonts w:ascii="Arial" w:eastAsia="Arial" w:hAnsi="Arial" w:cs="Arial"/>
                <w:sz w:val="20"/>
                <w:szCs w:val="20"/>
              </w:rPr>
              <w:t xml:space="preserve">ně finančně objemné projekty s dlouhou dobou </w:t>
            </w:r>
            <w:r w:rsidRPr="003F3DD2">
              <w:rPr>
                <w:rFonts w:ascii="Arial" w:eastAsia="Arial" w:hAnsi="Arial" w:cs="Arial"/>
                <w:sz w:val="20"/>
                <w:szCs w:val="20"/>
              </w:rPr>
              <w:t>návratnosti, nedostatečným ručením za komerční úvěr, potenciální zjednodušení pravidel (zejména možnost vyhnutí se výběrovým řízením dle ZZVZ) v případě FN</w:t>
            </w:r>
          </w:p>
        </w:tc>
      </w:tr>
      <w:tr w:rsidR="00054D27" w:rsidRPr="00800799" w14:paraId="5094C296" w14:textId="77777777">
        <w:tc>
          <w:tcPr>
            <w:tcW w:w="3278" w:type="dxa"/>
            <w:vMerge/>
            <w:tcBorders>
              <w:top w:val="single" w:sz="4" w:space="0" w:color="000000"/>
              <w:left w:val="single" w:sz="4" w:space="0" w:color="000000"/>
              <w:bottom w:val="single" w:sz="4" w:space="0" w:color="000000"/>
              <w:right w:val="single" w:sz="4" w:space="0" w:color="000000"/>
            </w:tcBorders>
          </w:tcPr>
          <w:p w14:paraId="000003B2" w14:textId="77777777" w:rsidR="00054D27" w:rsidRPr="00800799" w:rsidRDefault="00054D27">
            <w:pPr>
              <w:widowControl w:val="0"/>
              <w:pBdr>
                <w:top w:val="nil"/>
                <w:left w:val="nil"/>
                <w:bottom w:val="nil"/>
                <w:right w:val="nil"/>
                <w:between w:val="nil"/>
              </w:pBdr>
              <w:spacing w:line="276" w:lineRule="auto"/>
              <w:rPr>
                <w:rFonts w:ascii="Arial" w:eastAsia="Arial" w:hAnsi="Arial" w:cs="Arial"/>
                <w:sz w:val="20"/>
                <w:szCs w:val="20"/>
              </w:rPr>
            </w:pPr>
          </w:p>
        </w:tc>
        <w:tc>
          <w:tcPr>
            <w:tcW w:w="3135" w:type="dxa"/>
            <w:tcBorders>
              <w:top w:val="single" w:sz="4" w:space="0" w:color="000000"/>
              <w:left w:val="single" w:sz="4" w:space="0" w:color="000000"/>
              <w:bottom w:val="single" w:sz="4" w:space="0" w:color="000000"/>
              <w:right w:val="single" w:sz="4" w:space="0" w:color="000000"/>
            </w:tcBorders>
          </w:tcPr>
          <w:p w14:paraId="000003B3" w14:textId="77777777" w:rsidR="00054D27" w:rsidRPr="00800799" w:rsidRDefault="00AF622A">
            <w:pPr>
              <w:rPr>
                <w:rFonts w:ascii="Arial" w:eastAsia="Arial" w:hAnsi="Arial" w:cs="Arial"/>
                <w:sz w:val="20"/>
                <w:szCs w:val="20"/>
              </w:rPr>
            </w:pPr>
            <w:r w:rsidRPr="00800799">
              <w:rPr>
                <w:sz w:val="20"/>
                <w:szCs w:val="20"/>
              </w:rPr>
              <w:t>Zvýhodněný úvěr vč. varianty s možným odpuštěním splátek jistiny (kombinace FN a dotace)</w:t>
            </w:r>
          </w:p>
        </w:tc>
        <w:tc>
          <w:tcPr>
            <w:tcW w:w="2649" w:type="dxa"/>
            <w:tcBorders>
              <w:top w:val="single" w:sz="4" w:space="0" w:color="000000"/>
              <w:left w:val="single" w:sz="4" w:space="0" w:color="000000"/>
              <w:bottom w:val="single" w:sz="4" w:space="0" w:color="000000"/>
              <w:right w:val="single" w:sz="4" w:space="0" w:color="000000"/>
            </w:tcBorders>
          </w:tcPr>
          <w:p w14:paraId="000003B4" w14:textId="77777777" w:rsidR="00054D27" w:rsidRPr="00800799" w:rsidRDefault="00AF622A">
            <w:pPr>
              <w:rPr>
                <w:rFonts w:ascii="Arial" w:eastAsia="Arial" w:hAnsi="Arial" w:cs="Arial"/>
                <w:sz w:val="20"/>
                <w:szCs w:val="20"/>
              </w:rPr>
            </w:pPr>
            <w:r w:rsidRPr="00800799">
              <w:rPr>
                <w:sz w:val="20"/>
                <w:szCs w:val="20"/>
              </w:rPr>
              <w:t>Méně finančně objemné projekty s dlouhou dobou návratnosti, nedostatečné ručení za financování projektu ani při spolufinancování komerčním úvěrem, potenciální zjednodušení pravidel (zejména možnost vyhnutí se výběrovým řízením dle ZZVZ) v případě FN.</w:t>
            </w:r>
          </w:p>
        </w:tc>
      </w:tr>
      <w:tr w:rsidR="00054D27" w:rsidRPr="00800799" w14:paraId="75F9C2A4" w14:textId="77777777">
        <w:tc>
          <w:tcPr>
            <w:tcW w:w="3278" w:type="dxa"/>
            <w:vMerge w:val="restart"/>
            <w:tcBorders>
              <w:top w:val="single" w:sz="4" w:space="0" w:color="000000"/>
              <w:left w:val="single" w:sz="4" w:space="0" w:color="000000"/>
              <w:bottom w:val="single" w:sz="4" w:space="0" w:color="000000"/>
              <w:right w:val="single" w:sz="4" w:space="0" w:color="000000"/>
            </w:tcBorders>
          </w:tcPr>
          <w:p w14:paraId="000003B5" w14:textId="77777777" w:rsidR="00054D27" w:rsidRPr="00800799" w:rsidRDefault="00AF622A">
            <w:pPr>
              <w:rPr>
                <w:rFonts w:ascii="Arial" w:eastAsia="Arial" w:hAnsi="Arial" w:cs="Arial"/>
                <w:b/>
                <w:sz w:val="20"/>
                <w:szCs w:val="20"/>
              </w:rPr>
            </w:pPr>
            <w:r w:rsidRPr="00800799">
              <w:rPr>
                <w:sz w:val="20"/>
                <w:szCs w:val="20"/>
              </w:rPr>
              <w:t>Budování a modernizace výpočetních a datových center</w:t>
            </w:r>
          </w:p>
        </w:tc>
        <w:tc>
          <w:tcPr>
            <w:tcW w:w="3135" w:type="dxa"/>
            <w:tcBorders>
              <w:top w:val="single" w:sz="4" w:space="0" w:color="000000"/>
              <w:left w:val="single" w:sz="4" w:space="0" w:color="000000"/>
              <w:bottom w:val="single" w:sz="4" w:space="0" w:color="000000"/>
              <w:right w:val="single" w:sz="4" w:space="0" w:color="000000"/>
            </w:tcBorders>
          </w:tcPr>
          <w:p w14:paraId="000003B6" w14:textId="77777777" w:rsidR="00054D27" w:rsidRPr="00800799" w:rsidRDefault="00AF622A">
            <w:pPr>
              <w:rPr>
                <w:rFonts w:ascii="Arial" w:eastAsia="Arial" w:hAnsi="Arial" w:cs="Arial"/>
                <w:sz w:val="20"/>
                <w:szCs w:val="20"/>
              </w:rPr>
            </w:pPr>
            <w:r w:rsidRPr="00800799">
              <w:rPr>
                <w:sz w:val="20"/>
                <w:szCs w:val="20"/>
              </w:rPr>
              <w:t>Záruka vč. varianty s možností „odpuštění“ (finanční příspěvek) jistiny zaručeného úvěru (kombinace FN a dotace)</w:t>
            </w:r>
          </w:p>
        </w:tc>
        <w:tc>
          <w:tcPr>
            <w:tcW w:w="2649" w:type="dxa"/>
            <w:tcBorders>
              <w:top w:val="single" w:sz="4" w:space="0" w:color="000000"/>
              <w:left w:val="single" w:sz="4" w:space="0" w:color="000000"/>
              <w:bottom w:val="single" w:sz="4" w:space="0" w:color="000000"/>
              <w:right w:val="single" w:sz="4" w:space="0" w:color="000000"/>
            </w:tcBorders>
          </w:tcPr>
          <w:p w14:paraId="000003B7" w14:textId="6F9C1E0A" w:rsidR="00054D27" w:rsidRPr="00952825" w:rsidRDefault="00AF622A">
            <w:pPr>
              <w:rPr>
                <w:rFonts w:ascii="Arial" w:eastAsia="Arial" w:hAnsi="Arial" w:cs="Arial"/>
                <w:sz w:val="20"/>
                <w:szCs w:val="20"/>
              </w:rPr>
            </w:pPr>
            <w:r w:rsidRPr="00800799">
              <w:rPr>
                <w:sz w:val="20"/>
                <w:szCs w:val="20"/>
              </w:rPr>
              <w:t>Projekty</w:t>
            </w:r>
            <w:r w:rsidRPr="00800799">
              <w:rPr>
                <w:rFonts w:ascii="Arial" w:eastAsia="Arial" w:hAnsi="Arial" w:cs="Arial"/>
                <w:sz w:val="20"/>
                <w:szCs w:val="20"/>
              </w:rPr>
              <w:t xml:space="preserve"> s dlouhou dobou návratnosti, nedostatečné ručení za komerční úvěr, z</w:t>
            </w:r>
            <w:r w:rsidRPr="00C77291">
              <w:rPr>
                <w:rFonts w:ascii="Arial" w:eastAsia="Arial" w:hAnsi="Arial" w:cs="Arial"/>
                <w:sz w:val="20"/>
                <w:szCs w:val="20"/>
              </w:rPr>
              <w:t xml:space="preserve">kušenosti z PP </w:t>
            </w:r>
            <w:proofErr w:type="spellStart"/>
            <w:r w:rsidRPr="00C77291">
              <w:rPr>
                <w:rFonts w:ascii="Arial" w:eastAsia="Arial" w:hAnsi="Arial" w:cs="Arial"/>
                <w:sz w:val="20"/>
                <w:szCs w:val="20"/>
              </w:rPr>
              <w:t>ICTaSS</w:t>
            </w:r>
            <w:proofErr w:type="spellEnd"/>
            <w:r w:rsidRPr="00C77291">
              <w:rPr>
                <w:rFonts w:ascii="Arial" w:eastAsia="Arial" w:hAnsi="Arial" w:cs="Arial"/>
                <w:sz w:val="20"/>
                <w:szCs w:val="20"/>
              </w:rPr>
              <w:t>, potenciální zjednodušení pravidel (zejména možnost vyhnutí se výběrovým řízením dle ZZVZ) v případě FN</w:t>
            </w:r>
          </w:p>
        </w:tc>
      </w:tr>
      <w:tr w:rsidR="00054D27" w:rsidRPr="00800799" w14:paraId="09ACF8BB" w14:textId="77777777">
        <w:tc>
          <w:tcPr>
            <w:tcW w:w="3278" w:type="dxa"/>
            <w:vMerge/>
            <w:tcBorders>
              <w:top w:val="single" w:sz="4" w:space="0" w:color="000000"/>
              <w:left w:val="single" w:sz="4" w:space="0" w:color="000000"/>
              <w:bottom w:val="single" w:sz="4" w:space="0" w:color="000000"/>
              <w:right w:val="single" w:sz="4" w:space="0" w:color="000000"/>
            </w:tcBorders>
          </w:tcPr>
          <w:p w14:paraId="000003B8" w14:textId="77777777" w:rsidR="00054D27" w:rsidRPr="00800799" w:rsidRDefault="00054D27">
            <w:pPr>
              <w:widowControl w:val="0"/>
              <w:pBdr>
                <w:top w:val="nil"/>
                <w:left w:val="nil"/>
                <w:bottom w:val="nil"/>
                <w:right w:val="nil"/>
                <w:between w:val="nil"/>
              </w:pBdr>
              <w:spacing w:line="276" w:lineRule="auto"/>
              <w:rPr>
                <w:rFonts w:ascii="Arial" w:eastAsia="Arial" w:hAnsi="Arial" w:cs="Arial"/>
                <w:sz w:val="20"/>
                <w:szCs w:val="20"/>
              </w:rPr>
            </w:pPr>
          </w:p>
        </w:tc>
        <w:tc>
          <w:tcPr>
            <w:tcW w:w="3135" w:type="dxa"/>
            <w:tcBorders>
              <w:top w:val="single" w:sz="4" w:space="0" w:color="000000"/>
              <w:left w:val="single" w:sz="4" w:space="0" w:color="000000"/>
              <w:bottom w:val="single" w:sz="4" w:space="0" w:color="000000"/>
              <w:right w:val="single" w:sz="4" w:space="0" w:color="000000"/>
            </w:tcBorders>
          </w:tcPr>
          <w:p w14:paraId="000003B9" w14:textId="77777777" w:rsidR="00054D27" w:rsidRPr="00800799" w:rsidRDefault="00AF622A">
            <w:pPr>
              <w:rPr>
                <w:rFonts w:ascii="Arial" w:eastAsia="Arial" w:hAnsi="Arial" w:cs="Arial"/>
                <w:sz w:val="20"/>
                <w:szCs w:val="20"/>
              </w:rPr>
            </w:pPr>
            <w:r w:rsidRPr="00800799">
              <w:rPr>
                <w:sz w:val="20"/>
                <w:szCs w:val="20"/>
              </w:rPr>
              <w:t>Zvýhodněný úvěr vč. varianty s možným odpuštěním splátek jistiny (kombinace FN a dotace)</w:t>
            </w:r>
          </w:p>
        </w:tc>
        <w:tc>
          <w:tcPr>
            <w:tcW w:w="2649" w:type="dxa"/>
            <w:tcBorders>
              <w:top w:val="single" w:sz="4" w:space="0" w:color="000000"/>
              <w:left w:val="single" w:sz="4" w:space="0" w:color="000000"/>
              <w:bottom w:val="single" w:sz="4" w:space="0" w:color="000000"/>
              <w:right w:val="single" w:sz="4" w:space="0" w:color="000000"/>
            </w:tcBorders>
          </w:tcPr>
          <w:p w14:paraId="000003BA" w14:textId="58C01A0C" w:rsidR="00054D27" w:rsidRPr="00800799" w:rsidRDefault="00AF622A">
            <w:pPr>
              <w:rPr>
                <w:rFonts w:ascii="Arial" w:eastAsia="Arial" w:hAnsi="Arial" w:cs="Arial"/>
                <w:sz w:val="20"/>
                <w:szCs w:val="20"/>
              </w:rPr>
            </w:pPr>
            <w:r w:rsidRPr="00800799">
              <w:rPr>
                <w:sz w:val="20"/>
                <w:szCs w:val="20"/>
              </w:rPr>
              <w:t>Projekty</w:t>
            </w:r>
            <w:r w:rsidRPr="00800799">
              <w:rPr>
                <w:rFonts w:ascii="Arial" w:eastAsia="Arial" w:hAnsi="Arial" w:cs="Arial"/>
                <w:sz w:val="20"/>
                <w:szCs w:val="20"/>
              </w:rPr>
              <w:t xml:space="preserve"> s dlouhou dobou návratnosti, nedostatečné zdroje na financování projektu ani při spolufinancování komerčním úvěrem, zkušenosti z PP </w:t>
            </w:r>
            <w:proofErr w:type="spellStart"/>
            <w:r w:rsidRPr="00800799">
              <w:rPr>
                <w:rFonts w:ascii="Arial" w:eastAsia="Arial" w:hAnsi="Arial" w:cs="Arial"/>
                <w:sz w:val="20"/>
                <w:szCs w:val="20"/>
              </w:rPr>
              <w:t>ICTaSS</w:t>
            </w:r>
            <w:proofErr w:type="spellEnd"/>
            <w:r w:rsidRPr="00800799">
              <w:rPr>
                <w:rFonts w:ascii="Arial" w:eastAsia="Arial" w:hAnsi="Arial" w:cs="Arial"/>
                <w:sz w:val="20"/>
                <w:szCs w:val="20"/>
              </w:rPr>
              <w:t>, potenciální zjednodušení pravidel (zejména možnost vyhnutí se výběrovým řízením dle ZZVZ) v případě FN</w:t>
            </w:r>
          </w:p>
        </w:tc>
      </w:tr>
    </w:tbl>
    <w:p w14:paraId="000003BB" w14:textId="77777777" w:rsidR="00054D27" w:rsidRPr="00800799" w:rsidRDefault="00054D27">
      <w:pPr>
        <w:pBdr>
          <w:top w:val="nil"/>
          <w:left w:val="nil"/>
          <w:bottom w:val="nil"/>
          <w:right w:val="nil"/>
          <w:between w:val="nil"/>
        </w:pBdr>
        <w:spacing w:line="360" w:lineRule="auto"/>
        <w:rPr>
          <w:color w:val="D04A02"/>
          <w:sz w:val="18"/>
          <w:szCs w:val="18"/>
        </w:rPr>
      </w:pPr>
    </w:p>
    <w:p w14:paraId="000003BC"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000003BD"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sz w:val="20"/>
          <w:szCs w:val="20"/>
        </w:rPr>
        <w:t>Pro oblast digitalizace bude pravděpodobně doporučen jeden pilotní finanční nástroj na základě zkušeností NRB s digitálním pilotem COSME. Konkrétní vhodnou formu finančního nástroje (úvěr/záruka a případná kombinace s dotací nebo poradenstvím) upřesníme po provedení strukturovaných rozhovorů s NRB, ČBA, ČLFA, HK a SP a doplňkového dotazníkového šetření.</w:t>
      </w:r>
    </w:p>
    <w:p w14:paraId="000003BE" w14:textId="77777777" w:rsidR="00054D27" w:rsidRPr="00800799" w:rsidRDefault="00054D27">
      <w:pPr>
        <w:pBdr>
          <w:top w:val="nil"/>
          <w:left w:val="nil"/>
          <w:bottom w:val="nil"/>
          <w:right w:val="nil"/>
          <w:between w:val="nil"/>
        </w:pBdr>
        <w:spacing w:line="240" w:lineRule="auto"/>
        <w:rPr>
          <w:b/>
          <w:sz w:val="20"/>
          <w:szCs w:val="20"/>
        </w:rPr>
      </w:pPr>
    </w:p>
    <w:p w14:paraId="000003BF" w14:textId="77777777" w:rsidR="00054D27" w:rsidRPr="00800799" w:rsidRDefault="00054D27">
      <w:pPr>
        <w:pBdr>
          <w:top w:val="nil"/>
          <w:left w:val="nil"/>
          <w:bottom w:val="nil"/>
          <w:right w:val="nil"/>
          <w:between w:val="nil"/>
        </w:pBdr>
        <w:spacing w:line="240" w:lineRule="auto"/>
        <w:rPr>
          <w:b/>
          <w:sz w:val="20"/>
          <w:szCs w:val="20"/>
        </w:rPr>
      </w:pPr>
    </w:p>
    <w:p w14:paraId="000003C0" w14:textId="77777777" w:rsidR="00054D27" w:rsidRPr="00800799" w:rsidRDefault="00AF622A">
      <w:pPr>
        <w:numPr>
          <w:ilvl w:val="0"/>
          <w:numId w:val="7"/>
        </w:numPr>
        <w:spacing w:line="240" w:lineRule="auto"/>
        <w:rPr>
          <w:b/>
          <w:sz w:val="20"/>
          <w:szCs w:val="20"/>
        </w:rPr>
      </w:pPr>
      <w:r w:rsidRPr="00800799">
        <w:rPr>
          <w:b/>
          <w:sz w:val="20"/>
          <w:szCs w:val="20"/>
        </w:rPr>
        <w:t>Přehled doporučení pro využití forem podpory ve SC 2.1</w:t>
      </w:r>
    </w:p>
    <w:p w14:paraId="000003C1" w14:textId="77777777" w:rsidR="00054D27" w:rsidRPr="00800799" w:rsidRDefault="00054D27">
      <w:pPr>
        <w:spacing w:line="240" w:lineRule="auto"/>
        <w:rPr>
          <w:b/>
          <w:sz w:val="20"/>
          <w:szCs w:val="20"/>
        </w:rPr>
      </w:pPr>
    </w:p>
    <w:tbl>
      <w:tblPr>
        <w:tblStyle w:val="aff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8"/>
        <w:gridCol w:w="3135"/>
        <w:gridCol w:w="2649"/>
      </w:tblGrid>
      <w:tr w:rsidR="00054D27" w:rsidRPr="00800799" w14:paraId="4BCEC7D1" w14:textId="77777777">
        <w:tc>
          <w:tcPr>
            <w:tcW w:w="3278" w:type="dxa"/>
            <w:tcBorders>
              <w:top w:val="single" w:sz="4" w:space="0" w:color="000000"/>
              <w:left w:val="single" w:sz="4" w:space="0" w:color="000000"/>
              <w:bottom w:val="single" w:sz="4" w:space="0" w:color="000000"/>
              <w:right w:val="single" w:sz="4" w:space="0" w:color="000000"/>
            </w:tcBorders>
            <w:shd w:val="clear" w:color="auto" w:fill="DBE5F1"/>
          </w:tcPr>
          <w:p w14:paraId="000003C2" w14:textId="77777777" w:rsidR="00054D27" w:rsidRPr="00800799" w:rsidRDefault="00AF622A">
            <w:pPr>
              <w:rPr>
                <w:rFonts w:ascii="Arial" w:eastAsia="Arial" w:hAnsi="Arial" w:cs="Arial"/>
                <w:b/>
                <w:sz w:val="20"/>
                <w:szCs w:val="20"/>
              </w:rPr>
            </w:pPr>
            <w:r w:rsidRPr="00800799">
              <w:rPr>
                <w:b/>
                <w:sz w:val="20"/>
                <w:szCs w:val="20"/>
              </w:rPr>
              <w:t xml:space="preserve">Analytická otázka </w:t>
            </w:r>
          </w:p>
        </w:tc>
        <w:tc>
          <w:tcPr>
            <w:tcW w:w="3135" w:type="dxa"/>
            <w:tcBorders>
              <w:top w:val="single" w:sz="4" w:space="0" w:color="000000"/>
              <w:left w:val="single" w:sz="4" w:space="0" w:color="000000"/>
              <w:bottom w:val="single" w:sz="4" w:space="0" w:color="000000"/>
              <w:right w:val="single" w:sz="4" w:space="0" w:color="000000"/>
            </w:tcBorders>
            <w:shd w:val="clear" w:color="auto" w:fill="DBE5F1"/>
          </w:tcPr>
          <w:p w14:paraId="000003C3" w14:textId="77777777" w:rsidR="00054D27" w:rsidRPr="00800799" w:rsidRDefault="00AF622A">
            <w:pPr>
              <w:rPr>
                <w:rFonts w:ascii="Arial" w:eastAsia="Arial" w:hAnsi="Arial" w:cs="Arial"/>
                <w:b/>
                <w:sz w:val="20"/>
                <w:szCs w:val="20"/>
              </w:rPr>
            </w:pPr>
            <w:r w:rsidRPr="00800799">
              <w:rPr>
                <w:b/>
                <w:sz w:val="20"/>
                <w:szCs w:val="20"/>
              </w:rPr>
              <w:t>Doporučená forma podpory</w:t>
            </w:r>
          </w:p>
        </w:tc>
        <w:tc>
          <w:tcPr>
            <w:tcW w:w="2649" w:type="dxa"/>
            <w:tcBorders>
              <w:top w:val="single" w:sz="4" w:space="0" w:color="000000"/>
              <w:left w:val="single" w:sz="4" w:space="0" w:color="000000"/>
              <w:bottom w:val="single" w:sz="4" w:space="0" w:color="000000"/>
              <w:right w:val="single" w:sz="4" w:space="0" w:color="000000"/>
            </w:tcBorders>
            <w:shd w:val="clear" w:color="auto" w:fill="DBE5F1"/>
          </w:tcPr>
          <w:p w14:paraId="000003C4" w14:textId="77777777" w:rsidR="00054D27" w:rsidRPr="00800799" w:rsidRDefault="00AF622A">
            <w:pPr>
              <w:rPr>
                <w:rFonts w:ascii="Arial" w:eastAsia="Arial" w:hAnsi="Arial" w:cs="Arial"/>
                <w:b/>
                <w:sz w:val="20"/>
                <w:szCs w:val="20"/>
              </w:rPr>
            </w:pPr>
            <w:r w:rsidRPr="00800799">
              <w:rPr>
                <w:b/>
                <w:sz w:val="20"/>
                <w:szCs w:val="20"/>
              </w:rPr>
              <w:t>Předpoklady a zdůvodnění</w:t>
            </w:r>
          </w:p>
        </w:tc>
      </w:tr>
      <w:tr w:rsidR="00054D27" w:rsidRPr="00800799" w14:paraId="56D48B5E" w14:textId="77777777">
        <w:tc>
          <w:tcPr>
            <w:tcW w:w="3278" w:type="dxa"/>
            <w:vMerge w:val="restart"/>
            <w:tcBorders>
              <w:top w:val="single" w:sz="4" w:space="0" w:color="000000"/>
              <w:left w:val="single" w:sz="4" w:space="0" w:color="000000"/>
              <w:bottom w:val="single" w:sz="4" w:space="0" w:color="000000"/>
              <w:right w:val="single" w:sz="4" w:space="0" w:color="000000"/>
            </w:tcBorders>
          </w:tcPr>
          <w:p w14:paraId="000003C5" w14:textId="77777777" w:rsidR="00054D27" w:rsidRPr="00800799" w:rsidRDefault="00AF622A">
            <w:pPr>
              <w:pBdr>
                <w:top w:val="nil"/>
                <w:left w:val="nil"/>
                <w:bottom w:val="nil"/>
                <w:right w:val="nil"/>
                <w:between w:val="nil"/>
              </w:pBdr>
              <w:rPr>
                <w:rFonts w:ascii="Arial" w:eastAsia="Arial" w:hAnsi="Arial" w:cs="Arial"/>
                <w:sz w:val="20"/>
                <w:szCs w:val="20"/>
              </w:rPr>
            </w:pPr>
            <w:r w:rsidRPr="00800799">
              <w:rPr>
                <w:sz w:val="20"/>
                <w:szCs w:val="20"/>
              </w:rPr>
              <w:t>Pořízení nových technologických zařízení vč. infrastruktury (Průmysl 4.0 – digitalizace, automatizace) pro malý nebo střední podnik</w:t>
            </w:r>
          </w:p>
        </w:tc>
        <w:tc>
          <w:tcPr>
            <w:tcW w:w="3135" w:type="dxa"/>
            <w:tcBorders>
              <w:top w:val="single" w:sz="4" w:space="0" w:color="000000"/>
              <w:left w:val="single" w:sz="4" w:space="0" w:color="000000"/>
              <w:bottom w:val="single" w:sz="4" w:space="0" w:color="000000"/>
              <w:right w:val="single" w:sz="4" w:space="0" w:color="000000"/>
            </w:tcBorders>
          </w:tcPr>
          <w:p w14:paraId="000003C6" w14:textId="77777777" w:rsidR="00054D27" w:rsidRPr="00800799" w:rsidRDefault="00AF622A">
            <w:pPr>
              <w:pBdr>
                <w:top w:val="nil"/>
                <w:left w:val="nil"/>
                <w:bottom w:val="nil"/>
                <w:right w:val="nil"/>
                <w:between w:val="nil"/>
              </w:pBdr>
              <w:rPr>
                <w:rFonts w:ascii="Arial" w:eastAsia="Arial" w:hAnsi="Arial" w:cs="Arial"/>
                <w:sz w:val="20"/>
                <w:szCs w:val="20"/>
              </w:rPr>
            </w:pPr>
            <w:r w:rsidRPr="00800799">
              <w:rPr>
                <w:sz w:val="20"/>
                <w:szCs w:val="20"/>
              </w:rPr>
              <w:t>Záruka vč. varianty s možností „odpuštění“ (finanční příspěvek) jistiny zaručeného úvěru (kombinace FN a dotace)</w:t>
            </w:r>
          </w:p>
        </w:tc>
        <w:tc>
          <w:tcPr>
            <w:tcW w:w="2649" w:type="dxa"/>
            <w:tcBorders>
              <w:top w:val="single" w:sz="4" w:space="0" w:color="000000"/>
              <w:left w:val="single" w:sz="4" w:space="0" w:color="000000"/>
              <w:bottom w:val="single" w:sz="4" w:space="0" w:color="000000"/>
              <w:right w:val="single" w:sz="4" w:space="0" w:color="000000"/>
            </w:tcBorders>
          </w:tcPr>
          <w:p w14:paraId="000003C7" w14:textId="77777777" w:rsidR="00054D27" w:rsidRPr="00800799" w:rsidRDefault="00AF622A">
            <w:pPr>
              <w:rPr>
                <w:rFonts w:ascii="Arial" w:eastAsia="Arial" w:hAnsi="Arial" w:cs="Arial"/>
                <w:sz w:val="20"/>
                <w:szCs w:val="20"/>
              </w:rPr>
            </w:pPr>
            <w:r w:rsidRPr="00800799">
              <w:rPr>
                <w:sz w:val="20"/>
                <w:szCs w:val="20"/>
              </w:rPr>
              <w:t>Projekty s dlouhou dobou návratnosti přesahující očekávanou návratnost z pohledu cílových skupin, nedostatečné ručení za komerční úvěr, více podobných projektů, zkušenosti z programů Expanze a Záruka</w:t>
            </w:r>
          </w:p>
        </w:tc>
      </w:tr>
      <w:tr w:rsidR="00054D27" w:rsidRPr="00800799" w14:paraId="32F38B50" w14:textId="77777777">
        <w:tc>
          <w:tcPr>
            <w:tcW w:w="3278" w:type="dxa"/>
            <w:vMerge/>
            <w:tcBorders>
              <w:top w:val="single" w:sz="4" w:space="0" w:color="000000"/>
              <w:left w:val="single" w:sz="4" w:space="0" w:color="000000"/>
              <w:bottom w:val="single" w:sz="4" w:space="0" w:color="000000"/>
              <w:right w:val="single" w:sz="4" w:space="0" w:color="000000"/>
            </w:tcBorders>
          </w:tcPr>
          <w:p w14:paraId="000003C8" w14:textId="77777777" w:rsidR="00054D27" w:rsidRPr="00800799" w:rsidRDefault="00054D27">
            <w:pPr>
              <w:widowControl w:val="0"/>
              <w:spacing w:line="276" w:lineRule="auto"/>
              <w:rPr>
                <w:rFonts w:ascii="Arial" w:eastAsia="Arial" w:hAnsi="Arial" w:cs="Arial"/>
                <w:b/>
                <w:sz w:val="20"/>
                <w:szCs w:val="20"/>
              </w:rPr>
            </w:pPr>
          </w:p>
        </w:tc>
        <w:tc>
          <w:tcPr>
            <w:tcW w:w="3135" w:type="dxa"/>
            <w:tcBorders>
              <w:top w:val="single" w:sz="4" w:space="0" w:color="000000"/>
              <w:left w:val="single" w:sz="4" w:space="0" w:color="000000"/>
              <w:bottom w:val="single" w:sz="4" w:space="0" w:color="000000"/>
              <w:right w:val="single" w:sz="4" w:space="0" w:color="000000"/>
            </w:tcBorders>
          </w:tcPr>
          <w:p w14:paraId="000003C9" w14:textId="77777777" w:rsidR="00054D27" w:rsidRPr="00800799" w:rsidRDefault="00AF622A">
            <w:pPr>
              <w:pBdr>
                <w:top w:val="nil"/>
                <w:left w:val="nil"/>
                <w:bottom w:val="nil"/>
                <w:right w:val="nil"/>
                <w:between w:val="nil"/>
              </w:pBdr>
              <w:rPr>
                <w:rFonts w:ascii="Arial" w:eastAsia="Arial" w:hAnsi="Arial" w:cs="Arial"/>
                <w:sz w:val="20"/>
                <w:szCs w:val="20"/>
              </w:rPr>
            </w:pPr>
            <w:r w:rsidRPr="00800799">
              <w:rPr>
                <w:sz w:val="20"/>
                <w:szCs w:val="20"/>
              </w:rPr>
              <w:t>Záruka + technické poradenství vč. varianty s možností „odpuštění“ (finanční příspěvek) splátek jistiny zaručeného úvěru (kombinace FN a dotace)</w:t>
            </w:r>
          </w:p>
        </w:tc>
        <w:tc>
          <w:tcPr>
            <w:tcW w:w="2649" w:type="dxa"/>
            <w:tcBorders>
              <w:top w:val="single" w:sz="4" w:space="0" w:color="000000"/>
              <w:left w:val="single" w:sz="4" w:space="0" w:color="000000"/>
              <w:bottom w:val="single" w:sz="4" w:space="0" w:color="000000"/>
              <w:right w:val="single" w:sz="4" w:space="0" w:color="000000"/>
            </w:tcBorders>
          </w:tcPr>
          <w:p w14:paraId="000003CA" w14:textId="77777777" w:rsidR="00054D27" w:rsidRPr="00800799" w:rsidRDefault="00AF622A">
            <w:pPr>
              <w:rPr>
                <w:rFonts w:ascii="Arial" w:eastAsia="Arial" w:hAnsi="Arial" w:cs="Arial"/>
                <w:sz w:val="20"/>
                <w:szCs w:val="20"/>
              </w:rPr>
            </w:pPr>
            <w:r w:rsidRPr="00800799">
              <w:rPr>
                <w:sz w:val="20"/>
                <w:szCs w:val="20"/>
              </w:rPr>
              <w:t xml:space="preserve">Předchozí předpoklady + potřeba technické pomoci </w:t>
            </w:r>
          </w:p>
        </w:tc>
      </w:tr>
      <w:tr w:rsidR="00054D27" w:rsidRPr="00800799" w14:paraId="443440B2" w14:textId="77777777">
        <w:tc>
          <w:tcPr>
            <w:tcW w:w="3278" w:type="dxa"/>
            <w:vMerge/>
            <w:tcBorders>
              <w:top w:val="single" w:sz="4" w:space="0" w:color="000000"/>
              <w:left w:val="single" w:sz="4" w:space="0" w:color="000000"/>
              <w:bottom w:val="single" w:sz="4" w:space="0" w:color="000000"/>
              <w:right w:val="single" w:sz="4" w:space="0" w:color="000000"/>
            </w:tcBorders>
          </w:tcPr>
          <w:p w14:paraId="000003CB" w14:textId="77777777" w:rsidR="00054D27" w:rsidRPr="00800799" w:rsidRDefault="00054D27">
            <w:pPr>
              <w:widowControl w:val="0"/>
              <w:spacing w:line="276" w:lineRule="auto"/>
              <w:rPr>
                <w:rFonts w:ascii="Arial" w:eastAsia="Arial" w:hAnsi="Arial" w:cs="Arial"/>
                <w:sz w:val="20"/>
                <w:szCs w:val="20"/>
              </w:rPr>
            </w:pPr>
          </w:p>
        </w:tc>
        <w:tc>
          <w:tcPr>
            <w:tcW w:w="3135" w:type="dxa"/>
            <w:tcBorders>
              <w:top w:val="single" w:sz="4" w:space="0" w:color="000000"/>
              <w:left w:val="single" w:sz="4" w:space="0" w:color="000000"/>
              <w:bottom w:val="single" w:sz="4" w:space="0" w:color="000000"/>
              <w:right w:val="single" w:sz="4" w:space="0" w:color="000000"/>
            </w:tcBorders>
          </w:tcPr>
          <w:p w14:paraId="000003CC" w14:textId="77777777" w:rsidR="00054D27" w:rsidRPr="00800799" w:rsidRDefault="00AF622A">
            <w:pPr>
              <w:pBdr>
                <w:top w:val="nil"/>
                <w:left w:val="nil"/>
                <w:bottom w:val="nil"/>
                <w:right w:val="nil"/>
                <w:between w:val="nil"/>
              </w:pBdr>
              <w:rPr>
                <w:rFonts w:ascii="Arial" w:eastAsia="Arial" w:hAnsi="Arial" w:cs="Arial"/>
                <w:sz w:val="20"/>
                <w:szCs w:val="20"/>
              </w:rPr>
            </w:pPr>
            <w:r w:rsidRPr="00800799">
              <w:rPr>
                <w:sz w:val="20"/>
                <w:szCs w:val="20"/>
              </w:rPr>
              <w:t>Zvýhodněný úvěr (vč. varianty s možným odpuštěním splátek jistiny)</w:t>
            </w:r>
          </w:p>
        </w:tc>
        <w:tc>
          <w:tcPr>
            <w:tcW w:w="2649" w:type="dxa"/>
            <w:tcBorders>
              <w:top w:val="single" w:sz="4" w:space="0" w:color="000000"/>
              <w:left w:val="single" w:sz="4" w:space="0" w:color="000000"/>
              <w:bottom w:val="single" w:sz="4" w:space="0" w:color="000000"/>
              <w:right w:val="single" w:sz="4" w:space="0" w:color="000000"/>
            </w:tcBorders>
          </w:tcPr>
          <w:p w14:paraId="000003CD" w14:textId="77777777" w:rsidR="00054D27" w:rsidRPr="00800799" w:rsidRDefault="00AF622A">
            <w:pPr>
              <w:rPr>
                <w:rFonts w:ascii="Arial" w:eastAsia="Arial" w:hAnsi="Arial" w:cs="Arial"/>
                <w:b/>
                <w:sz w:val="20"/>
                <w:szCs w:val="20"/>
              </w:rPr>
            </w:pPr>
            <w:r w:rsidRPr="00800799">
              <w:rPr>
                <w:sz w:val="20"/>
                <w:szCs w:val="20"/>
              </w:rPr>
              <w:t>Projekty s dlouhou dobou návratnosti přesahující očekávanou návratnost z pohledu cílových skupin, nedostatečné ručení za komerční úvěr, méně žadatelů, zkušenosti z programů Expanze a Progres (OPPI)</w:t>
            </w:r>
          </w:p>
        </w:tc>
      </w:tr>
      <w:tr w:rsidR="00054D27" w:rsidRPr="00800799" w14:paraId="23A2D531" w14:textId="77777777">
        <w:tc>
          <w:tcPr>
            <w:tcW w:w="3278" w:type="dxa"/>
            <w:vMerge/>
            <w:tcBorders>
              <w:top w:val="single" w:sz="4" w:space="0" w:color="000000"/>
              <w:left w:val="single" w:sz="4" w:space="0" w:color="000000"/>
              <w:bottom w:val="single" w:sz="4" w:space="0" w:color="000000"/>
              <w:right w:val="single" w:sz="4" w:space="0" w:color="000000"/>
            </w:tcBorders>
          </w:tcPr>
          <w:p w14:paraId="000003CE" w14:textId="77777777" w:rsidR="00054D27" w:rsidRPr="00800799" w:rsidRDefault="00054D27">
            <w:pPr>
              <w:widowControl w:val="0"/>
              <w:spacing w:line="276" w:lineRule="auto"/>
              <w:rPr>
                <w:rFonts w:ascii="Arial" w:eastAsia="Arial" w:hAnsi="Arial" w:cs="Arial"/>
                <w:b/>
                <w:sz w:val="20"/>
                <w:szCs w:val="20"/>
              </w:rPr>
            </w:pPr>
          </w:p>
        </w:tc>
        <w:tc>
          <w:tcPr>
            <w:tcW w:w="3135" w:type="dxa"/>
            <w:tcBorders>
              <w:top w:val="single" w:sz="4" w:space="0" w:color="000000"/>
              <w:left w:val="single" w:sz="4" w:space="0" w:color="000000"/>
              <w:bottom w:val="single" w:sz="4" w:space="0" w:color="000000"/>
              <w:right w:val="single" w:sz="4" w:space="0" w:color="000000"/>
            </w:tcBorders>
          </w:tcPr>
          <w:p w14:paraId="000003CF" w14:textId="77777777" w:rsidR="00054D27" w:rsidRPr="00800799" w:rsidRDefault="00AF622A">
            <w:pPr>
              <w:pBdr>
                <w:top w:val="nil"/>
                <w:left w:val="nil"/>
                <w:bottom w:val="nil"/>
                <w:right w:val="nil"/>
                <w:between w:val="nil"/>
              </w:pBdr>
              <w:rPr>
                <w:rFonts w:ascii="Arial" w:eastAsia="Arial" w:hAnsi="Arial" w:cs="Arial"/>
                <w:sz w:val="20"/>
                <w:szCs w:val="20"/>
              </w:rPr>
            </w:pPr>
            <w:r w:rsidRPr="00800799">
              <w:rPr>
                <w:sz w:val="20"/>
                <w:szCs w:val="20"/>
              </w:rPr>
              <w:t xml:space="preserve">Zvýhodněný úvěr + technické poradenství (kombinace FN a dotace) </w:t>
            </w:r>
          </w:p>
        </w:tc>
        <w:tc>
          <w:tcPr>
            <w:tcW w:w="2649" w:type="dxa"/>
            <w:tcBorders>
              <w:top w:val="single" w:sz="4" w:space="0" w:color="000000"/>
              <w:left w:val="single" w:sz="4" w:space="0" w:color="000000"/>
              <w:bottom w:val="single" w:sz="4" w:space="0" w:color="000000"/>
              <w:right w:val="single" w:sz="4" w:space="0" w:color="000000"/>
            </w:tcBorders>
          </w:tcPr>
          <w:p w14:paraId="000003D0" w14:textId="77777777" w:rsidR="00054D27" w:rsidRPr="00800799" w:rsidRDefault="00AF622A">
            <w:pPr>
              <w:rPr>
                <w:rFonts w:ascii="Arial" w:eastAsia="Arial" w:hAnsi="Arial" w:cs="Arial"/>
                <w:b/>
                <w:sz w:val="20"/>
                <w:szCs w:val="20"/>
              </w:rPr>
            </w:pPr>
            <w:r w:rsidRPr="00800799">
              <w:rPr>
                <w:sz w:val="20"/>
                <w:szCs w:val="20"/>
              </w:rPr>
              <w:t xml:space="preserve">Předchozí předpoklady + potřeba technické pomoci </w:t>
            </w:r>
          </w:p>
        </w:tc>
      </w:tr>
      <w:tr w:rsidR="00054D27" w:rsidRPr="00800799" w14:paraId="38D97B30" w14:textId="77777777">
        <w:trPr>
          <w:trHeight w:val="400"/>
        </w:trPr>
        <w:tc>
          <w:tcPr>
            <w:tcW w:w="3278" w:type="dxa"/>
            <w:vMerge w:val="restart"/>
            <w:tcBorders>
              <w:top w:val="single" w:sz="4" w:space="0" w:color="000000"/>
              <w:left w:val="single" w:sz="4" w:space="0" w:color="000000"/>
              <w:bottom w:val="single" w:sz="4" w:space="0" w:color="000000"/>
              <w:right w:val="single" w:sz="4" w:space="0" w:color="000000"/>
            </w:tcBorders>
          </w:tcPr>
          <w:p w14:paraId="000003D1" w14:textId="77777777" w:rsidR="00054D27" w:rsidRPr="00800799" w:rsidRDefault="00AF622A">
            <w:pPr>
              <w:pBdr>
                <w:top w:val="nil"/>
                <w:left w:val="nil"/>
                <w:bottom w:val="nil"/>
                <w:right w:val="nil"/>
                <w:between w:val="nil"/>
              </w:pBdr>
              <w:rPr>
                <w:rFonts w:ascii="Arial" w:eastAsia="Arial" w:hAnsi="Arial" w:cs="Arial"/>
                <w:sz w:val="20"/>
                <w:szCs w:val="20"/>
              </w:rPr>
            </w:pPr>
            <w:r w:rsidRPr="00800799">
              <w:rPr>
                <w:sz w:val="20"/>
                <w:szCs w:val="20"/>
              </w:rPr>
              <w:t xml:space="preserve">Podnikatelská infrastruktura pro MSP (pořízení a/nebo modernizace nemovitosti pro podnikání, revitalizace </w:t>
            </w:r>
            <w:proofErr w:type="spellStart"/>
            <w:r w:rsidRPr="00800799">
              <w:rPr>
                <w:sz w:val="20"/>
                <w:szCs w:val="20"/>
              </w:rPr>
              <w:t>brownfieldů</w:t>
            </w:r>
            <w:proofErr w:type="spellEnd"/>
            <w:r w:rsidRPr="00800799">
              <w:rPr>
                <w:sz w:val="20"/>
                <w:szCs w:val="20"/>
              </w:rPr>
              <w:t>)</w:t>
            </w:r>
          </w:p>
        </w:tc>
        <w:tc>
          <w:tcPr>
            <w:tcW w:w="3135" w:type="dxa"/>
            <w:tcBorders>
              <w:top w:val="single" w:sz="4" w:space="0" w:color="000000"/>
              <w:left w:val="single" w:sz="4" w:space="0" w:color="000000"/>
              <w:bottom w:val="single" w:sz="4" w:space="0" w:color="000000"/>
              <w:right w:val="single" w:sz="4" w:space="0" w:color="000000"/>
            </w:tcBorders>
          </w:tcPr>
          <w:p w14:paraId="000003D2" w14:textId="77777777" w:rsidR="00054D27" w:rsidRPr="00800799" w:rsidRDefault="00AF622A">
            <w:pPr>
              <w:pBdr>
                <w:top w:val="nil"/>
                <w:left w:val="nil"/>
                <w:bottom w:val="nil"/>
                <w:right w:val="nil"/>
                <w:between w:val="nil"/>
              </w:pBdr>
              <w:rPr>
                <w:rFonts w:ascii="Arial" w:eastAsia="Arial" w:hAnsi="Arial" w:cs="Arial"/>
                <w:sz w:val="20"/>
                <w:szCs w:val="20"/>
              </w:rPr>
            </w:pPr>
            <w:r w:rsidRPr="00800799">
              <w:rPr>
                <w:sz w:val="20"/>
                <w:szCs w:val="20"/>
              </w:rPr>
              <w:t>Zvýhodněný úvěr/záruka (vč. varianty s možným odpuštěním splátek jistiny)</w:t>
            </w:r>
          </w:p>
        </w:tc>
        <w:tc>
          <w:tcPr>
            <w:tcW w:w="2649" w:type="dxa"/>
            <w:tcBorders>
              <w:top w:val="single" w:sz="4" w:space="0" w:color="000000"/>
              <w:left w:val="single" w:sz="4" w:space="0" w:color="000000"/>
              <w:bottom w:val="single" w:sz="4" w:space="0" w:color="000000"/>
              <w:right w:val="single" w:sz="4" w:space="0" w:color="000000"/>
            </w:tcBorders>
          </w:tcPr>
          <w:p w14:paraId="000003D3" w14:textId="77777777" w:rsidR="00054D27" w:rsidRPr="00800799" w:rsidRDefault="00AF622A">
            <w:pPr>
              <w:pBdr>
                <w:top w:val="nil"/>
                <w:left w:val="nil"/>
                <w:bottom w:val="nil"/>
                <w:right w:val="nil"/>
                <w:between w:val="nil"/>
              </w:pBdr>
              <w:rPr>
                <w:rFonts w:ascii="Arial" w:eastAsia="Arial" w:hAnsi="Arial" w:cs="Arial"/>
                <w:sz w:val="20"/>
                <w:szCs w:val="20"/>
              </w:rPr>
            </w:pPr>
            <w:r w:rsidRPr="00800799">
              <w:rPr>
                <w:sz w:val="20"/>
                <w:szCs w:val="20"/>
              </w:rPr>
              <w:t>Projekty s dlouhou dobou návratnosti přesahující očekávanou návratnost z pohledu cílových skupin, nízká rentabilita, subjekty splňují OP TAK rating, nedostatečné zdroje na financování projektu ani při spolufinancování komerčním úvěrem, méně projektů, zkušenosti z PP Nemovitosti v OP PIK</w:t>
            </w:r>
          </w:p>
        </w:tc>
      </w:tr>
      <w:tr w:rsidR="00054D27" w:rsidRPr="00800799" w14:paraId="0A57B7BC" w14:textId="77777777">
        <w:trPr>
          <w:trHeight w:val="400"/>
        </w:trPr>
        <w:tc>
          <w:tcPr>
            <w:tcW w:w="3278" w:type="dxa"/>
            <w:vMerge/>
            <w:tcBorders>
              <w:top w:val="single" w:sz="4" w:space="0" w:color="000000"/>
              <w:left w:val="single" w:sz="4" w:space="0" w:color="000000"/>
              <w:bottom w:val="single" w:sz="4" w:space="0" w:color="000000"/>
              <w:right w:val="single" w:sz="4" w:space="0" w:color="000000"/>
            </w:tcBorders>
          </w:tcPr>
          <w:p w14:paraId="000003D4" w14:textId="77777777" w:rsidR="00054D27" w:rsidRPr="00800799" w:rsidRDefault="00054D27">
            <w:pPr>
              <w:rPr>
                <w:rFonts w:ascii="Arial" w:eastAsia="Arial" w:hAnsi="Arial" w:cs="Arial"/>
                <w:b/>
                <w:sz w:val="20"/>
                <w:szCs w:val="20"/>
              </w:rPr>
            </w:pPr>
          </w:p>
        </w:tc>
        <w:tc>
          <w:tcPr>
            <w:tcW w:w="3135" w:type="dxa"/>
            <w:tcBorders>
              <w:top w:val="single" w:sz="4" w:space="0" w:color="000000"/>
              <w:left w:val="single" w:sz="4" w:space="0" w:color="000000"/>
              <w:bottom w:val="single" w:sz="4" w:space="0" w:color="000000"/>
              <w:right w:val="single" w:sz="4" w:space="0" w:color="000000"/>
            </w:tcBorders>
          </w:tcPr>
          <w:p w14:paraId="000003D5" w14:textId="77777777" w:rsidR="00054D27" w:rsidRPr="00800799" w:rsidRDefault="00AF622A">
            <w:pPr>
              <w:pBdr>
                <w:top w:val="nil"/>
                <w:left w:val="nil"/>
                <w:bottom w:val="nil"/>
                <w:right w:val="nil"/>
                <w:between w:val="nil"/>
              </w:pBdr>
              <w:rPr>
                <w:rFonts w:ascii="Arial" w:eastAsia="Arial" w:hAnsi="Arial" w:cs="Arial"/>
                <w:sz w:val="20"/>
                <w:szCs w:val="20"/>
              </w:rPr>
            </w:pPr>
            <w:r w:rsidRPr="00800799">
              <w:rPr>
                <w:sz w:val="20"/>
                <w:szCs w:val="20"/>
              </w:rPr>
              <w:t>Fondové financování</w:t>
            </w:r>
          </w:p>
        </w:tc>
        <w:tc>
          <w:tcPr>
            <w:tcW w:w="2649" w:type="dxa"/>
            <w:tcBorders>
              <w:top w:val="single" w:sz="4" w:space="0" w:color="000000"/>
              <w:left w:val="single" w:sz="4" w:space="0" w:color="000000"/>
              <w:bottom w:val="single" w:sz="4" w:space="0" w:color="000000"/>
              <w:right w:val="single" w:sz="4" w:space="0" w:color="000000"/>
            </w:tcBorders>
          </w:tcPr>
          <w:p w14:paraId="000003D6" w14:textId="77777777" w:rsidR="00054D27" w:rsidRPr="00800799" w:rsidRDefault="00AF622A">
            <w:pPr>
              <w:rPr>
                <w:rFonts w:ascii="Arial" w:eastAsia="Arial" w:hAnsi="Arial" w:cs="Arial"/>
                <w:sz w:val="20"/>
                <w:szCs w:val="20"/>
              </w:rPr>
            </w:pPr>
            <w:r w:rsidRPr="00800799">
              <w:rPr>
                <w:sz w:val="20"/>
                <w:szCs w:val="20"/>
              </w:rPr>
              <w:t xml:space="preserve">Projekty s dlouhou dobou návratnosti přesahující očekávanou návratnost z pohledu cílových skupin, nízká rentabilita, subjekty splňují OP TAK rating, nedostatečné zdroje na </w:t>
            </w:r>
            <w:r w:rsidRPr="00800799">
              <w:rPr>
                <w:sz w:val="20"/>
                <w:szCs w:val="20"/>
              </w:rPr>
              <w:lastRenderedPageBreak/>
              <w:t>financování projektu ani při spolufinancování komerčním úvěrem, investičně náročné projekty regenerace BF vyžadují více investorů, zkušenosti z nástroje JESSICA v Moravskoslezském kraji</w:t>
            </w:r>
          </w:p>
        </w:tc>
      </w:tr>
      <w:tr w:rsidR="00054D27" w:rsidRPr="00800799" w14:paraId="62304BDC" w14:textId="77777777">
        <w:tc>
          <w:tcPr>
            <w:tcW w:w="3278" w:type="dxa"/>
            <w:tcBorders>
              <w:top w:val="single" w:sz="4" w:space="0" w:color="000000"/>
              <w:left w:val="single" w:sz="4" w:space="0" w:color="000000"/>
              <w:bottom w:val="single" w:sz="4" w:space="0" w:color="000000"/>
              <w:right w:val="single" w:sz="4" w:space="0" w:color="000000"/>
            </w:tcBorders>
          </w:tcPr>
          <w:p w14:paraId="000003D7" w14:textId="77777777" w:rsidR="00054D27" w:rsidRPr="00800799" w:rsidRDefault="00AF622A">
            <w:pPr>
              <w:pBdr>
                <w:top w:val="nil"/>
                <w:left w:val="nil"/>
                <w:bottom w:val="nil"/>
                <w:right w:val="nil"/>
                <w:between w:val="nil"/>
              </w:pBdr>
              <w:rPr>
                <w:rFonts w:ascii="Arial" w:eastAsia="Arial" w:hAnsi="Arial" w:cs="Arial"/>
                <w:sz w:val="20"/>
                <w:szCs w:val="20"/>
              </w:rPr>
            </w:pPr>
            <w:r w:rsidRPr="00800799">
              <w:rPr>
                <w:sz w:val="20"/>
                <w:szCs w:val="20"/>
              </w:rPr>
              <w:lastRenderedPageBreak/>
              <w:t>Usnadnění přístupu MSP k externímu financování dalšího rozvoje</w:t>
            </w:r>
          </w:p>
        </w:tc>
        <w:tc>
          <w:tcPr>
            <w:tcW w:w="3135" w:type="dxa"/>
            <w:tcBorders>
              <w:top w:val="single" w:sz="4" w:space="0" w:color="000000"/>
              <w:left w:val="single" w:sz="4" w:space="0" w:color="000000"/>
              <w:bottom w:val="single" w:sz="4" w:space="0" w:color="000000"/>
              <w:right w:val="single" w:sz="4" w:space="0" w:color="000000"/>
            </w:tcBorders>
          </w:tcPr>
          <w:p w14:paraId="000003D8" w14:textId="77777777" w:rsidR="00054D27" w:rsidRPr="00800799" w:rsidRDefault="00AF622A">
            <w:pPr>
              <w:pBdr>
                <w:top w:val="nil"/>
                <w:left w:val="nil"/>
                <w:bottom w:val="nil"/>
                <w:right w:val="nil"/>
                <w:between w:val="nil"/>
              </w:pBdr>
              <w:rPr>
                <w:rFonts w:ascii="Arial" w:eastAsia="Arial" w:hAnsi="Arial" w:cs="Arial"/>
                <w:sz w:val="20"/>
                <w:szCs w:val="20"/>
              </w:rPr>
            </w:pPr>
            <w:r w:rsidRPr="00800799">
              <w:rPr>
                <w:sz w:val="20"/>
                <w:szCs w:val="20"/>
              </w:rPr>
              <w:t>Finanční nástroje (rizikový kapitál, záruky, zvýhodněné úvěry, aj.)</w:t>
            </w:r>
          </w:p>
        </w:tc>
        <w:tc>
          <w:tcPr>
            <w:tcW w:w="2649" w:type="dxa"/>
            <w:tcBorders>
              <w:top w:val="single" w:sz="4" w:space="0" w:color="000000"/>
              <w:left w:val="single" w:sz="4" w:space="0" w:color="000000"/>
              <w:bottom w:val="single" w:sz="4" w:space="0" w:color="000000"/>
              <w:right w:val="single" w:sz="4" w:space="0" w:color="000000"/>
            </w:tcBorders>
          </w:tcPr>
          <w:p w14:paraId="000003D9" w14:textId="77777777" w:rsidR="00054D27" w:rsidRPr="00800799" w:rsidRDefault="00AF622A">
            <w:pPr>
              <w:rPr>
                <w:rFonts w:ascii="Arial" w:eastAsia="Arial" w:hAnsi="Arial" w:cs="Arial"/>
                <w:sz w:val="20"/>
                <w:szCs w:val="20"/>
              </w:rPr>
            </w:pPr>
            <w:r w:rsidRPr="00800799">
              <w:rPr>
                <w:sz w:val="20"/>
                <w:szCs w:val="20"/>
              </w:rPr>
              <w:t>Projekty s dlouhou dobou návratnosti přesahující očekávanou návratnost z pohledu cílových skupin, nízká rentabilita, nízká rentabilita, nejasná návratnost, nedostatečné zdroje na financování projektu, zkušenosti z programů Rizikový kapitál a Expanze</w:t>
            </w:r>
          </w:p>
        </w:tc>
      </w:tr>
    </w:tbl>
    <w:p w14:paraId="000003DA" w14:textId="385B3DC1" w:rsidR="00054D27" w:rsidRPr="00800799" w:rsidRDefault="00054D27">
      <w:pPr>
        <w:spacing w:line="360" w:lineRule="auto"/>
        <w:rPr>
          <w:b/>
          <w:sz w:val="20"/>
          <w:szCs w:val="20"/>
          <w:highlight w:val="yellow"/>
        </w:rPr>
      </w:pPr>
    </w:p>
    <w:p w14:paraId="4AD4DD7C" w14:textId="77777777" w:rsidR="000C56F0" w:rsidRPr="00800799" w:rsidRDefault="000C56F0" w:rsidP="000C56F0">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6341C2D3" w14:textId="57062B2E" w:rsidR="000C56F0" w:rsidRPr="00800799" w:rsidRDefault="001B238D" w:rsidP="000C56F0">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sz w:val="20"/>
          <w:szCs w:val="20"/>
        </w:rPr>
        <w:t>Závěry doporučení jsou poměrně obecné, lze s nimi souhlasit. Otázka, zda budeme doporučovat kombinaci s dotací v programu Expanze, dávalo by smysl pouze v případě naznačených projektů s vyšší přidanou hodnotou (průmysl 4.0) nebo delší návratností, ale na oblast digitalizace bude přitom zřejmě zaměřena zejména podpora finančními nástroji v SC 1.2. Pro obecnou podporu přístupu k financování MSP v programu Expanze není dotační složka podpory zapotřebí, jak bylo již ilustrováno v předchozí kapitole na výsledcích Expanze v OP PIK.</w:t>
      </w:r>
    </w:p>
    <w:p w14:paraId="1F5CEBF5" w14:textId="77777777" w:rsidR="000C56F0" w:rsidRPr="00800799" w:rsidRDefault="000C56F0">
      <w:pPr>
        <w:spacing w:line="360" w:lineRule="auto"/>
        <w:rPr>
          <w:b/>
          <w:sz w:val="20"/>
          <w:szCs w:val="20"/>
          <w:highlight w:val="yellow"/>
        </w:rPr>
      </w:pPr>
    </w:p>
    <w:p w14:paraId="000003DB" w14:textId="1073095A" w:rsidR="00054D27" w:rsidRPr="00800799" w:rsidRDefault="00AF622A">
      <w:pPr>
        <w:numPr>
          <w:ilvl w:val="0"/>
          <w:numId w:val="7"/>
        </w:numPr>
        <w:spacing w:line="240" w:lineRule="auto"/>
        <w:rPr>
          <w:b/>
          <w:sz w:val="20"/>
          <w:szCs w:val="20"/>
        </w:rPr>
      </w:pPr>
      <w:r w:rsidRPr="00800799">
        <w:rPr>
          <w:b/>
          <w:sz w:val="20"/>
          <w:szCs w:val="20"/>
        </w:rPr>
        <w:t xml:space="preserve">Přehled doporučení pro využití forem podpory ve SC 3.1 </w:t>
      </w:r>
      <w:r w:rsidR="00FB4D19" w:rsidRPr="00800799">
        <w:rPr>
          <w:bCs/>
          <w:sz w:val="20"/>
          <w:szCs w:val="20"/>
        </w:rPr>
        <w:t xml:space="preserve">(nyní SC 4.1, pozn. </w:t>
      </w:r>
      <w:proofErr w:type="spellStart"/>
      <w:r w:rsidR="00FB4D19" w:rsidRPr="00800799">
        <w:rPr>
          <w:bCs/>
          <w:sz w:val="20"/>
          <w:szCs w:val="20"/>
        </w:rPr>
        <w:t>PwC</w:t>
      </w:r>
      <w:proofErr w:type="spellEnd"/>
      <w:r w:rsidR="00FB4D19" w:rsidRPr="00800799">
        <w:rPr>
          <w:bCs/>
          <w:sz w:val="20"/>
          <w:szCs w:val="20"/>
        </w:rPr>
        <w:t>)</w:t>
      </w:r>
    </w:p>
    <w:p w14:paraId="000003DC" w14:textId="77777777" w:rsidR="00054D27" w:rsidRPr="00800799" w:rsidRDefault="00054D27">
      <w:pPr>
        <w:pBdr>
          <w:top w:val="nil"/>
          <w:left w:val="nil"/>
          <w:bottom w:val="nil"/>
          <w:right w:val="nil"/>
          <w:between w:val="nil"/>
        </w:pBdr>
        <w:jc w:val="both"/>
        <w:rPr>
          <w:sz w:val="20"/>
          <w:szCs w:val="20"/>
        </w:rPr>
      </w:pPr>
    </w:p>
    <w:p w14:paraId="000003DD" w14:textId="77777777" w:rsidR="00054D27" w:rsidRPr="00800799" w:rsidRDefault="00AF622A">
      <w:pPr>
        <w:pBdr>
          <w:top w:val="nil"/>
          <w:left w:val="nil"/>
          <w:bottom w:val="nil"/>
          <w:right w:val="nil"/>
          <w:between w:val="nil"/>
        </w:pBdr>
        <w:jc w:val="both"/>
        <w:rPr>
          <w:sz w:val="20"/>
          <w:szCs w:val="20"/>
        </w:rPr>
      </w:pPr>
      <w:r w:rsidRPr="00800799">
        <w:rPr>
          <w:sz w:val="20"/>
          <w:szCs w:val="20"/>
        </w:rPr>
        <w:t xml:space="preserve">V kontextu SC 3.1 bylo identifikováno následující tržní selhání: </w:t>
      </w:r>
    </w:p>
    <w:p w14:paraId="000003DE" w14:textId="77777777" w:rsidR="00054D27" w:rsidRPr="00800799" w:rsidRDefault="00AF622A">
      <w:pPr>
        <w:numPr>
          <w:ilvl w:val="0"/>
          <w:numId w:val="2"/>
        </w:numPr>
        <w:pBdr>
          <w:top w:val="nil"/>
          <w:left w:val="nil"/>
          <w:bottom w:val="nil"/>
          <w:right w:val="nil"/>
          <w:between w:val="nil"/>
        </w:pBdr>
        <w:jc w:val="both"/>
        <w:rPr>
          <w:sz w:val="20"/>
          <w:szCs w:val="20"/>
        </w:rPr>
      </w:pPr>
      <w:r w:rsidRPr="00800799">
        <w:rPr>
          <w:sz w:val="20"/>
          <w:szCs w:val="20"/>
        </w:rPr>
        <w:t xml:space="preserve">Nízká míra informovanosti o možnostech energetických úspor a využití státní podpory pro investice; </w:t>
      </w:r>
    </w:p>
    <w:p w14:paraId="000003DF" w14:textId="77777777" w:rsidR="00054D27" w:rsidRPr="00800799" w:rsidRDefault="00AF622A">
      <w:pPr>
        <w:numPr>
          <w:ilvl w:val="0"/>
          <w:numId w:val="2"/>
        </w:numPr>
        <w:pBdr>
          <w:top w:val="nil"/>
          <w:left w:val="nil"/>
          <w:bottom w:val="nil"/>
          <w:right w:val="nil"/>
          <w:between w:val="nil"/>
        </w:pBdr>
        <w:jc w:val="both"/>
        <w:rPr>
          <w:sz w:val="20"/>
          <w:szCs w:val="20"/>
        </w:rPr>
      </w:pPr>
      <w:r w:rsidRPr="00800799">
        <w:rPr>
          <w:sz w:val="20"/>
          <w:szCs w:val="20"/>
        </w:rPr>
        <w:t>Dlouhá doba návratnosti investic pro velké, střední i malé podniky;</w:t>
      </w:r>
    </w:p>
    <w:p w14:paraId="000003E0" w14:textId="77777777" w:rsidR="00054D27" w:rsidRPr="00800799" w:rsidRDefault="00AF622A">
      <w:pPr>
        <w:numPr>
          <w:ilvl w:val="0"/>
          <w:numId w:val="2"/>
        </w:numPr>
        <w:pBdr>
          <w:top w:val="nil"/>
          <w:left w:val="nil"/>
          <w:bottom w:val="nil"/>
          <w:right w:val="nil"/>
          <w:between w:val="nil"/>
        </w:pBdr>
        <w:jc w:val="both"/>
        <w:rPr>
          <w:sz w:val="20"/>
          <w:szCs w:val="20"/>
        </w:rPr>
      </w:pPr>
      <w:r w:rsidRPr="00800799">
        <w:rPr>
          <w:sz w:val="20"/>
          <w:szCs w:val="20"/>
        </w:rPr>
        <w:t xml:space="preserve">Nízká cena energií. </w:t>
      </w:r>
    </w:p>
    <w:p w14:paraId="000003E1" w14:textId="77777777" w:rsidR="00054D27" w:rsidRPr="00800799" w:rsidRDefault="00AF622A">
      <w:pPr>
        <w:pBdr>
          <w:top w:val="nil"/>
          <w:left w:val="nil"/>
          <w:bottom w:val="nil"/>
          <w:right w:val="nil"/>
          <w:between w:val="nil"/>
        </w:pBdr>
        <w:spacing w:before="200"/>
        <w:jc w:val="both"/>
        <w:rPr>
          <w:sz w:val="20"/>
          <w:szCs w:val="20"/>
        </w:rPr>
      </w:pPr>
      <w:r w:rsidRPr="00800799">
        <w:rPr>
          <w:sz w:val="20"/>
          <w:szCs w:val="20"/>
        </w:rPr>
        <w:t xml:space="preserve">Z analýzy vychází, že administrativní zátěž může představovat i větší problém než samotné tržní </w:t>
      </w:r>
      <w:proofErr w:type="gramStart"/>
      <w:r w:rsidRPr="00800799">
        <w:rPr>
          <w:sz w:val="20"/>
          <w:szCs w:val="20"/>
        </w:rPr>
        <w:t>selhání,  což</w:t>
      </w:r>
      <w:proofErr w:type="gramEnd"/>
      <w:r w:rsidRPr="00800799">
        <w:rPr>
          <w:sz w:val="20"/>
          <w:szCs w:val="20"/>
        </w:rPr>
        <w:t xml:space="preserve"> může </w:t>
      </w:r>
      <w:proofErr w:type="spellStart"/>
      <w:r w:rsidRPr="00800799">
        <w:rPr>
          <w:sz w:val="20"/>
          <w:szCs w:val="20"/>
        </w:rPr>
        <w:t>ovplyvnit</w:t>
      </w:r>
      <w:proofErr w:type="spellEnd"/>
      <w:r w:rsidRPr="00800799">
        <w:rPr>
          <w:sz w:val="20"/>
          <w:szCs w:val="20"/>
        </w:rPr>
        <w:t xml:space="preserve"> rozhodování o ucházení se o podporu v případě nové možnosti kombinace dotací s finančním nástrojem. </w:t>
      </w:r>
    </w:p>
    <w:p w14:paraId="000003E2" w14:textId="77777777" w:rsidR="00054D27" w:rsidRPr="00800799" w:rsidRDefault="00AF622A">
      <w:pPr>
        <w:pBdr>
          <w:top w:val="nil"/>
          <w:left w:val="nil"/>
          <w:bottom w:val="nil"/>
          <w:right w:val="nil"/>
          <w:between w:val="nil"/>
        </w:pBdr>
        <w:spacing w:before="200"/>
        <w:jc w:val="both"/>
        <w:rPr>
          <w:sz w:val="20"/>
          <w:szCs w:val="20"/>
        </w:rPr>
      </w:pPr>
      <w:r w:rsidRPr="00800799">
        <w:rPr>
          <w:sz w:val="20"/>
          <w:szCs w:val="20"/>
        </w:rPr>
        <w:t xml:space="preserve">Snížení administrativní zátěže je možné s využitím parametrické podpory, “kdy jsou činnosti, jež mohou být zobecněny na základě svého dopadu, podporovány fixní částkou bez ohledu na typ technologie”. U SC 3.1 se může např. jednat o instalaci </w:t>
      </w:r>
      <w:proofErr w:type="spellStart"/>
      <w:r w:rsidRPr="00800799">
        <w:rPr>
          <w:sz w:val="20"/>
          <w:szCs w:val="20"/>
        </w:rPr>
        <w:t>fotovoltaických</w:t>
      </w:r>
      <w:proofErr w:type="spellEnd"/>
      <w:r w:rsidRPr="00800799">
        <w:rPr>
          <w:sz w:val="20"/>
          <w:szCs w:val="20"/>
        </w:rPr>
        <w:t xml:space="preserve"> panelů pro snížení vlastní spotřeby energie</w:t>
      </w:r>
    </w:p>
    <w:p w14:paraId="000003E3" w14:textId="77777777" w:rsidR="00054D27" w:rsidRPr="00800799" w:rsidRDefault="00AF622A">
      <w:pPr>
        <w:pBdr>
          <w:top w:val="nil"/>
          <w:left w:val="nil"/>
          <w:bottom w:val="nil"/>
          <w:right w:val="nil"/>
          <w:between w:val="nil"/>
        </w:pBdr>
        <w:spacing w:before="200"/>
        <w:jc w:val="both"/>
        <w:rPr>
          <w:sz w:val="20"/>
          <w:szCs w:val="20"/>
        </w:rPr>
      </w:pPr>
      <w:r w:rsidRPr="00800799">
        <w:rPr>
          <w:sz w:val="20"/>
          <w:szCs w:val="20"/>
        </w:rPr>
        <w:t>Největší potenciál pro energetické úspory představují opatření prováděná velkými podniky. V kontextu MSP bude muset být kladen důraz na informační kampaň.</w:t>
      </w:r>
    </w:p>
    <w:p w14:paraId="000003E4" w14:textId="77777777" w:rsidR="00054D27" w:rsidRPr="00800799" w:rsidRDefault="00054D27">
      <w:pPr>
        <w:pBdr>
          <w:top w:val="nil"/>
          <w:left w:val="nil"/>
          <w:bottom w:val="nil"/>
          <w:right w:val="nil"/>
          <w:between w:val="nil"/>
        </w:pBdr>
        <w:jc w:val="both"/>
        <w:rPr>
          <w:sz w:val="20"/>
          <w:szCs w:val="20"/>
        </w:rPr>
      </w:pPr>
    </w:p>
    <w:p w14:paraId="000003E5" w14:textId="77777777" w:rsidR="00054D27" w:rsidRPr="00800799" w:rsidRDefault="00054D27">
      <w:pPr>
        <w:spacing w:line="240" w:lineRule="auto"/>
        <w:jc w:val="both"/>
        <w:rPr>
          <w:b/>
          <w:sz w:val="20"/>
          <w:szCs w:val="20"/>
        </w:rPr>
      </w:pPr>
    </w:p>
    <w:tbl>
      <w:tblPr>
        <w:tblStyle w:val="aff4"/>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0"/>
        <w:gridCol w:w="3630"/>
      </w:tblGrid>
      <w:tr w:rsidR="00054D27" w:rsidRPr="00800799" w14:paraId="71DB2956" w14:textId="77777777">
        <w:tc>
          <w:tcPr>
            <w:tcW w:w="5460" w:type="dxa"/>
            <w:tcBorders>
              <w:top w:val="single" w:sz="4" w:space="0" w:color="000000"/>
              <w:left w:val="single" w:sz="4" w:space="0" w:color="000000"/>
              <w:bottom w:val="single" w:sz="4" w:space="0" w:color="000000"/>
              <w:right w:val="single" w:sz="4" w:space="0" w:color="000000"/>
            </w:tcBorders>
            <w:shd w:val="clear" w:color="auto" w:fill="DBE5F1"/>
          </w:tcPr>
          <w:p w14:paraId="000003E6" w14:textId="77777777" w:rsidR="00054D27" w:rsidRPr="00800799" w:rsidRDefault="00AF622A">
            <w:pPr>
              <w:rPr>
                <w:rFonts w:ascii="Arial" w:eastAsia="Arial" w:hAnsi="Arial" w:cs="Arial"/>
                <w:b/>
                <w:sz w:val="20"/>
                <w:szCs w:val="20"/>
              </w:rPr>
            </w:pPr>
            <w:r w:rsidRPr="00800799">
              <w:rPr>
                <w:b/>
                <w:sz w:val="20"/>
                <w:szCs w:val="20"/>
              </w:rPr>
              <w:lastRenderedPageBreak/>
              <w:t xml:space="preserve">Analytická otázka </w:t>
            </w:r>
          </w:p>
        </w:tc>
        <w:tc>
          <w:tcPr>
            <w:tcW w:w="3630" w:type="dxa"/>
            <w:tcBorders>
              <w:top w:val="single" w:sz="4" w:space="0" w:color="000000"/>
              <w:left w:val="single" w:sz="4" w:space="0" w:color="000000"/>
              <w:bottom w:val="single" w:sz="4" w:space="0" w:color="000000"/>
              <w:right w:val="single" w:sz="4" w:space="0" w:color="000000"/>
            </w:tcBorders>
            <w:shd w:val="clear" w:color="auto" w:fill="DBE5F1"/>
          </w:tcPr>
          <w:p w14:paraId="000003E7" w14:textId="77777777" w:rsidR="00054D27" w:rsidRPr="00800799" w:rsidRDefault="00AF622A">
            <w:pPr>
              <w:rPr>
                <w:rFonts w:ascii="Arial" w:eastAsia="Arial" w:hAnsi="Arial" w:cs="Arial"/>
                <w:b/>
                <w:sz w:val="20"/>
                <w:szCs w:val="20"/>
              </w:rPr>
            </w:pPr>
            <w:r w:rsidRPr="00800799">
              <w:rPr>
                <w:b/>
                <w:sz w:val="20"/>
                <w:szCs w:val="20"/>
              </w:rPr>
              <w:t>Doporučená forma podpory</w:t>
            </w:r>
          </w:p>
        </w:tc>
      </w:tr>
      <w:tr w:rsidR="00054D27" w:rsidRPr="00800799" w14:paraId="7FCDB017" w14:textId="77777777">
        <w:tc>
          <w:tcPr>
            <w:tcW w:w="5460" w:type="dxa"/>
            <w:tcBorders>
              <w:top w:val="single" w:sz="4" w:space="0" w:color="000000"/>
              <w:left w:val="single" w:sz="4" w:space="0" w:color="000000"/>
              <w:bottom w:val="single" w:sz="4" w:space="0" w:color="000000"/>
              <w:right w:val="single" w:sz="4" w:space="0" w:color="000000"/>
            </w:tcBorders>
          </w:tcPr>
          <w:p w14:paraId="000003E8" w14:textId="77777777" w:rsidR="00054D27" w:rsidRPr="00800799" w:rsidRDefault="00AF622A">
            <w:pPr>
              <w:pBdr>
                <w:top w:val="nil"/>
                <w:left w:val="nil"/>
                <w:bottom w:val="nil"/>
                <w:right w:val="nil"/>
                <w:between w:val="nil"/>
              </w:pBdr>
              <w:rPr>
                <w:rFonts w:ascii="Arial" w:eastAsia="Arial" w:hAnsi="Arial" w:cs="Arial"/>
                <w:sz w:val="20"/>
                <w:szCs w:val="20"/>
              </w:rPr>
            </w:pPr>
            <w:r w:rsidRPr="00800799">
              <w:rPr>
                <w:sz w:val="20"/>
                <w:szCs w:val="20"/>
              </w:rPr>
              <w:t xml:space="preserve">Využívání obnovitelných zdrojů energie a KVET a tepelných čerpadel pro pokrytí vlastní potřeby energie budov a energetických hospodářství podnikatelských provozů </w:t>
            </w:r>
          </w:p>
        </w:tc>
        <w:tc>
          <w:tcPr>
            <w:tcW w:w="3630" w:type="dxa"/>
            <w:tcBorders>
              <w:top w:val="single" w:sz="4" w:space="0" w:color="000000"/>
              <w:left w:val="single" w:sz="4" w:space="0" w:color="000000"/>
              <w:bottom w:val="single" w:sz="4" w:space="0" w:color="000000"/>
              <w:right w:val="single" w:sz="4" w:space="0" w:color="000000"/>
            </w:tcBorders>
          </w:tcPr>
          <w:p w14:paraId="000003E9" w14:textId="77777777" w:rsidR="00054D27" w:rsidRPr="00800799" w:rsidRDefault="00AF622A">
            <w:pPr>
              <w:jc w:val="center"/>
              <w:rPr>
                <w:rFonts w:ascii="Arial" w:eastAsia="Arial" w:hAnsi="Arial" w:cs="Arial"/>
                <w:sz w:val="20"/>
                <w:szCs w:val="20"/>
              </w:rPr>
            </w:pPr>
            <w:r w:rsidRPr="00800799">
              <w:rPr>
                <w:sz w:val="20"/>
                <w:szCs w:val="20"/>
              </w:rPr>
              <w:t>Dotace 30 % + FN</w:t>
            </w:r>
          </w:p>
        </w:tc>
      </w:tr>
      <w:tr w:rsidR="00054D27" w:rsidRPr="00800799" w14:paraId="10E95945" w14:textId="77777777">
        <w:tc>
          <w:tcPr>
            <w:tcW w:w="5460" w:type="dxa"/>
            <w:tcBorders>
              <w:top w:val="single" w:sz="4" w:space="0" w:color="000000"/>
              <w:left w:val="single" w:sz="4" w:space="0" w:color="000000"/>
              <w:bottom w:val="single" w:sz="4" w:space="0" w:color="000000"/>
              <w:right w:val="single" w:sz="4" w:space="0" w:color="000000"/>
            </w:tcBorders>
          </w:tcPr>
          <w:p w14:paraId="000003EA" w14:textId="77777777" w:rsidR="00054D27" w:rsidRPr="00800799" w:rsidRDefault="00AF622A">
            <w:pPr>
              <w:rPr>
                <w:rFonts w:ascii="Arial" w:eastAsia="Arial" w:hAnsi="Arial" w:cs="Arial"/>
                <w:sz w:val="20"/>
                <w:szCs w:val="20"/>
              </w:rPr>
            </w:pPr>
            <w:r w:rsidRPr="00800799">
              <w:rPr>
                <w:sz w:val="20"/>
                <w:szCs w:val="20"/>
              </w:rPr>
              <w:t>Modernizace a rekonstrukce rozvodů elektřiny, plynu, tepla, chladu a stlačeného vzduchu v energetických hospodářstvích podniků za účelem zvýšení účinnosti</w:t>
            </w:r>
          </w:p>
        </w:tc>
        <w:tc>
          <w:tcPr>
            <w:tcW w:w="3630" w:type="dxa"/>
            <w:tcBorders>
              <w:top w:val="single" w:sz="4" w:space="0" w:color="000000"/>
              <w:left w:val="single" w:sz="4" w:space="0" w:color="000000"/>
              <w:bottom w:val="single" w:sz="4" w:space="0" w:color="000000"/>
              <w:right w:val="single" w:sz="4" w:space="0" w:color="000000"/>
            </w:tcBorders>
          </w:tcPr>
          <w:p w14:paraId="000003EB" w14:textId="77777777" w:rsidR="00054D27" w:rsidRPr="00800799" w:rsidRDefault="00AF622A">
            <w:pPr>
              <w:jc w:val="center"/>
              <w:rPr>
                <w:rFonts w:ascii="Arial" w:eastAsia="Arial" w:hAnsi="Arial" w:cs="Arial"/>
                <w:sz w:val="20"/>
                <w:szCs w:val="20"/>
              </w:rPr>
            </w:pPr>
            <w:r w:rsidRPr="00800799">
              <w:rPr>
                <w:sz w:val="20"/>
                <w:szCs w:val="20"/>
              </w:rPr>
              <w:t>Dotace 30 % + FN</w:t>
            </w:r>
          </w:p>
        </w:tc>
      </w:tr>
      <w:tr w:rsidR="00054D27" w:rsidRPr="00800799" w14:paraId="631269BB" w14:textId="77777777">
        <w:tc>
          <w:tcPr>
            <w:tcW w:w="5460" w:type="dxa"/>
            <w:tcBorders>
              <w:top w:val="single" w:sz="4" w:space="0" w:color="000000"/>
              <w:left w:val="single" w:sz="4" w:space="0" w:color="000000"/>
              <w:bottom w:val="single" w:sz="4" w:space="0" w:color="000000"/>
              <w:right w:val="single" w:sz="4" w:space="0" w:color="000000"/>
            </w:tcBorders>
          </w:tcPr>
          <w:p w14:paraId="000003EC" w14:textId="77777777" w:rsidR="00054D27" w:rsidRPr="00800799" w:rsidRDefault="00AF622A">
            <w:pPr>
              <w:rPr>
                <w:rFonts w:ascii="Arial" w:eastAsia="Arial" w:hAnsi="Arial" w:cs="Arial"/>
                <w:sz w:val="20"/>
                <w:szCs w:val="20"/>
              </w:rPr>
            </w:pPr>
            <w:r w:rsidRPr="00800799">
              <w:rPr>
                <w:sz w:val="20"/>
                <w:szCs w:val="20"/>
              </w:rPr>
              <w:t xml:space="preserve">Modernizace soustav osvětlení podnikatelských areálů </w:t>
            </w:r>
          </w:p>
        </w:tc>
        <w:tc>
          <w:tcPr>
            <w:tcW w:w="3630" w:type="dxa"/>
            <w:tcBorders>
              <w:top w:val="single" w:sz="4" w:space="0" w:color="000000"/>
              <w:left w:val="single" w:sz="4" w:space="0" w:color="000000"/>
              <w:bottom w:val="single" w:sz="4" w:space="0" w:color="000000"/>
              <w:right w:val="single" w:sz="4" w:space="0" w:color="000000"/>
            </w:tcBorders>
          </w:tcPr>
          <w:p w14:paraId="000003ED" w14:textId="77777777" w:rsidR="00054D27" w:rsidRPr="00800799" w:rsidRDefault="00AF622A">
            <w:pPr>
              <w:jc w:val="center"/>
              <w:rPr>
                <w:rFonts w:ascii="Arial" w:eastAsia="Arial" w:hAnsi="Arial" w:cs="Arial"/>
                <w:sz w:val="20"/>
                <w:szCs w:val="20"/>
              </w:rPr>
            </w:pPr>
            <w:r w:rsidRPr="00800799">
              <w:rPr>
                <w:sz w:val="20"/>
                <w:szCs w:val="20"/>
              </w:rPr>
              <w:t>Dotace 20 % + FN</w:t>
            </w:r>
          </w:p>
        </w:tc>
      </w:tr>
      <w:tr w:rsidR="00054D27" w:rsidRPr="00800799" w14:paraId="546F1794" w14:textId="77777777">
        <w:tc>
          <w:tcPr>
            <w:tcW w:w="5460" w:type="dxa"/>
            <w:tcBorders>
              <w:top w:val="single" w:sz="4" w:space="0" w:color="000000"/>
              <w:left w:val="single" w:sz="4" w:space="0" w:color="000000"/>
              <w:bottom w:val="single" w:sz="4" w:space="0" w:color="000000"/>
              <w:right w:val="single" w:sz="4" w:space="0" w:color="000000"/>
            </w:tcBorders>
          </w:tcPr>
          <w:p w14:paraId="000003EE" w14:textId="77777777" w:rsidR="00054D27" w:rsidRPr="00800799" w:rsidRDefault="00AF622A">
            <w:pPr>
              <w:rPr>
                <w:rFonts w:ascii="Arial" w:eastAsia="Arial" w:hAnsi="Arial" w:cs="Arial"/>
                <w:sz w:val="20"/>
                <w:szCs w:val="20"/>
              </w:rPr>
            </w:pPr>
            <w:r w:rsidRPr="00800799">
              <w:rPr>
                <w:sz w:val="20"/>
                <w:szCs w:val="20"/>
              </w:rPr>
              <w:t>Snižování energetické náročnosti/zvyšování energetické účinnosti výrobních a technologických procesů</w:t>
            </w:r>
          </w:p>
        </w:tc>
        <w:tc>
          <w:tcPr>
            <w:tcW w:w="3630" w:type="dxa"/>
            <w:tcBorders>
              <w:top w:val="single" w:sz="4" w:space="0" w:color="000000"/>
              <w:left w:val="single" w:sz="4" w:space="0" w:color="000000"/>
              <w:bottom w:val="single" w:sz="4" w:space="0" w:color="000000"/>
              <w:right w:val="single" w:sz="4" w:space="0" w:color="000000"/>
            </w:tcBorders>
          </w:tcPr>
          <w:p w14:paraId="000003EF" w14:textId="77777777" w:rsidR="00054D27" w:rsidRPr="00800799" w:rsidRDefault="00AF622A">
            <w:pPr>
              <w:jc w:val="center"/>
              <w:rPr>
                <w:rFonts w:ascii="Arial" w:eastAsia="Arial" w:hAnsi="Arial" w:cs="Arial"/>
                <w:sz w:val="20"/>
                <w:szCs w:val="20"/>
              </w:rPr>
            </w:pPr>
            <w:r w:rsidRPr="00800799">
              <w:rPr>
                <w:sz w:val="20"/>
                <w:szCs w:val="20"/>
              </w:rPr>
              <w:t>Dotace 30 % + FN</w:t>
            </w:r>
          </w:p>
        </w:tc>
      </w:tr>
      <w:tr w:rsidR="00054D27" w:rsidRPr="00800799" w14:paraId="44E87124" w14:textId="77777777">
        <w:tc>
          <w:tcPr>
            <w:tcW w:w="5460" w:type="dxa"/>
            <w:tcBorders>
              <w:top w:val="single" w:sz="4" w:space="0" w:color="000000"/>
              <w:left w:val="single" w:sz="4" w:space="0" w:color="000000"/>
              <w:bottom w:val="single" w:sz="4" w:space="0" w:color="000000"/>
              <w:right w:val="single" w:sz="4" w:space="0" w:color="000000"/>
            </w:tcBorders>
          </w:tcPr>
          <w:p w14:paraId="000003F0" w14:textId="77777777" w:rsidR="00054D27" w:rsidRPr="00800799" w:rsidRDefault="00AF622A">
            <w:pPr>
              <w:rPr>
                <w:rFonts w:ascii="Arial" w:eastAsia="Arial" w:hAnsi="Arial" w:cs="Arial"/>
                <w:sz w:val="20"/>
                <w:szCs w:val="20"/>
              </w:rPr>
            </w:pPr>
            <w:r w:rsidRPr="00800799">
              <w:rPr>
                <w:sz w:val="20"/>
                <w:szCs w:val="20"/>
              </w:rPr>
              <w:t>Zavádění „</w:t>
            </w:r>
            <w:proofErr w:type="spellStart"/>
            <w:r w:rsidRPr="00800799">
              <w:rPr>
                <w:sz w:val="20"/>
                <w:szCs w:val="20"/>
              </w:rPr>
              <w:t>smart</w:t>
            </w:r>
            <w:proofErr w:type="spellEnd"/>
            <w:r w:rsidRPr="00800799">
              <w:rPr>
                <w:sz w:val="20"/>
                <w:szCs w:val="20"/>
              </w:rPr>
              <w:t xml:space="preserve"> prvků“ (prvky řízení efektivního nakládání s energií např. měření a regulace), zavádění nástrojů k optimalizaci provozu na základě monitoringu hodnocení spotřeby energie včetně podpory implementace nástrojů energetického managementu</w:t>
            </w:r>
          </w:p>
        </w:tc>
        <w:tc>
          <w:tcPr>
            <w:tcW w:w="3630" w:type="dxa"/>
            <w:tcBorders>
              <w:top w:val="single" w:sz="4" w:space="0" w:color="000000"/>
              <w:left w:val="single" w:sz="4" w:space="0" w:color="000000"/>
              <w:bottom w:val="single" w:sz="4" w:space="0" w:color="000000"/>
              <w:right w:val="single" w:sz="4" w:space="0" w:color="000000"/>
            </w:tcBorders>
          </w:tcPr>
          <w:p w14:paraId="000003F1" w14:textId="77777777" w:rsidR="00054D27" w:rsidRPr="00800799" w:rsidRDefault="00AF622A">
            <w:pPr>
              <w:jc w:val="center"/>
              <w:rPr>
                <w:rFonts w:ascii="Arial" w:eastAsia="Arial" w:hAnsi="Arial" w:cs="Arial"/>
                <w:sz w:val="20"/>
                <w:szCs w:val="20"/>
              </w:rPr>
            </w:pPr>
            <w:r w:rsidRPr="00800799">
              <w:rPr>
                <w:sz w:val="20"/>
                <w:szCs w:val="20"/>
              </w:rPr>
              <w:t>Dotace 30 % + FN</w:t>
            </w:r>
          </w:p>
        </w:tc>
      </w:tr>
      <w:tr w:rsidR="00054D27" w:rsidRPr="00800799" w14:paraId="24494CE5" w14:textId="77777777">
        <w:tc>
          <w:tcPr>
            <w:tcW w:w="5460" w:type="dxa"/>
            <w:tcBorders>
              <w:top w:val="single" w:sz="4" w:space="0" w:color="000000"/>
              <w:left w:val="single" w:sz="4" w:space="0" w:color="000000"/>
              <w:bottom w:val="single" w:sz="4" w:space="0" w:color="000000"/>
              <w:right w:val="single" w:sz="4" w:space="0" w:color="000000"/>
            </w:tcBorders>
          </w:tcPr>
          <w:p w14:paraId="000003F2" w14:textId="77777777" w:rsidR="00054D27" w:rsidRPr="00800799" w:rsidRDefault="00AF622A">
            <w:pPr>
              <w:rPr>
                <w:rFonts w:ascii="Arial" w:eastAsia="Arial" w:hAnsi="Arial" w:cs="Arial"/>
                <w:sz w:val="20"/>
                <w:szCs w:val="20"/>
              </w:rPr>
            </w:pPr>
            <w:r w:rsidRPr="00800799">
              <w:rPr>
                <w:sz w:val="20"/>
                <w:szCs w:val="20"/>
              </w:rPr>
              <w:t>Podpora výstavby budov v pasivním standardu využívající OZE v kombinaci s akumulací energie</w:t>
            </w:r>
          </w:p>
        </w:tc>
        <w:tc>
          <w:tcPr>
            <w:tcW w:w="3630" w:type="dxa"/>
            <w:tcBorders>
              <w:top w:val="single" w:sz="4" w:space="0" w:color="000000"/>
              <w:left w:val="single" w:sz="4" w:space="0" w:color="000000"/>
              <w:bottom w:val="single" w:sz="4" w:space="0" w:color="000000"/>
              <w:right w:val="single" w:sz="4" w:space="0" w:color="000000"/>
            </w:tcBorders>
          </w:tcPr>
          <w:p w14:paraId="000003F3" w14:textId="77777777" w:rsidR="00054D27" w:rsidRPr="00800799" w:rsidRDefault="00AF622A">
            <w:pPr>
              <w:jc w:val="center"/>
              <w:rPr>
                <w:rFonts w:ascii="Arial" w:eastAsia="Arial" w:hAnsi="Arial" w:cs="Arial"/>
                <w:sz w:val="20"/>
                <w:szCs w:val="20"/>
              </w:rPr>
            </w:pPr>
            <w:r w:rsidRPr="00800799">
              <w:rPr>
                <w:sz w:val="20"/>
                <w:szCs w:val="20"/>
              </w:rPr>
              <w:t>Dotace 30 % + FN</w:t>
            </w:r>
          </w:p>
        </w:tc>
      </w:tr>
      <w:tr w:rsidR="00054D27" w:rsidRPr="00800799" w14:paraId="2E9C7697" w14:textId="77777777">
        <w:tc>
          <w:tcPr>
            <w:tcW w:w="5460" w:type="dxa"/>
            <w:tcBorders>
              <w:top w:val="single" w:sz="4" w:space="0" w:color="000000"/>
              <w:left w:val="single" w:sz="4" w:space="0" w:color="000000"/>
              <w:bottom w:val="single" w:sz="4" w:space="0" w:color="000000"/>
              <w:right w:val="single" w:sz="4" w:space="0" w:color="000000"/>
            </w:tcBorders>
          </w:tcPr>
          <w:p w14:paraId="000003F4" w14:textId="77777777" w:rsidR="00054D27" w:rsidRPr="00800799" w:rsidRDefault="00AF622A">
            <w:pPr>
              <w:rPr>
                <w:rFonts w:ascii="Arial" w:eastAsia="Arial" w:hAnsi="Arial" w:cs="Arial"/>
                <w:sz w:val="20"/>
                <w:szCs w:val="20"/>
              </w:rPr>
            </w:pPr>
            <w:r w:rsidRPr="00800799">
              <w:rPr>
                <w:sz w:val="20"/>
                <w:szCs w:val="20"/>
              </w:rPr>
              <w:t>Podpora aktivit firem energetických služeb (</w:t>
            </w:r>
            <w:proofErr w:type="spellStart"/>
            <w:r w:rsidRPr="00800799">
              <w:rPr>
                <w:sz w:val="20"/>
                <w:szCs w:val="20"/>
              </w:rPr>
              <w:t>Energy</w:t>
            </w:r>
            <w:proofErr w:type="spellEnd"/>
            <w:r w:rsidRPr="00800799">
              <w:rPr>
                <w:sz w:val="20"/>
                <w:szCs w:val="20"/>
              </w:rPr>
              <w:t xml:space="preserve"> </w:t>
            </w:r>
            <w:proofErr w:type="spellStart"/>
            <w:r w:rsidRPr="00800799">
              <w:rPr>
                <w:sz w:val="20"/>
                <w:szCs w:val="20"/>
              </w:rPr>
              <w:t>Services</w:t>
            </w:r>
            <w:proofErr w:type="spellEnd"/>
            <w:r w:rsidRPr="00800799">
              <w:rPr>
                <w:sz w:val="20"/>
                <w:szCs w:val="20"/>
              </w:rPr>
              <w:t xml:space="preserve"> </w:t>
            </w:r>
            <w:proofErr w:type="spellStart"/>
            <w:r w:rsidRPr="00800799">
              <w:rPr>
                <w:sz w:val="20"/>
                <w:szCs w:val="20"/>
              </w:rPr>
              <w:t>Companies</w:t>
            </w:r>
            <w:proofErr w:type="spellEnd"/>
            <w:r w:rsidRPr="00800799">
              <w:rPr>
                <w:sz w:val="20"/>
                <w:szCs w:val="20"/>
              </w:rPr>
              <w:t xml:space="preserve">, ESCO) pro projekty realizované skrze </w:t>
            </w:r>
            <w:proofErr w:type="spellStart"/>
            <w:r w:rsidRPr="00800799">
              <w:rPr>
                <w:sz w:val="20"/>
                <w:szCs w:val="20"/>
              </w:rPr>
              <w:t>Energy</w:t>
            </w:r>
            <w:proofErr w:type="spellEnd"/>
            <w:r w:rsidRPr="00800799">
              <w:rPr>
                <w:sz w:val="20"/>
                <w:szCs w:val="20"/>
              </w:rPr>
              <w:t xml:space="preserve"> Performance </w:t>
            </w:r>
            <w:proofErr w:type="spellStart"/>
            <w:r w:rsidRPr="00800799">
              <w:rPr>
                <w:sz w:val="20"/>
                <w:szCs w:val="20"/>
              </w:rPr>
              <w:t>Contracting</w:t>
            </w:r>
            <w:proofErr w:type="spellEnd"/>
            <w:r w:rsidRPr="00800799">
              <w:rPr>
                <w:sz w:val="20"/>
                <w:szCs w:val="20"/>
              </w:rPr>
              <w:t xml:space="preserve"> (EPC) a pro projekty využívající metodu Performance Design and </w:t>
            </w:r>
            <w:proofErr w:type="spellStart"/>
            <w:r w:rsidRPr="00800799">
              <w:rPr>
                <w:sz w:val="20"/>
                <w:szCs w:val="20"/>
              </w:rPr>
              <w:t>Build</w:t>
            </w:r>
            <w:proofErr w:type="spellEnd"/>
            <w:r w:rsidRPr="00800799">
              <w:rPr>
                <w:sz w:val="20"/>
                <w:szCs w:val="20"/>
              </w:rPr>
              <w:t xml:space="preserve"> (PD&amp;B) garantující provozní parametry </w:t>
            </w:r>
            <w:proofErr w:type="spellStart"/>
            <w:r w:rsidRPr="00800799">
              <w:rPr>
                <w:sz w:val="20"/>
                <w:szCs w:val="20"/>
              </w:rPr>
              <w:t>vč</w:t>
            </w:r>
            <w:proofErr w:type="spellEnd"/>
            <w:r w:rsidRPr="00800799">
              <w:rPr>
                <w:sz w:val="20"/>
                <w:szCs w:val="20"/>
              </w:rPr>
              <w:t xml:space="preserve">, dosažené </w:t>
            </w:r>
            <w:sdt>
              <w:sdtPr>
                <w:tag w:val="goog_rdk_0"/>
                <w:id w:val="1445890731"/>
              </w:sdtPr>
              <w:sdtEndPr/>
              <w:sdtContent/>
            </w:sdt>
            <w:r w:rsidRPr="00EA0A6C">
              <w:rPr>
                <w:sz w:val="20"/>
                <w:szCs w:val="20"/>
              </w:rPr>
              <w:t>úspory en</w:t>
            </w:r>
            <w:sdt>
              <w:sdtPr>
                <w:tag w:val="goog_rdk_1"/>
                <w:id w:val="1975874461"/>
              </w:sdtPr>
              <w:sdtEndPr/>
              <w:sdtContent/>
            </w:sdt>
            <w:r w:rsidRPr="00EA0A6C">
              <w:rPr>
                <w:sz w:val="20"/>
                <w:szCs w:val="20"/>
              </w:rPr>
              <w:t>ergie po dobu udržitelnosti projektu</w:t>
            </w:r>
          </w:p>
        </w:tc>
        <w:tc>
          <w:tcPr>
            <w:tcW w:w="3630" w:type="dxa"/>
            <w:tcBorders>
              <w:top w:val="single" w:sz="4" w:space="0" w:color="000000"/>
              <w:left w:val="single" w:sz="4" w:space="0" w:color="000000"/>
              <w:bottom w:val="single" w:sz="4" w:space="0" w:color="000000"/>
              <w:right w:val="single" w:sz="4" w:space="0" w:color="000000"/>
            </w:tcBorders>
          </w:tcPr>
          <w:p w14:paraId="000003F5" w14:textId="77777777" w:rsidR="00054D27" w:rsidRPr="00C77291" w:rsidRDefault="00AF622A">
            <w:pPr>
              <w:jc w:val="center"/>
              <w:rPr>
                <w:rFonts w:ascii="Arial" w:eastAsia="Arial" w:hAnsi="Arial" w:cs="Arial"/>
                <w:sz w:val="20"/>
                <w:szCs w:val="20"/>
              </w:rPr>
            </w:pPr>
            <w:r w:rsidRPr="00C77291">
              <w:rPr>
                <w:rFonts w:ascii="Arial" w:eastAsia="Arial" w:hAnsi="Arial" w:cs="Arial"/>
                <w:sz w:val="20"/>
                <w:szCs w:val="20"/>
              </w:rPr>
              <w:t xml:space="preserve">FN + technická pomoc </w:t>
            </w:r>
          </w:p>
          <w:p w14:paraId="000003F6" w14:textId="77777777" w:rsidR="00054D27" w:rsidRPr="00952825" w:rsidRDefault="00AF622A">
            <w:pPr>
              <w:jc w:val="center"/>
              <w:rPr>
                <w:rFonts w:ascii="Arial" w:eastAsia="Arial" w:hAnsi="Arial" w:cs="Arial"/>
                <w:sz w:val="20"/>
                <w:szCs w:val="20"/>
              </w:rPr>
            </w:pPr>
            <w:r w:rsidRPr="00952825">
              <w:rPr>
                <w:rFonts w:ascii="Arial" w:eastAsia="Arial" w:hAnsi="Arial" w:cs="Arial"/>
                <w:sz w:val="20"/>
                <w:szCs w:val="20"/>
              </w:rPr>
              <w:t>Čistý FN</w:t>
            </w:r>
          </w:p>
        </w:tc>
      </w:tr>
    </w:tbl>
    <w:p w14:paraId="000003F7" w14:textId="77777777" w:rsidR="00054D27" w:rsidRPr="00800799" w:rsidRDefault="00054D27">
      <w:pPr>
        <w:jc w:val="both"/>
        <w:rPr>
          <w:b/>
          <w:sz w:val="20"/>
          <w:szCs w:val="20"/>
          <w:highlight w:val="yellow"/>
        </w:rPr>
      </w:pPr>
    </w:p>
    <w:p w14:paraId="723C17C3" w14:textId="77777777" w:rsidR="000C56F0" w:rsidRPr="00800799" w:rsidRDefault="000C56F0" w:rsidP="000C56F0">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5824041B" w14:textId="68259E4A" w:rsidR="0061511A" w:rsidRPr="00800799" w:rsidRDefault="0061511A" w:rsidP="0061511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sz w:val="20"/>
          <w:szCs w:val="20"/>
        </w:rPr>
        <w:t>Kombinace finančního nástroje a dotace je preferovanou variantou formy podpory</w:t>
      </w:r>
      <w:r w:rsidR="001B238D" w:rsidRPr="00800799">
        <w:rPr>
          <w:sz w:val="20"/>
          <w:szCs w:val="20"/>
        </w:rPr>
        <w:t xml:space="preserve"> pro úspory energie</w:t>
      </w:r>
      <w:r w:rsidRPr="00800799">
        <w:rPr>
          <w:sz w:val="20"/>
          <w:szCs w:val="20"/>
        </w:rPr>
        <w:t>. Co se týče procentního podílu dotace, bude v případě podpory podle blokové výjimky záležet zejména na výši hrubého ekvivalentu podpory (HEP) finančního nástroje a maximální intenzity. Pouze jejich rozdíl bude moci být poskytnut ve formě dotace. Tato oblast bude detailněji zkoumána během tvorby modelového návrhu finančního nástroje. Obecně je z důvodu nižší HEP pro kombinaci s dotací vhodnější záruční forma podpory. Není v tomto kontextu zřejmé, proč je a priori navrhována nižší míra dotace v případě aktivity Modernizace soustav osvětlení. Tato aktivita je typicky v projektu obsažena společně s dalšími aktivitami a rozdílná výše dotace by způsobila poměrně značné komplikace při proplácení dotace konečnému příjemci.</w:t>
      </w:r>
    </w:p>
    <w:p w14:paraId="35A5D465" w14:textId="54D84711" w:rsidR="0061511A" w:rsidRPr="00800799" w:rsidRDefault="0061511A" w:rsidP="0061511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sz w:val="20"/>
          <w:szCs w:val="20"/>
        </w:rPr>
        <w:t>Co se týče EPC, kombinace s dotací OP TAK a OP ŽP může být poměrně komplikovaná a mohla by způsobit snížení výše aktuálně poskytované dotační podpory na projekty EPC. Finanční nástroj pro EPC je proto méně pravděpodobný, byť se jím budeme v návrhové části projektu také zabývat.</w:t>
      </w:r>
    </w:p>
    <w:p w14:paraId="000003F8" w14:textId="77777777" w:rsidR="00054D27" w:rsidRPr="00800799" w:rsidRDefault="00054D27">
      <w:pPr>
        <w:jc w:val="both"/>
        <w:rPr>
          <w:b/>
          <w:sz w:val="20"/>
          <w:szCs w:val="20"/>
          <w:highlight w:val="yellow"/>
        </w:rPr>
      </w:pPr>
    </w:p>
    <w:p w14:paraId="000003F9" w14:textId="77777777" w:rsidR="00054D27" w:rsidRPr="00800799" w:rsidRDefault="00054D27">
      <w:pPr>
        <w:spacing w:line="240" w:lineRule="auto"/>
        <w:rPr>
          <w:b/>
          <w:sz w:val="20"/>
          <w:szCs w:val="20"/>
        </w:rPr>
      </w:pPr>
    </w:p>
    <w:p w14:paraId="000003FA" w14:textId="1FC0FE13" w:rsidR="00054D27" w:rsidRPr="00800799" w:rsidRDefault="00AF622A">
      <w:pPr>
        <w:numPr>
          <w:ilvl w:val="0"/>
          <w:numId w:val="7"/>
        </w:numPr>
        <w:spacing w:line="240" w:lineRule="auto"/>
        <w:rPr>
          <w:b/>
          <w:sz w:val="20"/>
          <w:szCs w:val="20"/>
        </w:rPr>
      </w:pPr>
      <w:r w:rsidRPr="00800799">
        <w:rPr>
          <w:b/>
          <w:sz w:val="20"/>
          <w:szCs w:val="20"/>
        </w:rPr>
        <w:t xml:space="preserve">Přehled doporučení pro využití forem podpory ve SC 3.4 čistá mobilita </w:t>
      </w:r>
      <w:r w:rsidR="00FB4D19" w:rsidRPr="00800799">
        <w:rPr>
          <w:bCs/>
          <w:sz w:val="20"/>
          <w:szCs w:val="20"/>
        </w:rPr>
        <w:t xml:space="preserve">(nyní SC 4.4, pozn. </w:t>
      </w:r>
      <w:proofErr w:type="spellStart"/>
      <w:r w:rsidR="00FB4D19" w:rsidRPr="00800799">
        <w:rPr>
          <w:bCs/>
          <w:sz w:val="20"/>
          <w:szCs w:val="20"/>
        </w:rPr>
        <w:t>PwC</w:t>
      </w:r>
      <w:proofErr w:type="spellEnd"/>
      <w:r w:rsidR="00FB4D19" w:rsidRPr="00800799">
        <w:rPr>
          <w:bCs/>
          <w:sz w:val="20"/>
          <w:szCs w:val="20"/>
        </w:rPr>
        <w:t>)</w:t>
      </w:r>
    </w:p>
    <w:p w14:paraId="000003FB" w14:textId="77777777" w:rsidR="00054D27" w:rsidRPr="00800799" w:rsidRDefault="00054D27">
      <w:pPr>
        <w:spacing w:line="240" w:lineRule="auto"/>
        <w:rPr>
          <w:b/>
          <w:sz w:val="20"/>
          <w:szCs w:val="20"/>
        </w:rPr>
      </w:pPr>
    </w:p>
    <w:p w14:paraId="000003FC" w14:textId="77777777" w:rsidR="00054D27" w:rsidRPr="00800799" w:rsidRDefault="00AF622A">
      <w:pPr>
        <w:spacing w:line="240" w:lineRule="auto"/>
        <w:rPr>
          <w:sz w:val="20"/>
          <w:szCs w:val="20"/>
        </w:rPr>
      </w:pPr>
      <w:r w:rsidRPr="00800799">
        <w:rPr>
          <w:sz w:val="20"/>
          <w:szCs w:val="20"/>
        </w:rPr>
        <w:t xml:space="preserve">V kontextu SC 3.4 bylo identifikováno následující tržní selhání:  </w:t>
      </w:r>
    </w:p>
    <w:p w14:paraId="000003FD" w14:textId="77777777" w:rsidR="00054D27" w:rsidRPr="00800799" w:rsidRDefault="00AF622A">
      <w:pPr>
        <w:numPr>
          <w:ilvl w:val="0"/>
          <w:numId w:val="2"/>
        </w:numPr>
        <w:pBdr>
          <w:top w:val="nil"/>
          <w:left w:val="nil"/>
          <w:bottom w:val="nil"/>
          <w:right w:val="nil"/>
          <w:between w:val="nil"/>
        </w:pBdr>
        <w:jc w:val="both"/>
        <w:rPr>
          <w:sz w:val="20"/>
          <w:szCs w:val="20"/>
        </w:rPr>
      </w:pPr>
      <w:r w:rsidRPr="00800799">
        <w:rPr>
          <w:sz w:val="20"/>
          <w:szCs w:val="20"/>
        </w:rPr>
        <w:t xml:space="preserve">Vysoká pořizovací cena elektromobilu; </w:t>
      </w:r>
    </w:p>
    <w:p w14:paraId="000003FE" w14:textId="77777777" w:rsidR="00054D27" w:rsidRPr="00800799" w:rsidRDefault="00AF622A">
      <w:pPr>
        <w:numPr>
          <w:ilvl w:val="0"/>
          <w:numId w:val="2"/>
        </w:numPr>
        <w:pBdr>
          <w:top w:val="nil"/>
          <w:left w:val="nil"/>
          <w:bottom w:val="nil"/>
          <w:right w:val="nil"/>
          <w:between w:val="nil"/>
        </w:pBdr>
        <w:jc w:val="both"/>
        <w:rPr>
          <w:sz w:val="20"/>
          <w:szCs w:val="20"/>
        </w:rPr>
      </w:pPr>
      <w:r w:rsidRPr="00800799">
        <w:rPr>
          <w:sz w:val="20"/>
          <w:szCs w:val="20"/>
        </w:rPr>
        <w:t xml:space="preserve">Nedostatečná nabíjecí a plnící infrastruktura; </w:t>
      </w:r>
    </w:p>
    <w:p w14:paraId="000003FF" w14:textId="77777777" w:rsidR="00054D27" w:rsidRPr="00800799" w:rsidRDefault="00AF622A">
      <w:pPr>
        <w:numPr>
          <w:ilvl w:val="0"/>
          <w:numId w:val="2"/>
        </w:numPr>
        <w:pBdr>
          <w:top w:val="nil"/>
          <w:left w:val="nil"/>
          <w:bottom w:val="nil"/>
          <w:right w:val="nil"/>
          <w:between w:val="nil"/>
        </w:pBdr>
        <w:jc w:val="both"/>
        <w:rPr>
          <w:sz w:val="20"/>
          <w:szCs w:val="20"/>
        </w:rPr>
      </w:pPr>
      <w:r w:rsidRPr="00800799">
        <w:rPr>
          <w:sz w:val="20"/>
          <w:szCs w:val="20"/>
        </w:rPr>
        <w:t xml:space="preserve">Konzervativní přístup nakupujících; </w:t>
      </w:r>
    </w:p>
    <w:p w14:paraId="00000400" w14:textId="77777777" w:rsidR="00054D27" w:rsidRPr="00800799" w:rsidRDefault="00AF622A">
      <w:pPr>
        <w:numPr>
          <w:ilvl w:val="0"/>
          <w:numId w:val="2"/>
        </w:numPr>
        <w:pBdr>
          <w:top w:val="nil"/>
          <w:left w:val="nil"/>
          <w:bottom w:val="nil"/>
          <w:right w:val="nil"/>
          <w:between w:val="nil"/>
        </w:pBdr>
        <w:jc w:val="both"/>
        <w:rPr>
          <w:sz w:val="20"/>
          <w:szCs w:val="20"/>
        </w:rPr>
      </w:pPr>
      <w:r w:rsidRPr="00800799">
        <w:rPr>
          <w:sz w:val="20"/>
          <w:szCs w:val="20"/>
        </w:rPr>
        <w:lastRenderedPageBreak/>
        <w:t>Omezení při využívání vozidel na alternativní paliva.</w:t>
      </w:r>
    </w:p>
    <w:p w14:paraId="00000401" w14:textId="77777777" w:rsidR="00054D27" w:rsidRPr="00800799" w:rsidRDefault="00AF622A">
      <w:pPr>
        <w:spacing w:before="200" w:after="200"/>
        <w:jc w:val="both"/>
        <w:rPr>
          <w:sz w:val="20"/>
          <w:szCs w:val="20"/>
        </w:rPr>
      </w:pPr>
      <w:r w:rsidRPr="00800799">
        <w:rPr>
          <w:sz w:val="20"/>
          <w:szCs w:val="20"/>
        </w:rPr>
        <w:t xml:space="preserve">Z analýzy vychází, že administrativní zátěž může představovat i větší problém než samotné tržní </w:t>
      </w:r>
      <w:proofErr w:type="gramStart"/>
      <w:r w:rsidRPr="00800799">
        <w:rPr>
          <w:sz w:val="20"/>
          <w:szCs w:val="20"/>
        </w:rPr>
        <w:t>selhání,  což</w:t>
      </w:r>
      <w:proofErr w:type="gramEnd"/>
      <w:r w:rsidRPr="00800799">
        <w:rPr>
          <w:sz w:val="20"/>
          <w:szCs w:val="20"/>
        </w:rPr>
        <w:t xml:space="preserve"> může </w:t>
      </w:r>
      <w:proofErr w:type="spellStart"/>
      <w:r w:rsidRPr="00800799">
        <w:rPr>
          <w:sz w:val="20"/>
          <w:szCs w:val="20"/>
        </w:rPr>
        <w:t>ovplyvnit</w:t>
      </w:r>
      <w:proofErr w:type="spellEnd"/>
      <w:r w:rsidRPr="00800799">
        <w:rPr>
          <w:sz w:val="20"/>
          <w:szCs w:val="20"/>
        </w:rPr>
        <w:t xml:space="preserve"> rozhodování o ucházení se o podporu v případě nové možnosti kombinace dotací s finančním nástrojem.</w:t>
      </w:r>
    </w:p>
    <w:p w14:paraId="00000402" w14:textId="77777777" w:rsidR="00054D27" w:rsidRPr="00800799" w:rsidRDefault="00AF622A">
      <w:pPr>
        <w:spacing w:line="240" w:lineRule="auto"/>
        <w:rPr>
          <w:sz w:val="20"/>
          <w:szCs w:val="20"/>
        </w:rPr>
      </w:pPr>
      <w:r w:rsidRPr="00800799">
        <w:rPr>
          <w:sz w:val="20"/>
          <w:szCs w:val="20"/>
        </w:rPr>
        <w:t>Snížení administrativní zátěže je možné s využitím parametrické podpory, “kdy jsou činnosti, jež mohou být zobecněny na základě svého dopadu, podporovány fixní částkou bez ohledu na typ technologie”. U SC 3.4 se může např. jednat o nákup vozidel na alternativní pohon.</w:t>
      </w:r>
    </w:p>
    <w:p w14:paraId="00000403" w14:textId="77777777" w:rsidR="00054D27" w:rsidRPr="00800799" w:rsidRDefault="00AF622A">
      <w:pPr>
        <w:spacing w:before="200"/>
        <w:jc w:val="both"/>
        <w:rPr>
          <w:sz w:val="20"/>
          <w:szCs w:val="20"/>
        </w:rPr>
      </w:pPr>
      <w:r w:rsidRPr="00800799">
        <w:rPr>
          <w:sz w:val="20"/>
          <w:szCs w:val="20"/>
        </w:rPr>
        <w:t xml:space="preserve">Obecně bude muset být kladen důraz na informační kampaň. Nejnižší míru podpory v ČR vyžadují CNG vozidla, naopak zásadní je dotační podpora pro rozvoj vozidel využívajících vodík kvůli jejich vysoké ceně. </w:t>
      </w:r>
    </w:p>
    <w:p w14:paraId="00000404" w14:textId="77777777" w:rsidR="00054D27" w:rsidRPr="00800799" w:rsidRDefault="00054D27">
      <w:pPr>
        <w:spacing w:line="240" w:lineRule="auto"/>
        <w:jc w:val="both"/>
        <w:rPr>
          <w:b/>
          <w:sz w:val="20"/>
          <w:szCs w:val="20"/>
        </w:rPr>
      </w:pPr>
    </w:p>
    <w:tbl>
      <w:tblPr>
        <w:tblStyle w:val="aff5"/>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0"/>
        <w:gridCol w:w="3630"/>
      </w:tblGrid>
      <w:tr w:rsidR="00054D27" w:rsidRPr="00800799" w14:paraId="6B74312D" w14:textId="77777777">
        <w:tc>
          <w:tcPr>
            <w:tcW w:w="5460" w:type="dxa"/>
            <w:tcBorders>
              <w:top w:val="single" w:sz="4" w:space="0" w:color="000000"/>
              <w:left w:val="single" w:sz="4" w:space="0" w:color="000000"/>
              <w:bottom w:val="single" w:sz="4" w:space="0" w:color="000000"/>
              <w:right w:val="single" w:sz="4" w:space="0" w:color="000000"/>
            </w:tcBorders>
            <w:shd w:val="clear" w:color="auto" w:fill="DBE5F1"/>
          </w:tcPr>
          <w:p w14:paraId="00000405" w14:textId="77777777" w:rsidR="00054D27" w:rsidRPr="00800799" w:rsidRDefault="00AF622A">
            <w:pPr>
              <w:rPr>
                <w:rFonts w:ascii="Arial" w:eastAsia="Arial" w:hAnsi="Arial" w:cs="Arial"/>
                <w:b/>
                <w:sz w:val="20"/>
                <w:szCs w:val="20"/>
              </w:rPr>
            </w:pPr>
            <w:r w:rsidRPr="00800799">
              <w:rPr>
                <w:b/>
                <w:sz w:val="20"/>
                <w:szCs w:val="20"/>
              </w:rPr>
              <w:t xml:space="preserve">Analytická otázka </w:t>
            </w:r>
          </w:p>
        </w:tc>
        <w:tc>
          <w:tcPr>
            <w:tcW w:w="3630" w:type="dxa"/>
            <w:tcBorders>
              <w:top w:val="single" w:sz="4" w:space="0" w:color="000000"/>
              <w:left w:val="single" w:sz="4" w:space="0" w:color="000000"/>
              <w:bottom w:val="single" w:sz="4" w:space="0" w:color="000000"/>
              <w:right w:val="single" w:sz="4" w:space="0" w:color="000000"/>
            </w:tcBorders>
            <w:shd w:val="clear" w:color="auto" w:fill="DBE5F1"/>
          </w:tcPr>
          <w:p w14:paraId="00000406" w14:textId="77777777" w:rsidR="00054D27" w:rsidRPr="00800799" w:rsidRDefault="00AF622A">
            <w:pPr>
              <w:rPr>
                <w:rFonts w:ascii="Arial" w:eastAsia="Arial" w:hAnsi="Arial" w:cs="Arial"/>
                <w:b/>
                <w:sz w:val="20"/>
                <w:szCs w:val="20"/>
              </w:rPr>
            </w:pPr>
            <w:r w:rsidRPr="00800799">
              <w:rPr>
                <w:b/>
                <w:sz w:val="20"/>
                <w:szCs w:val="20"/>
              </w:rPr>
              <w:t xml:space="preserve">Doporučená forma </w:t>
            </w:r>
            <w:sdt>
              <w:sdtPr>
                <w:tag w:val="goog_rdk_2"/>
                <w:id w:val="-2030256179"/>
              </w:sdtPr>
              <w:sdtEndPr/>
              <w:sdtContent/>
            </w:sdt>
            <w:r w:rsidRPr="00EA0A6C">
              <w:rPr>
                <w:b/>
                <w:sz w:val="20"/>
                <w:szCs w:val="20"/>
              </w:rPr>
              <w:t>podpory</w:t>
            </w:r>
          </w:p>
        </w:tc>
      </w:tr>
      <w:tr w:rsidR="00054D27" w:rsidRPr="00800799" w14:paraId="638F7A2A" w14:textId="77777777">
        <w:tc>
          <w:tcPr>
            <w:tcW w:w="5460" w:type="dxa"/>
            <w:tcBorders>
              <w:top w:val="single" w:sz="4" w:space="0" w:color="000000"/>
              <w:left w:val="single" w:sz="4" w:space="0" w:color="000000"/>
              <w:bottom w:val="single" w:sz="4" w:space="0" w:color="000000"/>
              <w:right w:val="single" w:sz="4" w:space="0" w:color="000000"/>
            </w:tcBorders>
          </w:tcPr>
          <w:p w14:paraId="00000407" w14:textId="77777777" w:rsidR="00054D27" w:rsidRPr="00800799" w:rsidRDefault="00AF622A">
            <w:pPr>
              <w:rPr>
                <w:rFonts w:ascii="Arial" w:eastAsia="Arial" w:hAnsi="Arial" w:cs="Arial"/>
                <w:sz w:val="20"/>
                <w:szCs w:val="20"/>
              </w:rPr>
            </w:pPr>
            <w:r w:rsidRPr="00800799">
              <w:rPr>
                <w:sz w:val="20"/>
                <w:szCs w:val="20"/>
              </w:rPr>
              <w:t xml:space="preserve">Nákup vozidel na alternativní pohon (elektřina, vodík, CNG, LNG a </w:t>
            </w:r>
            <w:proofErr w:type="spellStart"/>
            <w:r w:rsidRPr="00800799">
              <w:rPr>
                <w:sz w:val="20"/>
                <w:szCs w:val="20"/>
              </w:rPr>
              <w:t>plug</w:t>
            </w:r>
            <w:proofErr w:type="spellEnd"/>
            <w:r w:rsidRPr="00800799">
              <w:rPr>
                <w:sz w:val="20"/>
                <w:szCs w:val="20"/>
              </w:rPr>
              <w:t>-in hybridy) v podnicích, přičemž se jedná o tyto podporované kategorie silničních vozidel – L (</w:t>
            </w:r>
            <w:proofErr w:type="gramStart"/>
            <w:r w:rsidRPr="00800799">
              <w:rPr>
                <w:sz w:val="20"/>
                <w:szCs w:val="20"/>
              </w:rPr>
              <w:t>dvou - čtyřkolová</w:t>
            </w:r>
            <w:proofErr w:type="gramEnd"/>
            <w:r w:rsidRPr="00800799">
              <w:rPr>
                <w:sz w:val="20"/>
                <w:szCs w:val="20"/>
              </w:rPr>
              <w:t xml:space="preserve"> vozidla), M1 (osobní) </w:t>
            </w:r>
          </w:p>
        </w:tc>
        <w:tc>
          <w:tcPr>
            <w:tcW w:w="3630" w:type="dxa"/>
            <w:tcBorders>
              <w:top w:val="single" w:sz="4" w:space="0" w:color="000000"/>
              <w:left w:val="single" w:sz="4" w:space="0" w:color="000000"/>
              <w:bottom w:val="single" w:sz="4" w:space="0" w:color="000000"/>
              <w:right w:val="single" w:sz="4" w:space="0" w:color="000000"/>
            </w:tcBorders>
          </w:tcPr>
          <w:p w14:paraId="00000408" w14:textId="77777777" w:rsidR="00054D27" w:rsidRPr="00800799" w:rsidRDefault="00AF622A">
            <w:pPr>
              <w:jc w:val="center"/>
              <w:rPr>
                <w:rFonts w:ascii="Arial" w:eastAsia="Arial" w:hAnsi="Arial" w:cs="Arial"/>
                <w:sz w:val="20"/>
                <w:szCs w:val="20"/>
              </w:rPr>
            </w:pPr>
            <w:r w:rsidRPr="00800799">
              <w:rPr>
                <w:sz w:val="20"/>
                <w:szCs w:val="20"/>
              </w:rPr>
              <w:t xml:space="preserve">Dotace 30 % + FN </w:t>
            </w:r>
          </w:p>
          <w:p w14:paraId="00000409" w14:textId="77777777" w:rsidR="00054D27" w:rsidRPr="00800799" w:rsidRDefault="00AF622A">
            <w:pPr>
              <w:jc w:val="center"/>
              <w:rPr>
                <w:rFonts w:ascii="Arial" w:eastAsia="Arial" w:hAnsi="Arial" w:cs="Arial"/>
                <w:sz w:val="20"/>
                <w:szCs w:val="20"/>
              </w:rPr>
            </w:pPr>
            <w:r w:rsidRPr="00800799">
              <w:rPr>
                <w:sz w:val="20"/>
                <w:szCs w:val="20"/>
              </w:rPr>
              <w:t>FN + Technická pomoc</w:t>
            </w:r>
          </w:p>
        </w:tc>
      </w:tr>
      <w:tr w:rsidR="00054D27" w:rsidRPr="00800799" w14:paraId="124E8FFA" w14:textId="77777777">
        <w:tc>
          <w:tcPr>
            <w:tcW w:w="5460" w:type="dxa"/>
            <w:tcBorders>
              <w:top w:val="single" w:sz="4" w:space="0" w:color="000000"/>
              <w:left w:val="single" w:sz="4" w:space="0" w:color="000000"/>
              <w:bottom w:val="single" w:sz="4" w:space="0" w:color="000000"/>
              <w:right w:val="single" w:sz="4" w:space="0" w:color="000000"/>
            </w:tcBorders>
          </w:tcPr>
          <w:p w14:paraId="0000040A" w14:textId="77777777" w:rsidR="00054D27" w:rsidRPr="00800799" w:rsidRDefault="00AF622A">
            <w:pPr>
              <w:rPr>
                <w:rFonts w:ascii="Arial" w:eastAsia="Arial" w:hAnsi="Arial" w:cs="Arial"/>
                <w:sz w:val="20"/>
                <w:szCs w:val="20"/>
              </w:rPr>
            </w:pPr>
            <w:r w:rsidRPr="00800799">
              <w:rPr>
                <w:sz w:val="20"/>
                <w:szCs w:val="20"/>
              </w:rPr>
              <w:t xml:space="preserve">Nákup vozidel na alternativní pohon (elektřina, vodík, CNG, LNG a </w:t>
            </w:r>
            <w:proofErr w:type="spellStart"/>
            <w:r w:rsidRPr="00800799">
              <w:rPr>
                <w:sz w:val="20"/>
                <w:szCs w:val="20"/>
              </w:rPr>
              <w:t>plug</w:t>
            </w:r>
            <w:proofErr w:type="spellEnd"/>
            <w:r w:rsidRPr="00800799">
              <w:rPr>
                <w:sz w:val="20"/>
                <w:szCs w:val="20"/>
              </w:rPr>
              <w:t>-in hybridy) v podnicích, přičemž se jedná o tyto podporované kategorie silničních vozidel M2 a M3 (minibus/bus), N1 a N2 a N3 (nákladní)</w:t>
            </w:r>
          </w:p>
        </w:tc>
        <w:tc>
          <w:tcPr>
            <w:tcW w:w="3630" w:type="dxa"/>
            <w:tcBorders>
              <w:top w:val="single" w:sz="4" w:space="0" w:color="000000"/>
              <w:left w:val="single" w:sz="4" w:space="0" w:color="000000"/>
              <w:bottom w:val="single" w:sz="4" w:space="0" w:color="000000"/>
              <w:right w:val="single" w:sz="4" w:space="0" w:color="000000"/>
            </w:tcBorders>
          </w:tcPr>
          <w:p w14:paraId="0000040B" w14:textId="77777777" w:rsidR="00054D27" w:rsidRPr="00800799" w:rsidRDefault="00AF622A">
            <w:pPr>
              <w:jc w:val="center"/>
              <w:rPr>
                <w:rFonts w:ascii="Arial" w:eastAsia="Arial" w:hAnsi="Arial" w:cs="Arial"/>
                <w:sz w:val="20"/>
                <w:szCs w:val="20"/>
              </w:rPr>
            </w:pPr>
            <w:r w:rsidRPr="00800799">
              <w:rPr>
                <w:sz w:val="20"/>
                <w:szCs w:val="20"/>
              </w:rPr>
              <w:t>Dotace 20 % + FN</w:t>
            </w:r>
          </w:p>
        </w:tc>
      </w:tr>
      <w:tr w:rsidR="00054D27" w:rsidRPr="00800799" w14:paraId="6AF620D1" w14:textId="77777777">
        <w:tc>
          <w:tcPr>
            <w:tcW w:w="5460" w:type="dxa"/>
            <w:tcBorders>
              <w:top w:val="single" w:sz="4" w:space="0" w:color="000000"/>
              <w:left w:val="single" w:sz="4" w:space="0" w:color="000000"/>
              <w:bottom w:val="single" w:sz="4" w:space="0" w:color="000000"/>
              <w:right w:val="single" w:sz="4" w:space="0" w:color="000000"/>
            </w:tcBorders>
          </w:tcPr>
          <w:p w14:paraId="0000040C" w14:textId="77777777" w:rsidR="00054D27" w:rsidRPr="00800799" w:rsidRDefault="00AF622A">
            <w:pPr>
              <w:rPr>
                <w:rFonts w:ascii="Arial" w:eastAsia="Arial" w:hAnsi="Arial" w:cs="Arial"/>
                <w:sz w:val="20"/>
                <w:szCs w:val="20"/>
              </w:rPr>
            </w:pPr>
            <w:r w:rsidRPr="00800799">
              <w:rPr>
                <w:sz w:val="20"/>
                <w:szCs w:val="20"/>
              </w:rPr>
              <w:t>Budování dobíjecích a plnících stanic v podnicích</w:t>
            </w:r>
          </w:p>
        </w:tc>
        <w:tc>
          <w:tcPr>
            <w:tcW w:w="3630" w:type="dxa"/>
            <w:tcBorders>
              <w:top w:val="single" w:sz="4" w:space="0" w:color="000000"/>
              <w:left w:val="single" w:sz="4" w:space="0" w:color="000000"/>
              <w:bottom w:val="single" w:sz="4" w:space="0" w:color="000000"/>
              <w:right w:val="single" w:sz="4" w:space="0" w:color="000000"/>
            </w:tcBorders>
          </w:tcPr>
          <w:p w14:paraId="0000040D" w14:textId="77777777" w:rsidR="00054D27" w:rsidRPr="00800799" w:rsidRDefault="00AF622A">
            <w:pPr>
              <w:jc w:val="center"/>
              <w:rPr>
                <w:rFonts w:ascii="Arial" w:eastAsia="Arial" w:hAnsi="Arial" w:cs="Arial"/>
                <w:sz w:val="20"/>
                <w:szCs w:val="20"/>
              </w:rPr>
            </w:pPr>
            <w:r w:rsidRPr="00800799">
              <w:rPr>
                <w:sz w:val="20"/>
                <w:szCs w:val="20"/>
              </w:rPr>
              <w:t xml:space="preserve">Dotace 30 % + FN </w:t>
            </w:r>
          </w:p>
        </w:tc>
      </w:tr>
    </w:tbl>
    <w:p w14:paraId="0000040E" w14:textId="77777777" w:rsidR="00054D27" w:rsidRPr="00800799" w:rsidRDefault="00054D27">
      <w:pPr>
        <w:jc w:val="both"/>
        <w:rPr>
          <w:sz w:val="20"/>
          <w:szCs w:val="20"/>
        </w:rPr>
      </w:pPr>
    </w:p>
    <w:p w14:paraId="56359C07" w14:textId="77777777" w:rsidR="000C56F0" w:rsidRPr="00800799" w:rsidRDefault="000C56F0" w:rsidP="000C56F0">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61AF9ED1" w14:textId="12D7493B" w:rsidR="000C56F0" w:rsidRPr="00800799" w:rsidRDefault="0061511A" w:rsidP="000C56F0">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sz w:val="20"/>
          <w:szCs w:val="20"/>
        </w:rPr>
        <w:t xml:space="preserve">Kombinace dotace a finančního nástroje. Není zřejmé, proč by měla být k dispozici technická pomoc pro kategorie vozidel L a </w:t>
      </w:r>
      <w:proofErr w:type="gramStart"/>
      <w:r w:rsidRPr="00800799">
        <w:rPr>
          <w:sz w:val="20"/>
          <w:szCs w:val="20"/>
        </w:rPr>
        <w:t>M1</w:t>
      </w:r>
      <w:proofErr w:type="gramEnd"/>
      <w:r w:rsidRPr="00800799">
        <w:rPr>
          <w:sz w:val="20"/>
          <w:szCs w:val="20"/>
        </w:rPr>
        <w:t xml:space="preserve"> a nikoliv pro kategorie N a M2/M3. Technickou podporou typicky poskytuje prodejce vozidla neb leasingová společnost. Domníváme se, že technická asistence není potřeba, není zřejmé, jak by měla vypadat. Co se týče procentního podílu dotace, bude v případě podpory podle blokové výjimky záležet zejména na výši hrubého ekvivalentu podpory (HEP) finančního nástroje a maximální intenzity. Pouze jejich rozdíl bude moci být poskytnut ve formě dotace. Tato oblast bude detailněji zkoumána během tvorby modelového návrhu finančního nástroje. Obecně je z důvodu nižší HEP pro kombinaci s dotací vhodnější záruční forma podpory.</w:t>
      </w:r>
    </w:p>
    <w:p w14:paraId="0000040F" w14:textId="77777777" w:rsidR="00054D27" w:rsidRPr="00800799" w:rsidRDefault="00054D27">
      <w:pPr>
        <w:spacing w:line="240" w:lineRule="auto"/>
        <w:rPr>
          <w:b/>
          <w:sz w:val="20"/>
          <w:szCs w:val="20"/>
          <w:highlight w:val="yellow"/>
        </w:rPr>
      </w:pPr>
    </w:p>
    <w:p w14:paraId="00000410" w14:textId="77777777" w:rsidR="00054D27" w:rsidRPr="00800799" w:rsidRDefault="00054D27">
      <w:pPr>
        <w:spacing w:line="240" w:lineRule="auto"/>
        <w:rPr>
          <w:b/>
          <w:sz w:val="20"/>
          <w:szCs w:val="20"/>
          <w:highlight w:val="yellow"/>
        </w:rPr>
      </w:pPr>
    </w:p>
    <w:p w14:paraId="00000411" w14:textId="30C777AA" w:rsidR="00054D27" w:rsidRPr="00800799" w:rsidRDefault="00AF622A">
      <w:pPr>
        <w:numPr>
          <w:ilvl w:val="0"/>
          <w:numId w:val="7"/>
        </w:numPr>
        <w:spacing w:line="240" w:lineRule="auto"/>
        <w:rPr>
          <w:b/>
          <w:sz w:val="20"/>
          <w:szCs w:val="20"/>
        </w:rPr>
      </w:pPr>
      <w:r w:rsidRPr="00800799">
        <w:rPr>
          <w:b/>
          <w:sz w:val="20"/>
          <w:szCs w:val="20"/>
        </w:rPr>
        <w:t xml:space="preserve">Přehled doporučení pro využití forem podpory ve SC 4.1 </w:t>
      </w:r>
      <w:r w:rsidR="00FB4D19" w:rsidRPr="00800799">
        <w:rPr>
          <w:bCs/>
          <w:sz w:val="20"/>
          <w:szCs w:val="20"/>
        </w:rPr>
        <w:t xml:space="preserve">(nyní SC5.1, pozn. </w:t>
      </w:r>
      <w:proofErr w:type="spellStart"/>
      <w:r w:rsidR="00FB4D19" w:rsidRPr="00800799">
        <w:rPr>
          <w:bCs/>
          <w:sz w:val="20"/>
          <w:szCs w:val="20"/>
        </w:rPr>
        <w:t>PwC</w:t>
      </w:r>
      <w:proofErr w:type="spellEnd"/>
      <w:r w:rsidR="00FB4D19" w:rsidRPr="00800799">
        <w:rPr>
          <w:bCs/>
          <w:sz w:val="20"/>
          <w:szCs w:val="20"/>
        </w:rPr>
        <w:t>)</w:t>
      </w:r>
    </w:p>
    <w:p w14:paraId="00000413" w14:textId="77777777" w:rsidR="00054D27" w:rsidRPr="00800799" w:rsidRDefault="00054D27">
      <w:pPr>
        <w:spacing w:line="240" w:lineRule="auto"/>
        <w:jc w:val="both"/>
        <w:rPr>
          <w:b/>
          <w:sz w:val="20"/>
          <w:szCs w:val="20"/>
        </w:rPr>
      </w:pPr>
    </w:p>
    <w:p w14:paraId="00000414" w14:textId="77777777" w:rsidR="00054D27" w:rsidRPr="00800799" w:rsidRDefault="00AF622A">
      <w:pPr>
        <w:spacing w:line="240" w:lineRule="auto"/>
        <w:jc w:val="both"/>
        <w:rPr>
          <w:sz w:val="20"/>
          <w:szCs w:val="20"/>
        </w:rPr>
      </w:pPr>
      <w:r w:rsidRPr="00800799">
        <w:rPr>
          <w:sz w:val="20"/>
          <w:szCs w:val="20"/>
        </w:rPr>
        <w:t xml:space="preserve">Vykonaná analýza opodstatňuje poskytnutí vyšší míry projektové podpory v kontextu SC 4.1. Projekty jsou s dlouhou dobou návratnosti a s vyšším finančním rozpočtem. Největším spotřebitelem vody jsou ale velké podniky, zejména v energetickém, potravinářském, chemickém a papírenském průmyslu. Proto je potřeba mimo MSP zvážit zahrnutí velkých podniků do cílové skupiny OP TAK.  </w:t>
      </w:r>
    </w:p>
    <w:p w14:paraId="00000415" w14:textId="77777777" w:rsidR="00054D27" w:rsidRPr="00800799" w:rsidRDefault="00054D27">
      <w:pPr>
        <w:spacing w:line="240" w:lineRule="auto"/>
        <w:jc w:val="both"/>
        <w:rPr>
          <w:sz w:val="20"/>
          <w:szCs w:val="20"/>
        </w:rPr>
      </w:pPr>
    </w:p>
    <w:p w14:paraId="00000416" w14:textId="77777777" w:rsidR="00054D27" w:rsidRPr="00800799" w:rsidRDefault="00AF622A">
      <w:pPr>
        <w:spacing w:line="240" w:lineRule="auto"/>
        <w:jc w:val="both"/>
        <w:rPr>
          <w:sz w:val="20"/>
          <w:szCs w:val="20"/>
        </w:rPr>
      </w:pPr>
      <w:r w:rsidRPr="00800799">
        <w:rPr>
          <w:sz w:val="20"/>
          <w:szCs w:val="20"/>
        </w:rPr>
        <w:t xml:space="preserve">Doporučení </w:t>
      </w:r>
      <w:r w:rsidRPr="00800799">
        <w:rPr>
          <w:sz w:val="20"/>
          <w:szCs w:val="20"/>
        </w:rPr>
        <w:t xml:space="preserve">aplikovat finanční nástroje v kombinaci s dalšími formami podpory, např. s technickou pomocí. </w:t>
      </w:r>
    </w:p>
    <w:p w14:paraId="00000417" w14:textId="77777777" w:rsidR="00054D27" w:rsidRPr="00800799" w:rsidRDefault="00054D27">
      <w:pPr>
        <w:spacing w:line="240" w:lineRule="auto"/>
        <w:jc w:val="both"/>
        <w:rPr>
          <w:b/>
          <w:sz w:val="20"/>
          <w:szCs w:val="20"/>
        </w:rPr>
      </w:pPr>
    </w:p>
    <w:tbl>
      <w:tblPr>
        <w:tblStyle w:val="aff6"/>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0"/>
        <w:gridCol w:w="3630"/>
      </w:tblGrid>
      <w:tr w:rsidR="00054D27" w:rsidRPr="00800799" w14:paraId="7F55D833" w14:textId="77777777">
        <w:tc>
          <w:tcPr>
            <w:tcW w:w="5460" w:type="dxa"/>
            <w:tcBorders>
              <w:top w:val="single" w:sz="4" w:space="0" w:color="000000"/>
              <w:left w:val="single" w:sz="4" w:space="0" w:color="000000"/>
              <w:bottom w:val="single" w:sz="4" w:space="0" w:color="000000"/>
              <w:right w:val="single" w:sz="4" w:space="0" w:color="000000"/>
            </w:tcBorders>
            <w:shd w:val="clear" w:color="auto" w:fill="DBE5F1"/>
          </w:tcPr>
          <w:p w14:paraId="00000418" w14:textId="77777777" w:rsidR="00054D27" w:rsidRPr="00800799" w:rsidRDefault="00AF622A">
            <w:pPr>
              <w:rPr>
                <w:rFonts w:ascii="Arial" w:eastAsia="Arial" w:hAnsi="Arial" w:cs="Arial"/>
                <w:b/>
                <w:sz w:val="20"/>
                <w:szCs w:val="20"/>
              </w:rPr>
            </w:pPr>
            <w:r w:rsidRPr="00800799">
              <w:rPr>
                <w:b/>
                <w:sz w:val="20"/>
                <w:szCs w:val="20"/>
              </w:rPr>
              <w:t xml:space="preserve">Analytická otázka </w:t>
            </w:r>
          </w:p>
        </w:tc>
        <w:tc>
          <w:tcPr>
            <w:tcW w:w="3630" w:type="dxa"/>
            <w:tcBorders>
              <w:top w:val="single" w:sz="4" w:space="0" w:color="000000"/>
              <w:left w:val="single" w:sz="4" w:space="0" w:color="000000"/>
              <w:bottom w:val="single" w:sz="4" w:space="0" w:color="000000"/>
              <w:right w:val="single" w:sz="4" w:space="0" w:color="000000"/>
            </w:tcBorders>
            <w:shd w:val="clear" w:color="auto" w:fill="DBE5F1"/>
          </w:tcPr>
          <w:p w14:paraId="00000419" w14:textId="77777777" w:rsidR="00054D27" w:rsidRPr="00800799" w:rsidRDefault="00AF622A">
            <w:pPr>
              <w:rPr>
                <w:rFonts w:ascii="Arial" w:eastAsia="Arial" w:hAnsi="Arial" w:cs="Arial"/>
                <w:b/>
                <w:sz w:val="20"/>
                <w:szCs w:val="20"/>
              </w:rPr>
            </w:pPr>
            <w:r w:rsidRPr="00800799">
              <w:rPr>
                <w:b/>
                <w:sz w:val="20"/>
                <w:szCs w:val="20"/>
              </w:rPr>
              <w:t>Doporučená forma podpory</w:t>
            </w:r>
          </w:p>
        </w:tc>
      </w:tr>
      <w:tr w:rsidR="00054D27" w:rsidRPr="00800799" w14:paraId="1B541A7C" w14:textId="77777777">
        <w:tc>
          <w:tcPr>
            <w:tcW w:w="5460" w:type="dxa"/>
            <w:tcBorders>
              <w:top w:val="single" w:sz="4" w:space="0" w:color="000000"/>
              <w:left w:val="single" w:sz="4" w:space="0" w:color="000000"/>
              <w:bottom w:val="single" w:sz="4" w:space="0" w:color="000000"/>
              <w:right w:val="single" w:sz="4" w:space="0" w:color="000000"/>
            </w:tcBorders>
          </w:tcPr>
          <w:p w14:paraId="0000041A" w14:textId="77777777" w:rsidR="00054D27" w:rsidRPr="00800799" w:rsidRDefault="00AF622A">
            <w:pPr>
              <w:rPr>
                <w:rFonts w:ascii="Arial" w:eastAsia="Arial" w:hAnsi="Arial" w:cs="Arial"/>
                <w:sz w:val="20"/>
                <w:szCs w:val="20"/>
              </w:rPr>
            </w:pPr>
            <w:r w:rsidRPr="00800799">
              <w:rPr>
                <w:sz w:val="20"/>
                <w:szCs w:val="20"/>
              </w:rPr>
              <w:t xml:space="preserve">Optimalizace spotřeby vody v rámci výrobního procesu </w:t>
            </w:r>
          </w:p>
        </w:tc>
        <w:tc>
          <w:tcPr>
            <w:tcW w:w="3630" w:type="dxa"/>
            <w:tcBorders>
              <w:top w:val="single" w:sz="4" w:space="0" w:color="000000"/>
              <w:left w:val="single" w:sz="4" w:space="0" w:color="000000"/>
              <w:bottom w:val="single" w:sz="4" w:space="0" w:color="000000"/>
              <w:right w:val="single" w:sz="4" w:space="0" w:color="000000"/>
            </w:tcBorders>
          </w:tcPr>
          <w:p w14:paraId="0000041B" w14:textId="77777777" w:rsidR="00054D27" w:rsidRPr="00800799" w:rsidRDefault="00AF622A">
            <w:pPr>
              <w:spacing w:line="360" w:lineRule="auto"/>
              <w:jc w:val="center"/>
              <w:rPr>
                <w:rFonts w:ascii="Arial" w:eastAsia="Arial" w:hAnsi="Arial" w:cs="Arial"/>
                <w:sz w:val="20"/>
                <w:szCs w:val="20"/>
              </w:rPr>
            </w:pPr>
            <w:r w:rsidRPr="00800799">
              <w:rPr>
                <w:sz w:val="20"/>
                <w:szCs w:val="20"/>
              </w:rPr>
              <w:t xml:space="preserve">Dotace 20 % + FN </w:t>
            </w:r>
          </w:p>
          <w:p w14:paraId="0000041C" w14:textId="77777777" w:rsidR="00054D27" w:rsidRPr="00800799" w:rsidRDefault="00AF622A">
            <w:pPr>
              <w:pBdr>
                <w:top w:val="nil"/>
                <w:left w:val="nil"/>
                <w:bottom w:val="nil"/>
                <w:right w:val="nil"/>
                <w:between w:val="nil"/>
              </w:pBdr>
              <w:spacing w:line="360" w:lineRule="auto"/>
              <w:jc w:val="center"/>
              <w:rPr>
                <w:rFonts w:ascii="Arial" w:eastAsia="Arial" w:hAnsi="Arial" w:cs="Arial"/>
                <w:sz w:val="20"/>
                <w:szCs w:val="20"/>
              </w:rPr>
            </w:pPr>
            <w:r w:rsidRPr="00800799">
              <w:rPr>
                <w:sz w:val="20"/>
                <w:szCs w:val="20"/>
              </w:rPr>
              <w:t>FN + Technická pomoc</w:t>
            </w:r>
          </w:p>
          <w:p w14:paraId="0000041D" w14:textId="77777777" w:rsidR="00054D27" w:rsidRPr="00800799" w:rsidRDefault="00AF622A">
            <w:pPr>
              <w:spacing w:line="360" w:lineRule="auto"/>
              <w:jc w:val="center"/>
              <w:rPr>
                <w:rFonts w:ascii="Arial" w:eastAsia="Arial" w:hAnsi="Arial" w:cs="Arial"/>
                <w:sz w:val="20"/>
                <w:szCs w:val="20"/>
              </w:rPr>
            </w:pPr>
            <w:r w:rsidRPr="00800799">
              <w:rPr>
                <w:sz w:val="20"/>
                <w:szCs w:val="20"/>
              </w:rPr>
              <w:lastRenderedPageBreak/>
              <w:t>Čistý FN</w:t>
            </w:r>
          </w:p>
        </w:tc>
      </w:tr>
      <w:tr w:rsidR="00054D27" w:rsidRPr="00800799" w14:paraId="0488C790" w14:textId="77777777">
        <w:tc>
          <w:tcPr>
            <w:tcW w:w="5460" w:type="dxa"/>
            <w:tcBorders>
              <w:top w:val="single" w:sz="4" w:space="0" w:color="000000"/>
              <w:left w:val="single" w:sz="4" w:space="0" w:color="000000"/>
              <w:bottom w:val="single" w:sz="4" w:space="0" w:color="000000"/>
              <w:right w:val="single" w:sz="4" w:space="0" w:color="000000"/>
            </w:tcBorders>
          </w:tcPr>
          <w:p w14:paraId="0000041E" w14:textId="77777777" w:rsidR="00054D27" w:rsidRPr="00800799" w:rsidRDefault="00AF622A">
            <w:pPr>
              <w:rPr>
                <w:rFonts w:ascii="Arial" w:eastAsia="Arial" w:hAnsi="Arial" w:cs="Arial"/>
                <w:sz w:val="20"/>
                <w:szCs w:val="20"/>
              </w:rPr>
            </w:pPr>
            <w:r w:rsidRPr="00800799">
              <w:rPr>
                <w:sz w:val="20"/>
                <w:szCs w:val="20"/>
              </w:rPr>
              <w:lastRenderedPageBreak/>
              <w:t xml:space="preserve">Přímá recyklace vody ve výrobních odvětvích s vysokou spotřebou vody </w:t>
            </w:r>
          </w:p>
        </w:tc>
        <w:tc>
          <w:tcPr>
            <w:tcW w:w="3630" w:type="dxa"/>
            <w:tcBorders>
              <w:top w:val="single" w:sz="4" w:space="0" w:color="000000"/>
              <w:left w:val="single" w:sz="4" w:space="0" w:color="000000"/>
              <w:bottom w:val="single" w:sz="4" w:space="0" w:color="000000"/>
              <w:right w:val="single" w:sz="4" w:space="0" w:color="000000"/>
            </w:tcBorders>
          </w:tcPr>
          <w:p w14:paraId="0000041F" w14:textId="77777777" w:rsidR="00054D27" w:rsidRPr="00800799" w:rsidRDefault="00AF622A">
            <w:pPr>
              <w:pBdr>
                <w:top w:val="nil"/>
                <w:left w:val="nil"/>
                <w:bottom w:val="nil"/>
                <w:right w:val="nil"/>
                <w:between w:val="nil"/>
              </w:pBdr>
              <w:spacing w:line="360" w:lineRule="auto"/>
              <w:jc w:val="center"/>
              <w:rPr>
                <w:rFonts w:ascii="Arial" w:eastAsia="Arial" w:hAnsi="Arial" w:cs="Arial"/>
                <w:sz w:val="20"/>
                <w:szCs w:val="20"/>
              </w:rPr>
            </w:pPr>
            <w:r w:rsidRPr="00800799">
              <w:rPr>
                <w:sz w:val="20"/>
                <w:szCs w:val="20"/>
              </w:rPr>
              <w:t>Dotace 20 % + FN</w:t>
            </w:r>
          </w:p>
          <w:p w14:paraId="00000420" w14:textId="77777777" w:rsidR="00054D27" w:rsidRPr="00800799" w:rsidRDefault="00AF622A">
            <w:pPr>
              <w:spacing w:line="360" w:lineRule="auto"/>
              <w:jc w:val="center"/>
              <w:rPr>
                <w:rFonts w:ascii="Arial" w:eastAsia="Arial" w:hAnsi="Arial" w:cs="Arial"/>
                <w:sz w:val="20"/>
                <w:szCs w:val="20"/>
              </w:rPr>
            </w:pPr>
            <w:r w:rsidRPr="00800799">
              <w:rPr>
                <w:sz w:val="20"/>
                <w:szCs w:val="20"/>
              </w:rPr>
              <w:t>Dotace 30 % + FN</w:t>
            </w:r>
          </w:p>
        </w:tc>
      </w:tr>
      <w:tr w:rsidR="00054D27" w:rsidRPr="00800799" w14:paraId="0E5CA1DA" w14:textId="77777777">
        <w:tc>
          <w:tcPr>
            <w:tcW w:w="5460" w:type="dxa"/>
            <w:tcBorders>
              <w:top w:val="single" w:sz="4" w:space="0" w:color="000000"/>
              <w:left w:val="single" w:sz="4" w:space="0" w:color="000000"/>
              <w:bottom w:val="single" w:sz="4" w:space="0" w:color="000000"/>
              <w:right w:val="single" w:sz="4" w:space="0" w:color="000000"/>
            </w:tcBorders>
          </w:tcPr>
          <w:p w14:paraId="00000421" w14:textId="77777777" w:rsidR="00054D27" w:rsidRPr="00800799" w:rsidRDefault="00AF622A">
            <w:pPr>
              <w:rPr>
                <w:rFonts w:ascii="Arial" w:eastAsia="Arial" w:hAnsi="Arial" w:cs="Arial"/>
                <w:sz w:val="20"/>
                <w:szCs w:val="20"/>
              </w:rPr>
            </w:pPr>
            <w:r w:rsidRPr="00800799">
              <w:rPr>
                <w:sz w:val="20"/>
                <w:szCs w:val="20"/>
              </w:rPr>
              <w:t xml:space="preserve">Opětovné využívání znečištěné/využité provozní vody v jiných procesech </w:t>
            </w:r>
          </w:p>
        </w:tc>
        <w:tc>
          <w:tcPr>
            <w:tcW w:w="3630" w:type="dxa"/>
            <w:tcBorders>
              <w:top w:val="single" w:sz="4" w:space="0" w:color="000000"/>
              <w:left w:val="single" w:sz="4" w:space="0" w:color="000000"/>
              <w:bottom w:val="single" w:sz="4" w:space="0" w:color="000000"/>
              <w:right w:val="single" w:sz="4" w:space="0" w:color="000000"/>
            </w:tcBorders>
          </w:tcPr>
          <w:p w14:paraId="00000422" w14:textId="77777777" w:rsidR="00054D27" w:rsidRPr="00800799" w:rsidRDefault="00AF622A">
            <w:pPr>
              <w:spacing w:line="360" w:lineRule="auto"/>
              <w:jc w:val="center"/>
              <w:rPr>
                <w:rFonts w:ascii="Arial" w:eastAsia="Arial" w:hAnsi="Arial" w:cs="Arial"/>
                <w:sz w:val="20"/>
                <w:szCs w:val="20"/>
              </w:rPr>
            </w:pPr>
            <w:r w:rsidRPr="00800799">
              <w:rPr>
                <w:sz w:val="20"/>
                <w:szCs w:val="20"/>
              </w:rPr>
              <w:t xml:space="preserve">Dotace 20 % + FN </w:t>
            </w:r>
          </w:p>
          <w:p w14:paraId="00000423" w14:textId="77777777" w:rsidR="00054D27" w:rsidRPr="00800799" w:rsidRDefault="00AF622A">
            <w:pPr>
              <w:jc w:val="center"/>
              <w:rPr>
                <w:rFonts w:ascii="Arial" w:eastAsia="Arial" w:hAnsi="Arial" w:cs="Arial"/>
                <w:sz w:val="20"/>
                <w:szCs w:val="20"/>
              </w:rPr>
            </w:pPr>
            <w:r w:rsidRPr="00800799">
              <w:rPr>
                <w:sz w:val="20"/>
                <w:szCs w:val="20"/>
              </w:rPr>
              <w:t>FN + Technická pomoc</w:t>
            </w:r>
          </w:p>
        </w:tc>
      </w:tr>
      <w:tr w:rsidR="00054D27" w:rsidRPr="00800799" w14:paraId="12B9E710" w14:textId="77777777">
        <w:tc>
          <w:tcPr>
            <w:tcW w:w="5460" w:type="dxa"/>
            <w:tcBorders>
              <w:top w:val="single" w:sz="4" w:space="0" w:color="000000"/>
              <w:left w:val="single" w:sz="4" w:space="0" w:color="000000"/>
              <w:bottom w:val="single" w:sz="4" w:space="0" w:color="000000"/>
              <w:right w:val="single" w:sz="4" w:space="0" w:color="000000"/>
            </w:tcBorders>
          </w:tcPr>
          <w:p w14:paraId="00000424" w14:textId="77777777" w:rsidR="00054D27" w:rsidRPr="00800799" w:rsidRDefault="00AF622A">
            <w:pPr>
              <w:rPr>
                <w:rFonts w:ascii="Arial" w:eastAsia="Arial" w:hAnsi="Arial" w:cs="Arial"/>
                <w:sz w:val="20"/>
                <w:szCs w:val="20"/>
              </w:rPr>
            </w:pPr>
            <w:r w:rsidRPr="00800799">
              <w:rPr>
                <w:sz w:val="20"/>
                <w:szCs w:val="20"/>
              </w:rPr>
              <w:t>Snižování ztrát vody v uzavřených okruzích nebo rozvodech vody</w:t>
            </w:r>
          </w:p>
        </w:tc>
        <w:tc>
          <w:tcPr>
            <w:tcW w:w="3630" w:type="dxa"/>
            <w:tcBorders>
              <w:top w:val="single" w:sz="4" w:space="0" w:color="000000"/>
              <w:left w:val="single" w:sz="4" w:space="0" w:color="000000"/>
              <w:bottom w:val="single" w:sz="4" w:space="0" w:color="000000"/>
              <w:right w:val="single" w:sz="4" w:space="0" w:color="000000"/>
            </w:tcBorders>
          </w:tcPr>
          <w:p w14:paraId="00000425" w14:textId="77777777" w:rsidR="00054D27" w:rsidRPr="00800799" w:rsidRDefault="00AF622A">
            <w:pPr>
              <w:spacing w:line="360" w:lineRule="auto"/>
              <w:jc w:val="center"/>
              <w:rPr>
                <w:rFonts w:ascii="Arial" w:eastAsia="Arial" w:hAnsi="Arial" w:cs="Arial"/>
                <w:sz w:val="20"/>
                <w:szCs w:val="20"/>
              </w:rPr>
            </w:pPr>
            <w:r w:rsidRPr="00800799">
              <w:rPr>
                <w:sz w:val="20"/>
                <w:szCs w:val="20"/>
              </w:rPr>
              <w:t xml:space="preserve">Dotace 20 % + FN </w:t>
            </w:r>
          </w:p>
          <w:p w14:paraId="00000426" w14:textId="77777777" w:rsidR="00054D27" w:rsidRPr="00800799" w:rsidRDefault="00AF622A">
            <w:pPr>
              <w:spacing w:line="360" w:lineRule="auto"/>
              <w:jc w:val="center"/>
              <w:rPr>
                <w:rFonts w:ascii="Arial" w:eastAsia="Arial" w:hAnsi="Arial" w:cs="Arial"/>
                <w:sz w:val="20"/>
                <w:szCs w:val="20"/>
              </w:rPr>
            </w:pPr>
            <w:r w:rsidRPr="00800799">
              <w:rPr>
                <w:sz w:val="20"/>
                <w:szCs w:val="20"/>
              </w:rPr>
              <w:t>FN + Technická pomoc</w:t>
            </w:r>
          </w:p>
          <w:p w14:paraId="00000427" w14:textId="77777777" w:rsidR="00054D27" w:rsidRPr="00800799" w:rsidRDefault="00AF622A">
            <w:pPr>
              <w:jc w:val="center"/>
              <w:rPr>
                <w:rFonts w:ascii="Arial" w:eastAsia="Arial" w:hAnsi="Arial" w:cs="Arial"/>
                <w:sz w:val="20"/>
                <w:szCs w:val="20"/>
              </w:rPr>
            </w:pPr>
            <w:r w:rsidRPr="00800799">
              <w:rPr>
                <w:sz w:val="20"/>
                <w:szCs w:val="20"/>
              </w:rPr>
              <w:t>Čistý FN</w:t>
            </w:r>
          </w:p>
        </w:tc>
      </w:tr>
      <w:tr w:rsidR="00054D27" w:rsidRPr="00800799" w14:paraId="00E21381" w14:textId="77777777">
        <w:tc>
          <w:tcPr>
            <w:tcW w:w="5460" w:type="dxa"/>
            <w:tcBorders>
              <w:top w:val="single" w:sz="4" w:space="0" w:color="000000"/>
              <w:left w:val="single" w:sz="4" w:space="0" w:color="000000"/>
              <w:bottom w:val="single" w:sz="4" w:space="0" w:color="000000"/>
              <w:right w:val="single" w:sz="4" w:space="0" w:color="000000"/>
            </w:tcBorders>
          </w:tcPr>
          <w:p w14:paraId="00000428" w14:textId="77777777" w:rsidR="00054D27" w:rsidRPr="00800799" w:rsidRDefault="00AF622A">
            <w:pPr>
              <w:rPr>
                <w:rFonts w:ascii="Arial" w:eastAsia="Arial" w:hAnsi="Arial" w:cs="Arial"/>
                <w:sz w:val="20"/>
                <w:szCs w:val="20"/>
              </w:rPr>
            </w:pPr>
            <w:r w:rsidRPr="00800799">
              <w:rPr>
                <w:sz w:val="20"/>
                <w:szCs w:val="20"/>
              </w:rPr>
              <w:t>Využívání potenciálu odpadní páry</w:t>
            </w:r>
          </w:p>
        </w:tc>
        <w:tc>
          <w:tcPr>
            <w:tcW w:w="3630" w:type="dxa"/>
            <w:tcBorders>
              <w:top w:val="single" w:sz="4" w:space="0" w:color="000000"/>
              <w:left w:val="single" w:sz="4" w:space="0" w:color="000000"/>
              <w:bottom w:val="single" w:sz="4" w:space="0" w:color="000000"/>
              <w:right w:val="single" w:sz="4" w:space="0" w:color="000000"/>
            </w:tcBorders>
          </w:tcPr>
          <w:p w14:paraId="00000429" w14:textId="77777777" w:rsidR="00054D27" w:rsidRPr="00800799" w:rsidRDefault="00AF622A">
            <w:pPr>
              <w:spacing w:line="360" w:lineRule="auto"/>
              <w:jc w:val="center"/>
              <w:rPr>
                <w:rFonts w:ascii="Arial" w:eastAsia="Arial" w:hAnsi="Arial" w:cs="Arial"/>
                <w:sz w:val="20"/>
                <w:szCs w:val="20"/>
              </w:rPr>
            </w:pPr>
            <w:r w:rsidRPr="00800799">
              <w:rPr>
                <w:sz w:val="20"/>
                <w:szCs w:val="20"/>
              </w:rPr>
              <w:t xml:space="preserve">Dotace 20 % + FN </w:t>
            </w:r>
          </w:p>
          <w:p w14:paraId="0000042A" w14:textId="77777777" w:rsidR="00054D27" w:rsidRPr="00800799" w:rsidRDefault="00AF622A">
            <w:pPr>
              <w:spacing w:line="360" w:lineRule="auto"/>
              <w:jc w:val="center"/>
              <w:rPr>
                <w:rFonts w:ascii="Arial" w:eastAsia="Arial" w:hAnsi="Arial" w:cs="Arial"/>
                <w:sz w:val="20"/>
                <w:szCs w:val="20"/>
              </w:rPr>
            </w:pPr>
            <w:r w:rsidRPr="00800799">
              <w:rPr>
                <w:sz w:val="20"/>
                <w:szCs w:val="20"/>
              </w:rPr>
              <w:t>Dotace 30 % + FN</w:t>
            </w:r>
          </w:p>
          <w:p w14:paraId="0000042B" w14:textId="77777777" w:rsidR="00054D27" w:rsidRPr="00800799" w:rsidRDefault="00AF622A">
            <w:pPr>
              <w:jc w:val="center"/>
              <w:rPr>
                <w:rFonts w:ascii="Arial" w:eastAsia="Arial" w:hAnsi="Arial" w:cs="Arial"/>
                <w:sz w:val="20"/>
                <w:szCs w:val="20"/>
              </w:rPr>
            </w:pPr>
            <w:r w:rsidRPr="00800799">
              <w:rPr>
                <w:sz w:val="20"/>
                <w:szCs w:val="20"/>
              </w:rPr>
              <w:t>FN + Technická pomoc</w:t>
            </w:r>
          </w:p>
        </w:tc>
      </w:tr>
      <w:tr w:rsidR="00054D27" w:rsidRPr="00800799" w14:paraId="7C12E24C" w14:textId="77777777">
        <w:tc>
          <w:tcPr>
            <w:tcW w:w="5460" w:type="dxa"/>
            <w:tcBorders>
              <w:top w:val="single" w:sz="4" w:space="0" w:color="000000"/>
              <w:left w:val="single" w:sz="4" w:space="0" w:color="000000"/>
              <w:bottom w:val="single" w:sz="4" w:space="0" w:color="000000"/>
              <w:right w:val="single" w:sz="4" w:space="0" w:color="000000"/>
            </w:tcBorders>
          </w:tcPr>
          <w:p w14:paraId="0000042C" w14:textId="77777777" w:rsidR="00054D27" w:rsidRPr="00800799" w:rsidRDefault="00AF622A">
            <w:pPr>
              <w:rPr>
                <w:rFonts w:ascii="Arial" w:eastAsia="Arial" w:hAnsi="Arial" w:cs="Arial"/>
                <w:sz w:val="20"/>
                <w:szCs w:val="20"/>
              </w:rPr>
            </w:pPr>
            <w:r w:rsidRPr="00800799">
              <w:rPr>
                <w:sz w:val="20"/>
                <w:szCs w:val="20"/>
              </w:rPr>
              <w:t>Optimalizace technologie chlazení</w:t>
            </w:r>
          </w:p>
        </w:tc>
        <w:tc>
          <w:tcPr>
            <w:tcW w:w="3630" w:type="dxa"/>
            <w:tcBorders>
              <w:top w:val="single" w:sz="4" w:space="0" w:color="000000"/>
              <w:left w:val="single" w:sz="4" w:space="0" w:color="000000"/>
              <w:bottom w:val="single" w:sz="4" w:space="0" w:color="000000"/>
              <w:right w:val="single" w:sz="4" w:space="0" w:color="000000"/>
            </w:tcBorders>
          </w:tcPr>
          <w:p w14:paraId="0000042D" w14:textId="77777777" w:rsidR="00054D27" w:rsidRPr="00800799" w:rsidRDefault="00AF622A">
            <w:pPr>
              <w:spacing w:line="360" w:lineRule="auto"/>
              <w:jc w:val="center"/>
              <w:rPr>
                <w:rFonts w:ascii="Arial" w:eastAsia="Arial" w:hAnsi="Arial" w:cs="Arial"/>
                <w:sz w:val="20"/>
                <w:szCs w:val="20"/>
              </w:rPr>
            </w:pPr>
            <w:r w:rsidRPr="00800799">
              <w:rPr>
                <w:sz w:val="20"/>
                <w:szCs w:val="20"/>
              </w:rPr>
              <w:t>Dotace 20 % + FN</w:t>
            </w:r>
          </w:p>
          <w:p w14:paraId="0000042E" w14:textId="77777777" w:rsidR="00054D27" w:rsidRPr="00800799" w:rsidRDefault="00AF622A">
            <w:pPr>
              <w:jc w:val="center"/>
              <w:rPr>
                <w:rFonts w:ascii="Arial" w:eastAsia="Arial" w:hAnsi="Arial" w:cs="Arial"/>
                <w:sz w:val="20"/>
                <w:szCs w:val="20"/>
              </w:rPr>
            </w:pPr>
            <w:r w:rsidRPr="00800799">
              <w:rPr>
                <w:sz w:val="20"/>
                <w:szCs w:val="20"/>
              </w:rPr>
              <w:t>Dotace 30 % + FN</w:t>
            </w:r>
          </w:p>
        </w:tc>
      </w:tr>
      <w:tr w:rsidR="00054D27" w:rsidRPr="00800799" w14:paraId="7B8084C7" w14:textId="77777777">
        <w:tc>
          <w:tcPr>
            <w:tcW w:w="5460" w:type="dxa"/>
            <w:tcBorders>
              <w:top w:val="single" w:sz="4" w:space="0" w:color="000000"/>
              <w:left w:val="single" w:sz="4" w:space="0" w:color="000000"/>
              <w:bottom w:val="single" w:sz="4" w:space="0" w:color="000000"/>
              <w:right w:val="single" w:sz="4" w:space="0" w:color="000000"/>
            </w:tcBorders>
          </w:tcPr>
          <w:p w14:paraId="0000042F" w14:textId="77777777" w:rsidR="00054D27" w:rsidRPr="00800799" w:rsidRDefault="00AF622A">
            <w:pPr>
              <w:rPr>
                <w:rFonts w:ascii="Arial" w:eastAsia="Arial" w:hAnsi="Arial" w:cs="Arial"/>
                <w:sz w:val="20"/>
                <w:szCs w:val="20"/>
              </w:rPr>
            </w:pPr>
            <w:r w:rsidRPr="00800799">
              <w:rPr>
                <w:sz w:val="20"/>
                <w:szCs w:val="20"/>
              </w:rPr>
              <w:t>Jímání, akumulace a využívání dešťové, užitkové a povrchové vody</w:t>
            </w:r>
          </w:p>
        </w:tc>
        <w:tc>
          <w:tcPr>
            <w:tcW w:w="3630" w:type="dxa"/>
            <w:tcBorders>
              <w:top w:val="single" w:sz="4" w:space="0" w:color="000000"/>
              <w:left w:val="single" w:sz="4" w:space="0" w:color="000000"/>
              <w:bottom w:val="single" w:sz="4" w:space="0" w:color="000000"/>
              <w:right w:val="single" w:sz="4" w:space="0" w:color="000000"/>
            </w:tcBorders>
          </w:tcPr>
          <w:p w14:paraId="00000430" w14:textId="77777777" w:rsidR="00054D27" w:rsidRPr="00800799" w:rsidRDefault="00AF622A">
            <w:pPr>
              <w:spacing w:line="360" w:lineRule="auto"/>
              <w:jc w:val="center"/>
              <w:rPr>
                <w:rFonts w:ascii="Arial" w:eastAsia="Arial" w:hAnsi="Arial" w:cs="Arial"/>
                <w:sz w:val="20"/>
                <w:szCs w:val="20"/>
              </w:rPr>
            </w:pPr>
            <w:r w:rsidRPr="00800799">
              <w:rPr>
                <w:sz w:val="20"/>
                <w:szCs w:val="20"/>
              </w:rPr>
              <w:t xml:space="preserve">Dotace 20 % + FN </w:t>
            </w:r>
          </w:p>
          <w:p w14:paraId="00000431" w14:textId="77777777" w:rsidR="00054D27" w:rsidRPr="00800799" w:rsidRDefault="00AF622A">
            <w:pPr>
              <w:spacing w:line="360" w:lineRule="auto"/>
              <w:jc w:val="center"/>
              <w:rPr>
                <w:rFonts w:ascii="Arial" w:eastAsia="Arial" w:hAnsi="Arial" w:cs="Arial"/>
                <w:sz w:val="20"/>
                <w:szCs w:val="20"/>
              </w:rPr>
            </w:pPr>
            <w:r w:rsidRPr="00800799">
              <w:rPr>
                <w:sz w:val="20"/>
                <w:szCs w:val="20"/>
              </w:rPr>
              <w:t>FN + Technická pomoc</w:t>
            </w:r>
          </w:p>
          <w:p w14:paraId="00000432" w14:textId="77777777" w:rsidR="00054D27" w:rsidRPr="00800799" w:rsidRDefault="00AF622A">
            <w:pPr>
              <w:jc w:val="center"/>
              <w:rPr>
                <w:rFonts w:ascii="Arial" w:eastAsia="Arial" w:hAnsi="Arial" w:cs="Arial"/>
                <w:sz w:val="20"/>
                <w:szCs w:val="20"/>
              </w:rPr>
            </w:pPr>
            <w:r w:rsidRPr="00800799">
              <w:rPr>
                <w:sz w:val="20"/>
                <w:szCs w:val="20"/>
              </w:rPr>
              <w:t>Čistý FN</w:t>
            </w:r>
          </w:p>
        </w:tc>
      </w:tr>
      <w:tr w:rsidR="00054D27" w:rsidRPr="00800799" w14:paraId="0C72C5C0" w14:textId="77777777">
        <w:tc>
          <w:tcPr>
            <w:tcW w:w="5460" w:type="dxa"/>
            <w:tcBorders>
              <w:top w:val="single" w:sz="4" w:space="0" w:color="000000"/>
              <w:left w:val="single" w:sz="4" w:space="0" w:color="000000"/>
              <w:bottom w:val="single" w:sz="4" w:space="0" w:color="000000"/>
              <w:right w:val="single" w:sz="4" w:space="0" w:color="000000"/>
            </w:tcBorders>
          </w:tcPr>
          <w:p w14:paraId="00000433" w14:textId="77777777" w:rsidR="00054D27" w:rsidRPr="00800799" w:rsidRDefault="00AF622A">
            <w:pPr>
              <w:rPr>
                <w:rFonts w:ascii="Arial" w:eastAsia="Arial" w:hAnsi="Arial" w:cs="Arial"/>
                <w:sz w:val="20"/>
                <w:szCs w:val="20"/>
              </w:rPr>
            </w:pPr>
            <w:r w:rsidRPr="00800799">
              <w:rPr>
                <w:sz w:val="20"/>
                <w:szCs w:val="20"/>
              </w:rPr>
              <w:t xml:space="preserve">Zavedení či zlepšení systémů pro monitorování netěsností rozvodů vod </w:t>
            </w:r>
          </w:p>
        </w:tc>
        <w:tc>
          <w:tcPr>
            <w:tcW w:w="3630" w:type="dxa"/>
            <w:tcBorders>
              <w:top w:val="single" w:sz="4" w:space="0" w:color="000000"/>
              <w:left w:val="single" w:sz="4" w:space="0" w:color="000000"/>
              <w:bottom w:val="single" w:sz="4" w:space="0" w:color="000000"/>
              <w:right w:val="single" w:sz="4" w:space="0" w:color="000000"/>
            </w:tcBorders>
          </w:tcPr>
          <w:p w14:paraId="00000434" w14:textId="77777777" w:rsidR="00054D27" w:rsidRPr="00800799" w:rsidRDefault="00AF622A">
            <w:pPr>
              <w:spacing w:line="360" w:lineRule="auto"/>
              <w:jc w:val="center"/>
              <w:rPr>
                <w:rFonts w:ascii="Arial" w:eastAsia="Arial" w:hAnsi="Arial" w:cs="Arial"/>
                <w:sz w:val="20"/>
                <w:szCs w:val="20"/>
              </w:rPr>
            </w:pPr>
            <w:r w:rsidRPr="00800799">
              <w:rPr>
                <w:sz w:val="20"/>
                <w:szCs w:val="20"/>
              </w:rPr>
              <w:t>Dotace 20 % + FN</w:t>
            </w:r>
          </w:p>
          <w:p w14:paraId="00000435" w14:textId="77777777" w:rsidR="00054D27" w:rsidRPr="00800799" w:rsidRDefault="00AF622A">
            <w:pPr>
              <w:jc w:val="center"/>
              <w:rPr>
                <w:rFonts w:ascii="Arial" w:eastAsia="Arial" w:hAnsi="Arial" w:cs="Arial"/>
                <w:sz w:val="20"/>
                <w:szCs w:val="20"/>
              </w:rPr>
            </w:pPr>
            <w:r w:rsidRPr="00800799">
              <w:rPr>
                <w:sz w:val="20"/>
                <w:szCs w:val="20"/>
              </w:rPr>
              <w:t>Dotace 30 % + FN</w:t>
            </w:r>
          </w:p>
        </w:tc>
      </w:tr>
      <w:tr w:rsidR="00054D27" w:rsidRPr="00800799" w14:paraId="2A19092E" w14:textId="77777777">
        <w:tc>
          <w:tcPr>
            <w:tcW w:w="5460" w:type="dxa"/>
            <w:tcBorders>
              <w:top w:val="single" w:sz="4" w:space="0" w:color="000000"/>
              <w:left w:val="single" w:sz="4" w:space="0" w:color="000000"/>
              <w:bottom w:val="single" w:sz="4" w:space="0" w:color="000000"/>
              <w:right w:val="single" w:sz="4" w:space="0" w:color="000000"/>
            </w:tcBorders>
          </w:tcPr>
          <w:p w14:paraId="00000436" w14:textId="77777777" w:rsidR="00054D27" w:rsidRPr="00800799" w:rsidRDefault="00AF622A">
            <w:pPr>
              <w:rPr>
                <w:rFonts w:ascii="Arial" w:eastAsia="Arial" w:hAnsi="Arial" w:cs="Arial"/>
                <w:sz w:val="20"/>
                <w:szCs w:val="20"/>
              </w:rPr>
            </w:pPr>
            <w:r w:rsidRPr="00800799">
              <w:rPr>
                <w:sz w:val="20"/>
                <w:szCs w:val="20"/>
              </w:rPr>
              <w:t xml:space="preserve">Posílení kapacity záložních zdrojů povrchové vody a zlepšení jakosti vody dodávané těmito zdroji </w:t>
            </w:r>
          </w:p>
        </w:tc>
        <w:tc>
          <w:tcPr>
            <w:tcW w:w="3630" w:type="dxa"/>
            <w:tcBorders>
              <w:top w:val="single" w:sz="4" w:space="0" w:color="000000"/>
              <w:left w:val="single" w:sz="4" w:space="0" w:color="000000"/>
              <w:bottom w:val="single" w:sz="4" w:space="0" w:color="000000"/>
              <w:right w:val="single" w:sz="4" w:space="0" w:color="000000"/>
            </w:tcBorders>
          </w:tcPr>
          <w:p w14:paraId="00000437" w14:textId="77777777" w:rsidR="00054D27" w:rsidRPr="00800799" w:rsidRDefault="00AF622A">
            <w:pPr>
              <w:spacing w:line="360" w:lineRule="auto"/>
              <w:jc w:val="center"/>
              <w:rPr>
                <w:rFonts w:ascii="Arial" w:eastAsia="Arial" w:hAnsi="Arial" w:cs="Arial"/>
                <w:sz w:val="20"/>
                <w:szCs w:val="20"/>
              </w:rPr>
            </w:pPr>
            <w:r w:rsidRPr="00800799">
              <w:rPr>
                <w:sz w:val="20"/>
                <w:szCs w:val="20"/>
              </w:rPr>
              <w:t>Dotace 30 % + FN</w:t>
            </w:r>
          </w:p>
        </w:tc>
      </w:tr>
      <w:tr w:rsidR="00054D27" w:rsidRPr="00800799" w14:paraId="1D81E68E" w14:textId="77777777">
        <w:tc>
          <w:tcPr>
            <w:tcW w:w="5460" w:type="dxa"/>
            <w:tcBorders>
              <w:top w:val="single" w:sz="4" w:space="0" w:color="000000"/>
              <w:left w:val="single" w:sz="4" w:space="0" w:color="000000"/>
              <w:bottom w:val="single" w:sz="4" w:space="0" w:color="000000"/>
              <w:right w:val="single" w:sz="4" w:space="0" w:color="000000"/>
            </w:tcBorders>
          </w:tcPr>
          <w:p w14:paraId="00000438" w14:textId="77777777" w:rsidR="00054D27" w:rsidRPr="00800799" w:rsidRDefault="00AF622A">
            <w:pPr>
              <w:rPr>
                <w:rFonts w:ascii="Arial" w:eastAsia="Arial" w:hAnsi="Arial" w:cs="Arial"/>
                <w:sz w:val="20"/>
                <w:szCs w:val="20"/>
              </w:rPr>
            </w:pPr>
            <w:r w:rsidRPr="00800799">
              <w:rPr>
                <w:sz w:val="20"/>
                <w:szCs w:val="20"/>
              </w:rPr>
              <w:t xml:space="preserve">Instalace systémů suchého čištění dopravních prostředků </w:t>
            </w:r>
          </w:p>
        </w:tc>
        <w:tc>
          <w:tcPr>
            <w:tcW w:w="3630" w:type="dxa"/>
            <w:tcBorders>
              <w:top w:val="single" w:sz="4" w:space="0" w:color="000000"/>
              <w:left w:val="single" w:sz="4" w:space="0" w:color="000000"/>
              <w:bottom w:val="single" w:sz="4" w:space="0" w:color="000000"/>
              <w:right w:val="single" w:sz="4" w:space="0" w:color="000000"/>
            </w:tcBorders>
          </w:tcPr>
          <w:p w14:paraId="00000439" w14:textId="77777777" w:rsidR="00054D27" w:rsidRPr="00800799" w:rsidRDefault="00AF622A">
            <w:pPr>
              <w:spacing w:line="360" w:lineRule="auto"/>
              <w:jc w:val="center"/>
              <w:rPr>
                <w:rFonts w:ascii="Arial" w:eastAsia="Arial" w:hAnsi="Arial" w:cs="Arial"/>
                <w:sz w:val="20"/>
                <w:szCs w:val="20"/>
              </w:rPr>
            </w:pPr>
            <w:r w:rsidRPr="00800799">
              <w:rPr>
                <w:sz w:val="20"/>
                <w:szCs w:val="20"/>
              </w:rPr>
              <w:t>Dotace 30 % + FN</w:t>
            </w:r>
          </w:p>
        </w:tc>
      </w:tr>
      <w:tr w:rsidR="00054D27" w:rsidRPr="00800799" w14:paraId="1B769BF2" w14:textId="77777777">
        <w:tc>
          <w:tcPr>
            <w:tcW w:w="5460" w:type="dxa"/>
            <w:tcBorders>
              <w:top w:val="single" w:sz="4" w:space="0" w:color="000000"/>
              <w:left w:val="single" w:sz="4" w:space="0" w:color="000000"/>
              <w:bottom w:val="single" w:sz="4" w:space="0" w:color="000000"/>
              <w:right w:val="single" w:sz="4" w:space="0" w:color="000000"/>
            </w:tcBorders>
          </w:tcPr>
          <w:p w14:paraId="0000043A" w14:textId="77777777" w:rsidR="00054D27" w:rsidRPr="00800799" w:rsidRDefault="00AF622A">
            <w:pPr>
              <w:rPr>
                <w:rFonts w:ascii="Arial" w:eastAsia="Arial" w:hAnsi="Arial" w:cs="Arial"/>
                <w:sz w:val="20"/>
                <w:szCs w:val="20"/>
              </w:rPr>
            </w:pPr>
            <w:r w:rsidRPr="00800799">
              <w:rPr>
                <w:sz w:val="20"/>
                <w:szCs w:val="20"/>
              </w:rPr>
              <w:t>Zřízení vodních ploch sloužící pro zadržení vody v areálech podniků</w:t>
            </w:r>
          </w:p>
        </w:tc>
        <w:tc>
          <w:tcPr>
            <w:tcW w:w="3630" w:type="dxa"/>
            <w:tcBorders>
              <w:top w:val="single" w:sz="4" w:space="0" w:color="000000"/>
              <w:left w:val="single" w:sz="4" w:space="0" w:color="000000"/>
              <w:bottom w:val="single" w:sz="4" w:space="0" w:color="000000"/>
              <w:right w:val="single" w:sz="4" w:space="0" w:color="000000"/>
            </w:tcBorders>
          </w:tcPr>
          <w:p w14:paraId="0000043B" w14:textId="77777777" w:rsidR="00054D27" w:rsidRPr="00800799" w:rsidRDefault="00AF622A">
            <w:pPr>
              <w:spacing w:line="360" w:lineRule="auto"/>
              <w:jc w:val="center"/>
              <w:rPr>
                <w:rFonts w:ascii="Arial" w:eastAsia="Arial" w:hAnsi="Arial" w:cs="Arial"/>
                <w:sz w:val="20"/>
                <w:szCs w:val="20"/>
              </w:rPr>
            </w:pPr>
            <w:r w:rsidRPr="00800799">
              <w:rPr>
                <w:sz w:val="20"/>
                <w:szCs w:val="20"/>
              </w:rPr>
              <w:t>Dotace 30 % + FN</w:t>
            </w:r>
          </w:p>
        </w:tc>
      </w:tr>
      <w:tr w:rsidR="00054D27" w:rsidRPr="00800799" w14:paraId="30495BE5" w14:textId="77777777">
        <w:tc>
          <w:tcPr>
            <w:tcW w:w="5460" w:type="dxa"/>
            <w:tcBorders>
              <w:top w:val="single" w:sz="4" w:space="0" w:color="000000"/>
              <w:left w:val="single" w:sz="4" w:space="0" w:color="000000"/>
              <w:bottom w:val="single" w:sz="4" w:space="0" w:color="000000"/>
              <w:right w:val="single" w:sz="4" w:space="0" w:color="000000"/>
            </w:tcBorders>
          </w:tcPr>
          <w:p w14:paraId="0000043C" w14:textId="77777777" w:rsidR="00054D27" w:rsidRPr="00800799" w:rsidRDefault="00AF622A">
            <w:pPr>
              <w:rPr>
                <w:rFonts w:ascii="Arial" w:eastAsia="Arial" w:hAnsi="Arial" w:cs="Arial"/>
                <w:sz w:val="20"/>
                <w:szCs w:val="20"/>
              </w:rPr>
            </w:pPr>
            <w:r w:rsidRPr="00800799">
              <w:rPr>
                <w:sz w:val="20"/>
                <w:szCs w:val="20"/>
              </w:rPr>
              <w:t>Poradenské služby zacílené na zpracování plánu recyklace vody ve výrobních odvětvích</w:t>
            </w:r>
          </w:p>
        </w:tc>
        <w:tc>
          <w:tcPr>
            <w:tcW w:w="3630" w:type="dxa"/>
            <w:tcBorders>
              <w:top w:val="single" w:sz="4" w:space="0" w:color="000000"/>
              <w:left w:val="single" w:sz="4" w:space="0" w:color="000000"/>
              <w:bottom w:val="single" w:sz="4" w:space="0" w:color="000000"/>
              <w:right w:val="single" w:sz="4" w:space="0" w:color="000000"/>
            </w:tcBorders>
          </w:tcPr>
          <w:p w14:paraId="0000043D" w14:textId="77777777" w:rsidR="00054D27" w:rsidRPr="00800799" w:rsidRDefault="00AF622A">
            <w:pPr>
              <w:spacing w:line="360" w:lineRule="auto"/>
              <w:jc w:val="center"/>
              <w:rPr>
                <w:rFonts w:ascii="Arial" w:eastAsia="Arial" w:hAnsi="Arial" w:cs="Arial"/>
                <w:sz w:val="20"/>
                <w:szCs w:val="20"/>
              </w:rPr>
            </w:pPr>
            <w:r w:rsidRPr="00800799">
              <w:rPr>
                <w:sz w:val="20"/>
                <w:szCs w:val="20"/>
              </w:rPr>
              <w:t xml:space="preserve">Dotace 20 % + FN </w:t>
            </w:r>
          </w:p>
          <w:p w14:paraId="0000043E" w14:textId="77777777" w:rsidR="00054D27" w:rsidRPr="00800799" w:rsidRDefault="00AF622A">
            <w:pPr>
              <w:spacing w:line="360" w:lineRule="auto"/>
              <w:jc w:val="center"/>
              <w:rPr>
                <w:rFonts w:ascii="Arial" w:eastAsia="Arial" w:hAnsi="Arial" w:cs="Arial"/>
                <w:sz w:val="20"/>
                <w:szCs w:val="20"/>
              </w:rPr>
            </w:pPr>
            <w:r w:rsidRPr="00800799">
              <w:rPr>
                <w:sz w:val="20"/>
                <w:szCs w:val="20"/>
              </w:rPr>
              <w:t>Dotace 30 % + FN</w:t>
            </w:r>
          </w:p>
          <w:p w14:paraId="0000043F" w14:textId="77777777" w:rsidR="00054D27" w:rsidRPr="00800799" w:rsidRDefault="00AF622A">
            <w:pPr>
              <w:jc w:val="center"/>
              <w:rPr>
                <w:rFonts w:ascii="Arial" w:eastAsia="Arial" w:hAnsi="Arial" w:cs="Arial"/>
                <w:sz w:val="20"/>
                <w:szCs w:val="20"/>
              </w:rPr>
            </w:pPr>
            <w:r w:rsidRPr="00800799">
              <w:rPr>
                <w:sz w:val="20"/>
                <w:szCs w:val="20"/>
              </w:rPr>
              <w:t>FN + Technická pomoc</w:t>
            </w:r>
          </w:p>
        </w:tc>
      </w:tr>
      <w:tr w:rsidR="00054D27" w:rsidRPr="00800799" w14:paraId="095736E3" w14:textId="77777777">
        <w:tc>
          <w:tcPr>
            <w:tcW w:w="5460" w:type="dxa"/>
            <w:tcBorders>
              <w:top w:val="single" w:sz="4" w:space="0" w:color="000000"/>
              <w:left w:val="single" w:sz="4" w:space="0" w:color="000000"/>
              <w:bottom w:val="single" w:sz="4" w:space="0" w:color="000000"/>
              <w:right w:val="single" w:sz="4" w:space="0" w:color="000000"/>
            </w:tcBorders>
          </w:tcPr>
          <w:p w14:paraId="00000440" w14:textId="77777777" w:rsidR="00054D27" w:rsidRPr="00800799" w:rsidRDefault="00AF622A">
            <w:pPr>
              <w:rPr>
                <w:rFonts w:ascii="Arial" w:eastAsia="Arial" w:hAnsi="Arial" w:cs="Arial"/>
                <w:sz w:val="20"/>
                <w:szCs w:val="20"/>
              </w:rPr>
            </w:pPr>
            <w:r w:rsidRPr="00800799">
              <w:rPr>
                <w:sz w:val="20"/>
                <w:szCs w:val="20"/>
              </w:rPr>
              <w:t>Revitalizace podnikových areálů a okolí komerčních budov k adaptaci na změnu klimatu</w:t>
            </w:r>
          </w:p>
        </w:tc>
        <w:tc>
          <w:tcPr>
            <w:tcW w:w="3630" w:type="dxa"/>
            <w:tcBorders>
              <w:top w:val="single" w:sz="4" w:space="0" w:color="000000"/>
              <w:left w:val="single" w:sz="4" w:space="0" w:color="000000"/>
              <w:bottom w:val="single" w:sz="4" w:space="0" w:color="000000"/>
              <w:right w:val="single" w:sz="4" w:space="0" w:color="000000"/>
            </w:tcBorders>
          </w:tcPr>
          <w:p w14:paraId="00000441" w14:textId="77777777" w:rsidR="00054D27" w:rsidRPr="00800799" w:rsidRDefault="00AF622A">
            <w:pPr>
              <w:spacing w:line="360" w:lineRule="auto"/>
              <w:jc w:val="center"/>
              <w:rPr>
                <w:rFonts w:ascii="Arial" w:eastAsia="Arial" w:hAnsi="Arial" w:cs="Arial"/>
                <w:sz w:val="20"/>
                <w:szCs w:val="20"/>
              </w:rPr>
            </w:pPr>
            <w:r w:rsidRPr="00800799">
              <w:rPr>
                <w:sz w:val="20"/>
                <w:szCs w:val="20"/>
              </w:rPr>
              <w:t>Dotace 30 % + FN</w:t>
            </w:r>
          </w:p>
        </w:tc>
      </w:tr>
    </w:tbl>
    <w:p w14:paraId="00000442" w14:textId="6909997A" w:rsidR="00054D27" w:rsidRPr="00800799" w:rsidRDefault="00054D27">
      <w:pPr>
        <w:jc w:val="both"/>
        <w:rPr>
          <w:b/>
          <w:sz w:val="20"/>
          <w:szCs w:val="20"/>
        </w:rPr>
      </w:pPr>
    </w:p>
    <w:p w14:paraId="4B28A357" w14:textId="77777777" w:rsidR="000C56F0" w:rsidRPr="00800799" w:rsidRDefault="000C56F0" w:rsidP="000C56F0">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b/>
          <w:sz w:val="20"/>
          <w:szCs w:val="20"/>
        </w:rPr>
        <w:t xml:space="preserve">Komentář </w:t>
      </w:r>
      <w:proofErr w:type="spellStart"/>
      <w:r w:rsidRPr="00800799">
        <w:rPr>
          <w:b/>
          <w:sz w:val="20"/>
          <w:szCs w:val="20"/>
        </w:rPr>
        <w:t>PwC</w:t>
      </w:r>
      <w:proofErr w:type="spellEnd"/>
      <w:r w:rsidRPr="00800799">
        <w:rPr>
          <w:sz w:val="20"/>
          <w:szCs w:val="20"/>
        </w:rPr>
        <w:t>:</w:t>
      </w:r>
    </w:p>
    <w:p w14:paraId="710F2109" w14:textId="53815494" w:rsidR="000C56F0" w:rsidRPr="00800799" w:rsidRDefault="00FB4D19" w:rsidP="000C56F0">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sz w:val="20"/>
          <w:szCs w:val="20"/>
        </w:rPr>
        <w:t>Obdobně jako v dalších oblastech, i v případě hospodař</w:t>
      </w:r>
      <w:r w:rsidR="001B238D" w:rsidRPr="00800799">
        <w:rPr>
          <w:sz w:val="20"/>
          <w:szCs w:val="20"/>
        </w:rPr>
        <w:t>e</w:t>
      </w:r>
      <w:r w:rsidRPr="00800799">
        <w:rPr>
          <w:sz w:val="20"/>
          <w:szCs w:val="20"/>
        </w:rPr>
        <w:t>ní s</w:t>
      </w:r>
      <w:r w:rsidR="001B238D" w:rsidRPr="00800799">
        <w:rPr>
          <w:sz w:val="20"/>
          <w:szCs w:val="20"/>
        </w:rPr>
        <w:t> </w:t>
      </w:r>
      <w:r w:rsidRPr="00800799">
        <w:rPr>
          <w:sz w:val="20"/>
          <w:szCs w:val="20"/>
        </w:rPr>
        <w:t>v</w:t>
      </w:r>
      <w:r w:rsidR="001B238D" w:rsidRPr="00800799">
        <w:rPr>
          <w:sz w:val="20"/>
          <w:szCs w:val="20"/>
        </w:rPr>
        <w:t xml:space="preserve">odou bude pro výši dotace a tím i pro návratnost projektu a jeho atraktivitu z pohledu žadatele zásadní výše HEP finančního nástroje, od které se bude odrážet možná výše dotační složky podpory (do výše maximální intenzity veřejné podpory podle blokové výjimky). Podobně jako v případě úspor energie nedoporučujeme různé míry dotace pro různé </w:t>
      </w:r>
      <w:r w:rsidR="001B238D" w:rsidRPr="00800799">
        <w:rPr>
          <w:sz w:val="20"/>
          <w:szCs w:val="20"/>
        </w:rPr>
        <w:lastRenderedPageBreak/>
        <w:t>aktivity, které přitom budou pravděpodobně sdruženy v jediném projektu, a to zejména z důvodu vyšší přehlednosti poskytované podpory.</w:t>
      </w:r>
    </w:p>
    <w:p w14:paraId="7EA60275" w14:textId="19F6C5C1" w:rsidR="001B238D" w:rsidRPr="00800799" w:rsidRDefault="001B238D" w:rsidP="000C56F0">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sz w:val="20"/>
          <w:szCs w:val="20"/>
        </w:rPr>
        <w:t>Technická pomoc např. v podobě vodního auditu by mohla podpořit zájem o finanční nástroj. Měla by být poskytována v jednom balíčku s investiční podporou, aby nedocházelo k nutnosti podávat dvě žádosti v souvislosti se stejným opatřením (na poradenství a na investici).</w:t>
      </w:r>
    </w:p>
    <w:p w14:paraId="3051BF67" w14:textId="77777777" w:rsidR="000C56F0" w:rsidRPr="00800799" w:rsidRDefault="000C56F0">
      <w:pPr>
        <w:jc w:val="both"/>
        <w:rPr>
          <w:b/>
          <w:sz w:val="20"/>
          <w:szCs w:val="20"/>
        </w:rPr>
      </w:pPr>
    </w:p>
    <w:p w14:paraId="00000443" w14:textId="71AF91FA" w:rsidR="00054D27" w:rsidRPr="00800799" w:rsidRDefault="00AF622A">
      <w:pPr>
        <w:pStyle w:val="Nadpis3"/>
        <w:numPr>
          <w:ilvl w:val="1"/>
          <w:numId w:val="13"/>
        </w:numPr>
        <w:rPr>
          <w:color w:val="D04A02"/>
          <w:sz w:val="24"/>
          <w:szCs w:val="24"/>
        </w:rPr>
      </w:pPr>
      <w:bookmarkStart w:id="84" w:name="_heading=h.gsqp8zahz495" w:colFirst="0" w:colLast="0"/>
      <w:bookmarkStart w:id="85" w:name="_m1p2ou5gjkyb"/>
      <w:bookmarkStart w:id="86" w:name="_Toc90364565"/>
      <w:bookmarkStart w:id="87" w:name="_Toc89232803"/>
      <w:bookmarkStart w:id="88" w:name="_Toc89067103"/>
      <w:bookmarkEnd w:id="84"/>
      <w:bookmarkEnd w:id="85"/>
      <w:r w:rsidRPr="00800799">
        <w:rPr>
          <w:color w:val="D04A02"/>
          <w:sz w:val="24"/>
          <w:szCs w:val="24"/>
        </w:rPr>
        <w:t>Studie proveditelnosti finančního nástroje na podporu EPC projektů Evropské investiční banky z roku 2020</w:t>
      </w:r>
      <w:bookmarkEnd w:id="86"/>
      <w:bookmarkEnd w:id="87"/>
      <w:bookmarkEnd w:id="88"/>
    </w:p>
    <w:p w14:paraId="00000444" w14:textId="77777777" w:rsidR="00054D27" w:rsidRPr="00800799" w:rsidRDefault="00AF622A">
      <w:pPr>
        <w:jc w:val="both"/>
        <w:rPr>
          <w:sz w:val="20"/>
          <w:szCs w:val="20"/>
        </w:rPr>
      </w:pPr>
      <w:r w:rsidRPr="00800799">
        <w:rPr>
          <w:sz w:val="20"/>
          <w:szCs w:val="20"/>
        </w:rPr>
        <w:t>Konkrétně ve vztahu k otázkám přístupu k financím byla ve studii EIB identifikována následující selhání trhu financování pro EPC zabývající se komplexní rekonstrukcí budov:</w:t>
      </w:r>
    </w:p>
    <w:p w14:paraId="00000445" w14:textId="77777777" w:rsidR="00054D27" w:rsidRPr="00800799" w:rsidRDefault="00054D27">
      <w:pPr>
        <w:jc w:val="both"/>
        <w:rPr>
          <w:sz w:val="20"/>
          <w:szCs w:val="20"/>
        </w:rPr>
      </w:pPr>
    </w:p>
    <w:p w14:paraId="00000446" w14:textId="77777777" w:rsidR="00054D27" w:rsidRPr="00800799" w:rsidRDefault="00AF622A">
      <w:pPr>
        <w:numPr>
          <w:ilvl w:val="0"/>
          <w:numId w:val="8"/>
        </w:numPr>
        <w:pBdr>
          <w:top w:val="nil"/>
          <w:left w:val="nil"/>
          <w:bottom w:val="nil"/>
          <w:right w:val="nil"/>
          <w:between w:val="nil"/>
        </w:pBdr>
        <w:jc w:val="both"/>
        <w:rPr>
          <w:color w:val="000000"/>
          <w:sz w:val="20"/>
          <w:szCs w:val="20"/>
        </w:rPr>
      </w:pPr>
      <w:r w:rsidRPr="00800799">
        <w:rPr>
          <w:color w:val="000000"/>
          <w:sz w:val="20"/>
          <w:szCs w:val="20"/>
        </w:rPr>
        <w:t>Potíže poskytovatele EPC s přístupem ke konkurenčnímu dlouhodobému financování (déle než 6 let) kvůli omezeným bilančním zdrojům.</w:t>
      </w:r>
    </w:p>
    <w:p w14:paraId="00000447" w14:textId="77777777" w:rsidR="00054D27" w:rsidRPr="00800799" w:rsidRDefault="00AF622A">
      <w:pPr>
        <w:numPr>
          <w:ilvl w:val="0"/>
          <w:numId w:val="8"/>
        </w:numPr>
        <w:pBdr>
          <w:top w:val="nil"/>
          <w:left w:val="nil"/>
          <w:bottom w:val="nil"/>
          <w:right w:val="nil"/>
          <w:between w:val="nil"/>
        </w:pBdr>
        <w:jc w:val="both"/>
        <w:rPr>
          <w:color w:val="000000"/>
          <w:sz w:val="20"/>
          <w:szCs w:val="20"/>
        </w:rPr>
      </w:pPr>
      <w:r w:rsidRPr="00800799">
        <w:rPr>
          <w:color w:val="000000"/>
          <w:sz w:val="20"/>
          <w:szCs w:val="20"/>
        </w:rPr>
        <w:t>Trh EPC je roztříštěný a chybí standardizace zejména v podobě úspory záruky poskytované poskytovatelem EPC.</w:t>
      </w:r>
    </w:p>
    <w:p w14:paraId="00000448" w14:textId="77777777" w:rsidR="00054D27" w:rsidRPr="00800799" w:rsidRDefault="00AF622A">
      <w:pPr>
        <w:numPr>
          <w:ilvl w:val="0"/>
          <w:numId w:val="8"/>
        </w:numPr>
        <w:pBdr>
          <w:top w:val="nil"/>
          <w:left w:val="nil"/>
          <w:bottom w:val="nil"/>
          <w:right w:val="nil"/>
          <w:between w:val="nil"/>
        </w:pBdr>
        <w:jc w:val="both"/>
        <w:rPr>
          <w:color w:val="000000"/>
          <w:sz w:val="20"/>
          <w:szCs w:val="20"/>
        </w:rPr>
      </w:pPr>
      <w:r w:rsidRPr="00800799">
        <w:rPr>
          <w:color w:val="000000"/>
          <w:sz w:val="20"/>
          <w:szCs w:val="20"/>
        </w:rPr>
        <w:t>Zákon zakazující státním rozpočtovým organizacím zadlužovat se, včetně dodavatelských úvěrů.</w:t>
      </w:r>
    </w:p>
    <w:p w14:paraId="00000449" w14:textId="77777777" w:rsidR="00054D27" w:rsidRPr="00800799" w:rsidRDefault="00AF622A">
      <w:pPr>
        <w:numPr>
          <w:ilvl w:val="0"/>
          <w:numId w:val="8"/>
        </w:numPr>
        <w:pBdr>
          <w:top w:val="nil"/>
          <w:left w:val="nil"/>
          <w:bottom w:val="nil"/>
          <w:right w:val="nil"/>
          <w:between w:val="nil"/>
        </w:pBdr>
        <w:jc w:val="both"/>
        <w:rPr>
          <w:color w:val="000000"/>
          <w:sz w:val="20"/>
          <w:szCs w:val="20"/>
        </w:rPr>
      </w:pPr>
      <w:r w:rsidRPr="00800799">
        <w:rPr>
          <w:color w:val="000000"/>
          <w:sz w:val="20"/>
          <w:szCs w:val="20"/>
        </w:rPr>
        <w:t>Zvyšuje transakční náklady pro klienty EPC a pro banky a (náklady na přípravu projektu, finanční náklady).</w:t>
      </w:r>
    </w:p>
    <w:p w14:paraId="0000044A" w14:textId="77777777" w:rsidR="00054D27" w:rsidRPr="00800799" w:rsidRDefault="00AF622A">
      <w:pPr>
        <w:numPr>
          <w:ilvl w:val="0"/>
          <w:numId w:val="8"/>
        </w:numPr>
        <w:pBdr>
          <w:top w:val="nil"/>
          <w:left w:val="nil"/>
          <w:bottom w:val="nil"/>
          <w:right w:val="nil"/>
          <w:between w:val="nil"/>
        </w:pBdr>
        <w:jc w:val="both"/>
        <w:rPr>
          <w:color w:val="000000"/>
          <w:sz w:val="20"/>
          <w:szCs w:val="20"/>
        </w:rPr>
      </w:pPr>
      <w:r w:rsidRPr="00800799">
        <w:rPr>
          <w:color w:val="000000"/>
          <w:sz w:val="20"/>
          <w:szCs w:val="20"/>
        </w:rPr>
        <w:t>Banky se zdráhají financovat EPC projekty, kde jsou vystaveny úvěrovému riziku EPC klienta a riziku nedostatečné výkonnosti poskytovatele EPC.</w:t>
      </w:r>
    </w:p>
    <w:p w14:paraId="0000044B" w14:textId="77777777" w:rsidR="00054D27" w:rsidRPr="00800799" w:rsidRDefault="00054D27">
      <w:pPr>
        <w:pBdr>
          <w:top w:val="nil"/>
          <w:left w:val="nil"/>
          <w:bottom w:val="nil"/>
          <w:right w:val="nil"/>
          <w:between w:val="nil"/>
        </w:pBdr>
        <w:ind w:left="720"/>
        <w:jc w:val="both"/>
        <w:rPr>
          <w:color w:val="000000"/>
          <w:sz w:val="20"/>
          <w:szCs w:val="20"/>
        </w:rPr>
      </w:pPr>
    </w:p>
    <w:p w14:paraId="0000044C" w14:textId="77777777" w:rsidR="00054D27" w:rsidRPr="00800799" w:rsidRDefault="00AF622A">
      <w:pPr>
        <w:spacing w:before="120" w:after="120"/>
        <w:jc w:val="both"/>
        <w:rPr>
          <w:sz w:val="20"/>
          <w:szCs w:val="20"/>
        </w:rPr>
      </w:pPr>
      <w:r w:rsidRPr="00800799">
        <w:rPr>
          <w:sz w:val="20"/>
          <w:szCs w:val="20"/>
        </w:rPr>
        <w:t xml:space="preserve">Nová pravidla </w:t>
      </w:r>
      <w:proofErr w:type="spellStart"/>
      <w:r w:rsidRPr="00800799">
        <w:rPr>
          <w:sz w:val="20"/>
          <w:szCs w:val="20"/>
        </w:rPr>
        <w:t>Eurostatu</w:t>
      </w:r>
      <w:proofErr w:type="spellEnd"/>
      <w:r w:rsidRPr="00800799">
        <w:rPr>
          <w:sz w:val="20"/>
          <w:szCs w:val="20"/>
        </w:rPr>
        <w:t xml:space="preserve"> o „Maastrichtské neutrální“ EPC jsou v současné době transponována do nového smluvního modelu EPC. Za předpokladu pozitivního výsledku by byl nový model smluv EPC „Maastrichtský neutrální“ považován za čistě servisní </w:t>
      </w:r>
      <w:proofErr w:type="gramStart"/>
      <w:r w:rsidRPr="00800799">
        <w:rPr>
          <w:sz w:val="20"/>
          <w:szCs w:val="20"/>
        </w:rPr>
        <w:t>smlouvu</w:t>
      </w:r>
      <w:proofErr w:type="gramEnd"/>
      <w:r w:rsidRPr="00800799">
        <w:rPr>
          <w:sz w:val="20"/>
          <w:szCs w:val="20"/>
        </w:rPr>
        <w:t xml:space="preserve"> a ne za půjčku veřejným subjektům. V důsledku toho by takový smluvní model EPC odblokoval současné regulační a rozpočtové překážky pro renovaci budov státních rozpočtových organizací. Taková „</w:t>
      </w:r>
      <w:proofErr w:type="spellStart"/>
      <w:r w:rsidRPr="00800799">
        <w:rPr>
          <w:sz w:val="20"/>
          <w:szCs w:val="20"/>
        </w:rPr>
        <w:t>maastrichtně</w:t>
      </w:r>
      <w:proofErr w:type="spellEnd"/>
      <w:r w:rsidRPr="00800799">
        <w:rPr>
          <w:sz w:val="20"/>
          <w:szCs w:val="20"/>
        </w:rPr>
        <w:t xml:space="preserve"> neutrální“ smlouva EPC vyžaduje, aby byla většina rizik přesunuta do soukromého sektoru a mimo jiné také minimální doba trvání smlouvy 8 let. Tato nová omezení a rizika je třeba řešit pomocí přizpůsobeného finančního nástroje, jehož cílem je umožnit přístup k dlouhodobému a dostupnému financování.</w:t>
      </w:r>
    </w:p>
    <w:p w14:paraId="0000044D" w14:textId="77777777" w:rsidR="00054D27" w:rsidRPr="00800799" w:rsidRDefault="00AF622A">
      <w:pPr>
        <w:jc w:val="both"/>
        <w:rPr>
          <w:sz w:val="20"/>
          <w:szCs w:val="20"/>
        </w:rPr>
      </w:pPr>
      <w:r w:rsidRPr="00800799">
        <w:rPr>
          <w:sz w:val="20"/>
          <w:szCs w:val="20"/>
        </w:rPr>
        <w:t>Český trh privátního bankovnictví nabízí ESCO model financování „EPC Forfaiting úvěr“ již řadu let. Konzultace s bankami ukazují, že forfaiting EPC je obtížně dostupný pro menší a střední poskytovatele EPC, pro dlouhodobé EPC nebo pro EPC ujednání bez neodvolatelné platební povinnosti.</w:t>
      </w:r>
    </w:p>
    <w:p w14:paraId="0000044E" w14:textId="77777777" w:rsidR="00054D27" w:rsidRPr="00800799" w:rsidRDefault="00AF622A">
      <w:pPr>
        <w:spacing w:before="120" w:after="120"/>
        <w:jc w:val="both"/>
        <w:rPr>
          <w:sz w:val="20"/>
          <w:szCs w:val="20"/>
        </w:rPr>
      </w:pPr>
      <w:r w:rsidRPr="00800799">
        <w:rPr>
          <w:sz w:val="20"/>
          <w:szCs w:val="20"/>
        </w:rPr>
        <w:t>Přístup ke komerčnímu dlouhodobému financování projektů EPC bude velmi nákladný, pokud bude komerční banka vystavena jak úvěrovému riziku klienta EPC, tak i výkonnostnímu riziku poskytovatele EPC. Komerční banky zapojené do financování EPC a PBC signalizovaly, že budou potřebovat záruční nástroj, aby zvýšily svou aktivitu v oblasti financování EPC za konkurenčních podmínek a poskytly řešení financování maastrichtských neutrálních EPC projektů.</w:t>
      </w:r>
    </w:p>
    <w:p w14:paraId="0000044F" w14:textId="77777777" w:rsidR="00054D27" w:rsidRPr="00800799" w:rsidRDefault="00AF622A">
      <w:pPr>
        <w:spacing w:before="120" w:after="120"/>
        <w:jc w:val="both"/>
        <w:rPr>
          <w:sz w:val="20"/>
          <w:szCs w:val="20"/>
        </w:rPr>
      </w:pPr>
      <w:r w:rsidRPr="00800799">
        <w:rPr>
          <w:sz w:val="20"/>
          <w:szCs w:val="20"/>
        </w:rPr>
        <w:t>Studie identifikovala řadu opatření ke stimulaci investic úspor energie prostřednictvím EPC a PBC, včetně vytvoření nového finančního nástroje. Mezi identifikovaná opatření patří:</w:t>
      </w:r>
    </w:p>
    <w:p w14:paraId="00000450" w14:textId="77777777" w:rsidR="00054D27" w:rsidRPr="00800799" w:rsidRDefault="00AF622A">
      <w:pPr>
        <w:numPr>
          <w:ilvl w:val="0"/>
          <w:numId w:val="17"/>
        </w:numPr>
        <w:pBdr>
          <w:top w:val="nil"/>
          <w:left w:val="nil"/>
          <w:bottom w:val="nil"/>
          <w:right w:val="nil"/>
          <w:between w:val="nil"/>
        </w:pBdr>
        <w:spacing w:before="120"/>
        <w:jc w:val="both"/>
        <w:rPr>
          <w:color w:val="000000"/>
          <w:sz w:val="20"/>
          <w:szCs w:val="20"/>
        </w:rPr>
      </w:pPr>
      <w:r w:rsidRPr="00800799">
        <w:rPr>
          <w:color w:val="000000"/>
          <w:sz w:val="20"/>
          <w:szCs w:val="20"/>
        </w:rPr>
        <w:t>Poskytování dodatečné technické pomoci pro zjednodušení a urychlení procesu zadávání veřejných zakázek, ideálně prostřednictvím modelu jednoho kontaktního místa.</w:t>
      </w:r>
    </w:p>
    <w:p w14:paraId="00000451" w14:textId="77777777" w:rsidR="00054D27" w:rsidRPr="00800799" w:rsidRDefault="00AF622A">
      <w:pPr>
        <w:numPr>
          <w:ilvl w:val="0"/>
          <w:numId w:val="17"/>
        </w:numPr>
        <w:pBdr>
          <w:top w:val="nil"/>
          <w:left w:val="nil"/>
          <w:bottom w:val="nil"/>
          <w:right w:val="nil"/>
          <w:between w:val="nil"/>
        </w:pBdr>
        <w:jc w:val="both"/>
        <w:rPr>
          <w:color w:val="000000"/>
          <w:sz w:val="20"/>
          <w:szCs w:val="20"/>
        </w:rPr>
      </w:pPr>
      <w:r w:rsidRPr="00800799">
        <w:rPr>
          <w:color w:val="000000"/>
          <w:sz w:val="20"/>
          <w:szCs w:val="20"/>
        </w:rPr>
        <w:t xml:space="preserve">Vytvoření nového záručního nástroje pro zajištění splácení kapitálových výdajů EPC věřitelům EPC a usnadnění přístupu k financování projektů EPC, zejména pokud poskytují komplexní renovaci úspory energie podle nových pravidel EPC </w:t>
      </w:r>
      <w:proofErr w:type="spellStart"/>
      <w:r w:rsidRPr="00800799">
        <w:rPr>
          <w:color w:val="000000"/>
          <w:sz w:val="20"/>
          <w:szCs w:val="20"/>
        </w:rPr>
        <w:t>Eurostatu</w:t>
      </w:r>
      <w:proofErr w:type="spellEnd"/>
      <w:r w:rsidRPr="00800799">
        <w:rPr>
          <w:color w:val="000000"/>
          <w:sz w:val="20"/>
          <w:szCs w:val="20"/>
        </w:rPr>
        <w:t>.</w:t>
      </w:r>
    </w:p>
    <w:p w14:paraId="00000452" w14:textId="77777777" w:rsidR="00054D27" w:rsidRPr="00800799" w:rsidRDefault="00AF622A">
      <w:pPr>
        <w:numPr>
          <w:ilvl w:val="0"/>
          <w:numId w:val="17"/>
        </w:numPr>
        <w:pBdr>
          <w:top w:val="nil"/>
          <w:left w:val="nil"/>
          <w:bottom w:val="nil"/>
          <w:right w:val="nil"/>
          <w:between w:val="nil"/>
        </w:pBdr>
        <w:jc w:val="both"/>
        <w:rPr>
          <w:color w:val="000000"/>
          <w:sz w:val="20"/>
          <w:szCs w:val="20"/>
        </w:rPr>
      </w:pPr>
      <w:r w:rsidRPr="00800799">
        <w:rPr>
          <w:color w:val="000000"/>
          <w:sz w:val="20"/>
          <w:szCs w:val="20"/>
        </w:rPr>
        <w:lastRenderedPageBreak/>
        <w:t>Očekává se, že navrhovaný nový záruční nástroj a balíček technické pomoci zvýší důvěru vlastníků budov v model EPC</w:t>
      </w:r>
    </w:p>
    <w:p w14:paraId="00000453" w14:textId="77777777" w:rsidR="00054D27" w:rsidRPr="00800799" w:rsidRDefault="00AF622A">
      <w:pPr>
        <w:numPr>
          <w:ilvl w:val="0"/>
          <w:numId w:val="17"/>
        </w:numPr>
        <w:pBdr>
          <w:top w:val="nil"/>
          <w:left w:val="nil"/>
          <w:bottom w:val="nil"/>
          <w:right w:val="nil"/>
          <w:between w:val="nil"/>
        </w:pBdr>
        <w:jc w:val="both"/>
        <w:rPr>
          <w:color w:val="000000"/>
          <w:sz w:val="20"/>
          <w:szCs w:val="20"/>
        </w:rPr>
      </w:pPr>
      <w:r w:rsidRPr="00800799">
        <w:rPr>
          <w:color w:val="000000"/>
          <w:sz w:val="20"/>
          <w:szCs w:val="20"/>
        </w:rPr>
        <w:t>Očekává se, že trh ESCO bude touto zárukou a technickou pomocí stimulován</w:t>
      </w:r>
    </w:p>
    <w:p w14:paraId="00000454" w14:textId="77777777" w:rsidR="00054D27" w:rsidRPr="00800799" w:rsidRDefault="00AF622A">
      <w:pPr>
        <w:numPr>
          <w:ilvl w:val="0"/>
          <w:numId w:val="17"/>
        </w:numPr>
        <w:pBdr>
          <w:top w:val="nil"/>
          <w:left w:val="nil"/>
          <w:bottom w:val="nil"/>
          <w:right w:val="nil"/>
          <w:between w:val="nil"/>
        </w:pBdr>
        <w:jc w:val="both"/>
        <w:rPr>
          <w:color w:val="000000"/>
          <w:sz w:val="20"/>
          <w:szCs w:val="20"/>
        </w:rPr>
      </w:pPr>
      <w:r w:rsidRPr="00800799">
        <w:rPr>
          <w:color w:val="000000"/>
          <w:sz w:val="20"/>
          <w:szCs w:val="20"/>
        </w:rPr>
        <w:t>Předpokládají se doplňková opatření financovaná ze zdrojů ESIF, jako jsou dotace na úrokové sazby, aby se zlepšila nákladová efektivita ujednání EPC pro vlastníky veřejných budov.</w:t>
      </w:r>
    </w:p>
    <w:p w14:paraId="00000455" w14:textId="77777777" w:rsidR="00054D27" w:rsidRPr="00800799" w:rsidRDefault="00054D27">
      <w:pPr>
        <w:pBdr>
          <w:top w:val="nil"/>
          <w:left w:val="nil"/>
          <w:bottom w:val="nil"/>
          <w:right w:val="nil"/>
          <w:between w:val="nil"/>
        </w:pBdr>
        <w:spacing w:after="120"/>
        <w:ind w:left="720"/>
        <w:rPr>
          <w:color w:val="000000"/>
          <w:sz w:val="20"/>
          <w:szCs w:val="20"/>
        </w:rPr>
      </w:pPr>
    </w:p>
    <w:p w14:paraId="00000456" w14:textId="77777777" w:rsidR="00054D27" w:rsidRPr="00800799" w:rsidRDefault="00AF622A">
      <w:pPr>
        <w:spacing w:before="120" w:after="120"/>
        <w:rPr>
          <w:b/>
          <w:sz w:val="20"/>
          <w:szCs w:val="20"/>
        </w:rPr>
      </w:pPr>
      <w:r w:rsidRPr="00800799">
        <w:rPr>
          <w:b/>
          <w:sz w:val="20"/>
          <w:szCs w:val="20"/>
        </w:rPr>
        <w:t>Navrhované finanční a poradenské řešení EIB:</w:t>
      </w:r>
    </w:p>
    <w:p w14:paraId="00000457" w14:textId="77777777" w:rsidR="00054D27" w:rsidRPr="00800799" w:rsidRDefault="00AF622A">
      <w:pPr>
        <w:numPr>
          <w:ilvl w:val="0"/>
          <w:numId w:val="14"/>
        </w:numPr>
        <w:pBdr>
          <w:top w:val="nil"/>
          <w:left w:val="nil"/>
          <w:bottom w:val="nil"/>
          <w:right w:val="nil"/>
          <w:between w:val="nil"/>
        </w:pBdr>
        <w:spacing w:before="120"/>
        <w:jc w:val="both"/>
        <w:rPr>
          <w:color w:val="000000"/>
          <w:sz w:val="20"/>
          <w:szCs w:val="20"/>
        </w:rPr>
      </w:pPr>
      <w:r w:rsidRPr="00800799">
        <w:rPr>
          <w:color w:val="000000"/>
          <w:sz w:val="20"/>
          <w:szCs w:val="20"/>
        </w:rPr>
        <w:t>Měly by být zváženy dva typy portfoliových záručních nástrojů – limitované záruky a nelimitované záruky.</w:t>
      </w:r>
    </w:p>
    <w:p w14:paraId="00000458"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Za upřednostňované řešení před financovaným nástrojem se považuje zřízení finančního nástroje pro záruky za úvěry EPC forfaiting. Očekává se, že poskytnutí krytí úvěrového rizika finančním zprostředkovatelům u nového portfolia forfaitingových úvěrů EPC/PBC konečným příjemcům povede ke zvýšení počtu projektů EPC a PBC.</w:t>
      </w:r>
    </w:p>
    <w:p w14:paraId="00000459"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ESIF mohou hrát důležitou roli při podpoře navrhovaného záručního finančního nástroje, jako je poskytování přizpůsobeného dlouhodobého financování projektům EPC a poskytování grantů věnovaných opatřením v oblasti energetické účinnosti.</w:t>
      </w:r>
    </w:p>
    <w:p w14:paraId="0000045A" w14:textId="6C65AE11"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sz w:val="20"/>
          <w:szCs w:val="20"/>
        </w:rPr>
        <w:t>ČMZRB</w:t>
      </w:r>
      <w:r w:rsidRPr="00800799">
        <w:rPr>
          <w:color w:val="000000"/>
          <w:sz w:val="20"/>
          <w:szCs w:val="20"/>
        </w:rPr>
        <w:t xml:space="preserve"> by dále podpořila rozvoj trhu EPC a PBC vytvořením balíčku technické podpory ve formě konceptu jednoho kontaktního místa, který by poskytoval předběžné poradenství potenciálním klientům EPC a zefektivnil smluvní procesy EPC</w:t>
      </w:r>
    </w:p>
    <w:p w14:paraId="0000045B"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Cílovými sektory navrhovaného nového finančního nástroje EPC/PBC forfaitingových úvěrových záruk by byly veřejné budovy ve vlastnictví obcí, samospráv a státních organizací. Studie také zmiňuje možné řešení podpory za specifických podmínek budov nacházejících se v Praze navrhovaným finančním nástrojem, a to i v případě příspěvku z OPPIK, který vylučuje území Prahy.</w:t>
      </w:r>
    </w:p>
    <w:p w14:paraId="0000045C"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 xml:space="preserve">Příspěvek ESIF na finanční nástroj by mohl být mobilizován z OPIK. Část příspěvku z ESIF by byla použita jako první ztráta ke zmírnění rizika pro komerční banky a část jako úroková dotace ke snížení nákladů na financování EPC, zejména pro veřejný sektor. </w:t>
      </w:r>
      <w:proofErr w:type="spellStart"/>
      <w:r w:rsidRPr="00800799">
        <w:rPr>
          <w:color w:val="000000"/>
          <w:sz w:val="20"/>
          <w:szCs w:val="20"/>
        </w:rPr>
        <w:t>Podopatření</w:t>
      </w:r>
      <w:proofErr w:type="spellEnd"/>
      <w:r w:rsidRPr="00800799">
        <w:rPr>
          <w:color w:val="000000"/>
          <w:sz w:val="20"/>
          <w:szCs w:val="20"/>
        </w:rPr>
        <w:t xml:space="preserve">, u kterých se počítá s využitím záručního finančního nástroje, jsou v rámci prioritní osy 3 „Efektivní hospodaření s energií, rozvoj energetické infrastruktury a obnovitelných zdrojů energie, podpora zavádění nových technologií v nakládání s energií a druhotnými surovinami“. </w:t>
      </w:r>
    </w:p>
    <w:p w14:paraId="0000045D"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Celkový rozpočet alokovaný na realizaci programu OPIK 2014-2020 souvisejícího s investicemi do Energetické účinnosti podnikovým sektorem je cca. 49 milionů EUR. Nepřidělená část tohoto programu by mohla být mobilizována, aby přispěla do specializovaného záručního finančního nástroje EPC a/nebo doplňkových opatření</w:t>
      </w:r>
    </w:p>
    <w:p w14:paraId="0000045E"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Bylo dosaženo dohody s Ministerstvem životního prostředí, Řídícím orgánem odpovědným za energetickou účinnost ve veřejných budovách, že na stejnou budovu lze vedle navrhovaného záručního finančního nástroje EPC využít dotace z ESIF z Operačního programu Životní prostředí.</w:t>
      </w:r>
    </w:p>
    <w:p w14:paraId="0000045F"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Vezmeme-li v úvahu obrovský současný nedostatek investic do opatření úspory energie k dosažení cílů úspor energie do roku 2030 odhadovaných na 5,8 mld. EUR v příštím desetiletí, jakož i současnou absorpční kapacitu společností ESCO poskytovat a realizovat projekty EPC a PBC. Odůvodněně se odhaduje, že předpokládané stimulační akce by zvýšily trh pro projekty EPC a PBC ze současného objemu investic 20 milionů EUR ročně na investice 60 milionů EUR ročně.</w:t>
      </w:r>
    </w:p>
    <w:p w14:paraId="00000460"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Tento nárůst trhu by byl způsoben především novými EPC Maastrichtskými neutrálními projekty vytvořenými vlastníky veřejných budov a odůvodnil by vytvoření finančního nástroje EPC forfaitingové záruky za úvěry, který poskytuje finančním zprostředkovatelům krytí úvěrového rizika na novém portfoliu forfaitingu EPC/PBC. půjčky konečným příjemcům.</w:t>
      </w:r>
    </w:p>
    <w:p w14:paraId="00000461"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 xml:space="preserve">Na základě současných tržních praktik více než 50 % EPC financování poskytují komerční banky. Potenciální absorpce trhu pro takový záruční nástroj by proto mohla být odhadnuta v rozmezí 30 milionů EUR ročně. Vezmeme-li v úvahu nezbytnou náběhovou dobu pro implementaci nástroje a </w:t>
      </w:r>
      <w:r w:rsidRPr="00800799">
        <w:rPr>
          <w:color w:val="000000"/>
          <w:sz w:val="20"/>
          <w:szCs w:val="20"/>
        </w:rPr>
        <w:lastRenderedPageBreak/>
        <w:t>kombinovaného schématu podpory technické pomoci, jakož i alokační období pro příspěvek z ESIF do konce roku 2023, přiměřená cílová velikost takového pilotního garantovaného portfolia EPC by byla 50 mil. EUR.</w:t>
      </w:r>
    </w:p>
    <w:p w14:paraId="00000462"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 xml:space="preserve">Finanční nástroj záruky za úvěr EPC forfaiting by měl formu limitované záruky a pokrýval by plnou platbu klientského poplatku EPC </w:t>
      </w:r>
      <w:proofErr w:type="spellStart"/>
      <w:r w:rsidRPr="00800799">
        <w:rPr>
          <w:color w:val="000000"/>
          <w:sz w:val="20"/>
          <w:szCs w:val="20"/>
        </w:rPr>
        <w:t>forfeiter</w:t>
      </w:r>
      <w:proofErr w:type="spellEnd"/>
      <w:r w:rsidRPr="00800799">
        <w:rPr>
          <w:color w:val="000000"/>
          <w:sz w:val="20"/>
          <w:szCs w:val="20"/>
        </w:rPr>
        <w:t xml:space="preserve"> (komerční bance). Omezená sazba záruky bude dále projednána s finančním zprostředkovatelem, ale na základě předběžných pohovorů o testování trhu s bankovním sektorem by byla nezbytná rezerva na riziko první ztráty ve výši 25 %, aby se povzbudilo komerční banky, aby poskytovaly přizpůsobené dlouhodobé financování. Na portfoliovém základě by byla maximální míra záruky pro záruku finančního nástroje stanovena na 25 %, což by bylo odůvodněno jak úvěrovým rizikem konečných příjemců, tak vnímaným rizikem nedostatku plateb souvisejícím s výkonnostním rizikem úspory energie. Na základě úvěru po úvěru by každý EPC nebo PBC forfaitingový úvěr byl kryt z 80 %, zbývajících 20 % rizikové expozice by převzal finanční zprostředkovatel za účelem vyrovnání účelu úroků.</w:t>
      </w:r>
    </w:p>
    <w:p w14:paraId="00000463"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Příspěvek 10 až 15 mil. EUR ze zdrojů OPPI by přinesl minimálně 40 až 60 mil. EUR nových forfaitingových úvěrů EPC/PBC se zlepšenými podmínkami pro konečné příjemce. Odhaduje se, že to usnadní přístup k financování nejméně 40 až 50 projektům EPC.</w:t>
      </w:r>
    </w:p>
    <w:p w14:paraId="00000464"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Dodatečný příspěvek OPPP ve výši 5 až 10 mil. EUR by byl mobilizován ve formě obálky úrokové dotace za účelem snížení finančních nákladů EPC pro konečné příjemce.</w:t>
      </w:r>
    </w:p>
    <w:p w14:paraId="00000465" w14:textId="77777777" w:rsidR="00054D27" w:rsidRPr="00800799" w:rsidRDefault="00AF622A">
      <w:pPr>
        <w:numPr>
          <w:ilvl w:val="0"/>
          <w:numId w:val="14"/>
        </w:numPr>
        <w:pBdr>
          <w:top w:val="nil"/>
          <w:left w:val="nil"/>
          <w:bottom w:val="nil"/>
          <w:right w:val="nil"/>
          <w:between w:val="nil"/>
        </w:pBdr>
        <w:spacing w:after="120"/>
        <w:jc w:val="both"/>
        <w:rPr>
          <w:color w:val="000000"/>
          <w:sz w:val="20"/>
          <w:szCs w:val="20"/>
        </w:rPr>
      </w:pPr>
      <w:r w:rsidRPr="00800799">
        <w:rPr>
          <w:color w:val="000000"/>
          <w:sz w:val="20"/>
          <w:szCs w:val="20"/>
        </w:rPr>
        <w:t>Státní podpora může být přítomna v navrhovaném záručním finančním nástroji na úrovni správce fondu, spoluinvestorů a konečných příjemců.</w:t>
      </w:r>
    </w:p>
    <w:p w14:paraId="00000466" w14:textId="13D3A310" w:rsidR="00054D27" w:rsidRPr="00800799" w:rsidRDefault="00AF622A">
      <w:pPr>
        <w:spacing w:before="280" w:after="280"/>
        <w:rPr>
          <w:b/>
          <w:sz w:val="20"/>
          <w:szCs w:val="20"/>
        </w:rPr>
      </w:pPr>
      <w:r w:rsidRPr="00800799">
        <w:rPr>
          <w:b/>
          <w:sz w:val="20"/>
          <w:szCs w:val="20"/>
        </w:rPr>
        <w:t xml:space="preserve">Závěry a doporučení EIB: </w:t>
      </w:r>
    </w:p>
    <w:p w14:paraId="00000467" w14:textId="39234B0B" w:rsidR="00054D27" w:rsidRPr="00800799" w:rsidRDefault="00AF622A">
      <w:pPr>
        <w:numPr>
          <w:ilvl w:val="0"/>
          <w:numId w:val="14"/>
        </w:numPr>
        <w:pBdr>
          <w:top w:val="nil"/>
          <w:left w:val="nil"/>
          <w:bottom w:val="nil"/>
          <w:right w:val="nil"/>
          <w:between w:val="nil"/>
        </w:pBdr>
        <w:spacing w:before="120"/>
        <w:jc w:val="both"/>
        <w:rPr>
          <w:color w:val="000000"/>
          <w:sz w:val="20"/>
          <w:szCs w:val="20"/>
        </w:rPr>
      </w:pPr>
      <w:r w:rsidRPr="00800799">
        <w:rPr>
          <w:color w:val="000000"/>
          <w:sz w:val="20"/>
          <w:szCs w:val="20"/>
        </w:rPr>
        <w:t xml:space="preserve">Prioritní osa 3 OP PIK, Investiční priorita 2 „Podpora energetické účinnosti a využívání obnovitelné energie v podnicích“ je třeba aktualizovat, aby umožnila úspory energie a OZE ve veřejných budovách a pouličním osvětlení prostřednictvím EPC a rovněž je třeba počítat s aktualizací společných a specifických ukazatelů </w:t>
      </w:r>
      <w:proofErr w:type="gramStart"/>
      <w:r w:rsidRPr="00800799">
        <w:rPr>
          <w:color w:val="000000"/>
          <w:sz w:val="20"/>
          <w:szCs w:val="20"/>
        </w:rPr>
        <w:t>výstupu .</w:t>
      </w:r>
      <w:proofErr w:type="gramEnd"/>
    </w:p>
    <w:p w14:paraId="00000468"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Při navrhování FI by měl být vzat v úvahu faktor času. Všechny prostředky ESIF na období 2014–2020 přidělené FI musí být vyplaceny konečným příjemcům do konce prosince 2023.</w:t>
      </w:r>
    </w:p>
    <w:p w14:paraId="00000469"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očekává se, že poptávka po financování EPC a BPC v budoucnu poroste.</w:t>
      </w:r>
    </w:p>
    <w:p w14:paraId="0000046A"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Očekává se, že kombinace grantu ELENA na technickou podporu, odblokování současných překážek prostřednictvím EPC Maastrichtských neutrálních smluv a nastavení nových hnacích sil trhu, jako je grant dotace úroků, stejně jako specializovaný nástroj finanční záruky EPC/PBC posílí Investiční opatření úspory energie v ČR prostřednictvím ujednání EPC a PBC. Současná stavební kapacita ESCO pro projekt EPC/PBC je přiměřeně odhadnuta na 60 mil. EUR za rok. Vzhledem k narůstajícímu období pro implementaci opatření zaměřených na stimulaci tržní poptávky a obvyklé míře bankovního financování projektů EPC se má za to, že v příštích 3 letech by mohlo být zřízeno portfolio forfaitingových úvěrů EPC/PBC v hodnotě 50 mil. EUR.</w:t>
      </w:r>
    </w:p>
    <w:p w14:paraId="0000046B"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Příspěvek ESIF, o kterém se očekává, že bude podporovat jak prvek záruky za první ztrátu v portfoliu, tak potenciální schéma dotace úrokových sazeb, je odhadován na 20 mil. EUR, z čehož 15 mil. EUR by bylo věnováno záručnímu nástroji. Pákový efekt vyšší než 4X, očekávaný revolvingový dopad záruční rezervy pokrývající vnímané riziko, jakož i předpokládaná přidaná hodnota pro konečné příjemce a občany (řešení klíčového sektoru souvisejícího s klimatem, energetická účinnost), jsou plně slučitelné s cíli Finanční nástroj ESIF</w:t>
      </w:r>
    </w:p>
    <w:p w14:paraId="0000046C"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Pokud jde o státní podporu, bude upřednostněn systém, který je pro finanční zprostředkovatele dostatečně jednoduchý na řízení. Doporučuje se prozkoumat mechanismus předávání, což znamená, že se bere v úvahu pouze státní podpora na úrovni konečného příjemce, nikoli na úrovni ESCO.</w:t>
      </w:r>
    </w:p>
    <w:p w14:paraId="0000046D"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lastRenderedPageBreak/>
        <w:t xml:space="preserve">V souladu s platným rámcem by mohly být využity možnosti kombinace úvěrů zajištěných záručním nástrojem a investičních grantů ESIF. Je vhodné mít systém, který je jednoduchý a transparentní pro konečného příjemce a finanční zprostředkovatele, proto by měl být projednán mezi ŘO a subjektem (subjekty) </w:t>
      </w:r>
      <w:proofErr w:type="gramStart"/>
      <w:r w:rsidRPr="00800799">
        <w:rPr>
          <w:color w:val="000000"/>
          <w:sz w:val="20"/>
          <w:szCs w:val="20"/>
        </w:rPr>
        <w:t>pověřeným</w:t>
      </w:r>
      <w:proofErr w:type="gramEnd"/>
      <w:r w:rsidRPr="00800799">
        <w:rPr>
          <w:color w:val="000000"/>
          <w:sz w:val="20"/>
          <w:szCs w:val="20"/>
        </w:rPr>
        <w:t xml:space="preserve"> implementací FI. Systém musí zajistit, aby se grant snížil o ekvivalent hrubého grantu FI, když stejná investice obdrží podporu od FI a granty, v případě investic EPC/PBC do budov vlastněných nebo používaných komerčními podniky.</w:t>
      </w:r>
    </w:p>
    <w:p w14:paraId="0000046E"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 xml:space="preserve">Klíčovými faktory úspěchu pro implementaci </w:t>
      </w:r>
      <w:proofErr w:type="spellStart"/>
      <w:r w:rsidRPr="00800799">
        <w:rPr>
          <w:color w:val="000000"/>
          <w:sz w:val="20"/>
          <w:szCs w:val="20"/>
        </w:rPr>
        <w:t>FIs</w:t>
      </w:r>
      <w:proofErr w:type="spellEnd"/>
      <w:r w:rsidRPr="00800799">
        <w:rPr>
          <w:color w:val="000000"/>
          <w:sz w:val="20"/>
          <w:szCs w:val="20"/>
        </w:rPr>
        <w:t xml:space="preserve"> jsou: konečný návrh finančního produktu (tj. kritéria způsobilosti pro konečné příjemce a pro výdaje, které by mohly být financovány, doba splatnosti, úroková sazba, doba odkladu), jednoduchost postupů, čas potřebný k implementaci a přiměřenou propagaci FI.</w:t>
      </w:r>
    </w:p>
    <w:p w14:paraId="0000046F"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 xml:space="preserve">Při výběru implementačního řešení je důležité, aby proces od podpisu smlouvy o financování, výběru finančních zprostředkovatelů, podpisu provozních smluv a vyplacení úvěrů proběhl včas. Způsob spolupráce bude dohodnut mezi hlavními účastníky trhu, jako je ČMZRB jednající jako garant a centrum technické pomoci, financující (finanční zprostředkovatelé a/nebo národní rozvojový fond) a ESCO jednající jako </w:t>
      </w:r>
      <w:proofErr w:type="spellStart"/>
      <w:r w:rsidRPr="00800799">
        <w:rPr>
          <w:color w:val="000000"/>
          <w:sz w:val="20"/>
          <w:szCs w:val="20"/>
        </w:rPr>
        <w:t>předfinancovatel</w:t>
      </w:r>
      <w:proofErr w:type="spellEnd"/>
      <w:r w:rsidRPr="00800799">
        <w:rPr>
          <w:color w:val="000000"/>
          <w:sz w:val="20"/>
          <w:szCs w:val="20"/>
        </w:rPr>
        <w:t xml:space="preserve"> investičních opatření úspory energie.</w:t>
      </w:r>
    </w:p>
    <w:p w14:paraId="00000470"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Dalšími důležitými faktory jsou absorpční kapacita finančních zprostředkovatelů (jejich geografické pokrytí, jejich schopnost uvést nový produkt na trh, jejich síť směrem k cílové skupině) a schopnost Řídícího orgánu rychle zahájit iniciativu implementace finanční nástroj.</w:t>
      </w:r>
    </w:p>
    <w:p w14:paraId="00000471"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Nástroj by měl být považován za pilotní projekt, který má prokázat koncepci nasazení garančních FI v sektoru EPC/PBC.</w:t>
      </w:r>
    </w:p>
    <w:p w14:paraId="00000472" w14:textId="77777777" w:rsidR="00054D27" w:rsidRPr="00800799" w:rsidRDefault="00AF622A">
      <w:pPr>
        <w:numPr>
          <w:ilvl w:val="0"/>
          <w:numId w:val="14"/>
        </w:numPr>
        <w:pBdr>
          <w:top w:val="nil"/>
          <w:left w:val="nil"/>
          <w:bottom w:val="nil"/>
          <w:right w:val="nil"/>
          <w:between w:val="nil"/>
        </w:pBdr>
        <w:jc w:val="both"/>
        <w:rPr>
          <w:color w:val="000000"/>
          <w:sz w:val="20"/>
          <w:szCs w:val="20"/>
        </w:rPr>
      </w:pPr>
      <w:r w:rsidRPr="00800799">
        <w:rPr>
          <w:color w:val="000000"/>
          <w:sz w:val="20"/>
          <w:szCs w:val="20"/>
        </w:rPr>
        <w:t>Role Národního rozvojového fondu by mohla v blízké budoucnosti nabýt na důležitosti, což je výsledkem současného obratu v souvislosti s krizí COVID 19 směrem ke snížení kapacit komerčních bank poskytovat dlouhodobé řešení financování projektů EPC.</w:t>
      </w:r>
    </w:p>
    <w:p w14:paraId="00000473" w14:textId="77777777" w:rsidR="00054D27" w:rsidRPr="00800799" w:rsidRDefault="00054D27">
      <w:pPr>
        <w:pBdr>
          <w:top w:val="nil"/>
          <w:left w:val="nil"/>
          <w:bottom w:val="nil"/>
          <w:right w:val="nil"/>
          <w:between w:val="nil"/>
        </w:pBdr>
        <w:spacing w:after="120"/>
        <w:ind w:left="360"/>
        <w:rPr>
          <w:color w:val="000000"/>
          <w:sz w:val="20"/>
          <w:szCs w:val="20"/>
        </w:rPr>
      </w:pPr>
    </w:p>
    <w:p w14:paraId="00000474" w14:textId="77777777"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r w:rsidRPr="00800799">
        <w:rPr>
          <w:b/>
          <w:sz w:val="20"/>
          <w:szCs w:val="20"/>
        </w:rPr>
        <w:t>Komentář PwC</w:t>
      </w:r>
      <w:r w:rsidRPr="00800799">
        <w:rPr>
          <w:sz w:val="20"/>
          <w:szCs w:val="20"/>
        </w:rPr>
        <w:t>:</w:t>
      </w:r>
    </w:p>
    <w:p w14:paraId="00000475" w14:textId="1A02C19C" w:rsidR="00054D27" w:rsidRPr="00800799" w:rsidRDefault="00AF622A">
      <w:pPr>
        <w:pBdr>
          <w:top w:val="single" w:sz="4" w:space="1" w:color="000000"/>
          <w:left w:val="single" w:sz="4" w:space="4" w:color="000000"/>
          <w:bottom w:val="single" w:sz="4" w:space="1" w:color="000000"/>
          <w:right w:val="single" w:sz="4" w:space="4" w:color="000000"/>
        </w:pBdr>
        <w:shd w:val="clear" w:color="auto" w:fill="E5B9B7"/>
        <w:jc w:val="both"/>
        <w:rPr>
          <w:sz w:val="20"/>
          <w:szCs w:val="20"/>
        </w:rPr>
      </w:pPr>
      <w:bookmarkStart w:id="89" w:name="_heading=h.4i7ojhp" w:colFirst="0" w:colLast="0"/>
      <w:bookmarkStart w:id="90" w:name="_heading_h_4i7ojhp"/>
      <w:bookmarkEnd w:id="89"/>
      <w:bookmarkEnd w:id="90"/>
      <w:r w:rsidRPr="00800799">
        <w:rPr>
          <w:sz w:val="20"/>
          <w:szCs w:val="20"/>
        </w:rPr>
        <w:t xml:space="preserve">Koncept EPC a PBC je v Česku využíván zejména veřejným sektorem, od roku 2019 ve spojení s dotacemi ve výzvách OPŽP. Je otázka, zda další zvýhodnění v podobě finančního nástroje v OPTAK (tedy zaměřeného na soukromý sektor) přinese vyšší využívání metody EPC nebo PBC v soukromém sektoru a zda v případě finančního nástroje OP TAK ve veřejném sektoru by o něj byl dostatečný zájem a zda by tato kombinace nebyla překážkou využívání dotací OPŽP. NRB realizuje poradenství pro EPC v rámci projektu ELENA. Otázka EPC a PBC kontraktů bude řešena v rámci strukturovaných rozhovorů s NRB, </w:t>
      </w:r>
      <w:r w:rsidR="000C56F0" w:rsidRPr="00800799">
        <w:rPr>
          <w:sz w:val="20"/>
          <w:szCs w:val="20"/>
        </w:rPr>
        <w:t>APES,</w:t>
      </w:r>
      <w:r w:rsidRPr="00800799">
        <w:rPr>
          <w:sz w:val="20"/>
          <w:szCs w:val="20"/>
        </w:rPr>
        <w:t xml:space="preserve"> SFŽP a Šance pro budovy.</w:t>
      </w:r>
      <w:bookmarkStart w:id="91" w:name="_m4xoug57iyru"/>
      <w:bookmarkEnd w:id="91"/>
    </w:p>
    <w:sectPr w:rsidR="00054D27" w:rsidRPr="00800799">
      <w:pgSz w:w="12240" w:h="15840"/>
      <w:pgMar w:top="1440" w:right="1440" w:bottom="1440" w:left="1440" w:header="720" w:footer="72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48C5D" w16cex:dateUtc="2021-12-03T11:30:00Z"/>
  <w16cex:commentExtensible w16cex:durableId="2554D8EB" w16cex:dateUtc="2021-12-03T16:56:00Z"/>
  <w16cex:commentExtensible w16cex:durableId="2554D969" w16cex:dateUtc="2021-12-03T16:59:00Z"/>
  <w16cex:commentExtensible w16cex:durableId="255364EE" w16cex:dateUtc="2021-12-02T14:29:00Z"/>
  <w16cex:commentExtensible w16cex:durableId="255347BA" w16cex:dateUtc="2021-12-02T12:25:00Z"/>
  <w16cex:commentExtensible w16cex:durableId="2554D94A" w16cex:dateUtc="2021-12-03T16:58:00Z"/>
  <w16cex:commentExtensible w16cex:durableId="255342EC" w16cex:dateUtc="2021-12-02T12:04:00Z"/>
  <w16cex:commentExtensible w16cex:durableId="2554D247" w16cex:dateUtc="2021-12-03T16:28:00Z"/>
  <w16cex:commentExtensible w16cex:durableId="25584E46" w16cex:dateUtc="2021-12-06T07:54:00Z"/>
  <w16cex:commentExtensible w16cex:durableId="25532F6B" w16cex:dateUtc="2021-12-02T10:41:00Z"/>
  <w16cex:commentExtensible w16cex:durableId="2554D437" w16cex:dateUtc="2021-12-03T16:36:00Z"/>
  <w16cex:commentExtensible w16cex:durableId="2554D492" w16cex:dateUtc="2021-12-03T16:38:00Z"/>
  <w16cex:commentExtensible w16cex:durableId="2554D4D9" w16cex:dateUtc="2021-12-03T16:39:00Z"/>
  <w16cex:commentExtensible w16cex:durableId="25533120" w16cex:dateUtc="2021-12-02T10:48:00Z"/>
  <w16cex:commentExtensible w16cex:durableId="257D1BDE" w16cex:dateUtc="2022-01-03T05:53:00Z"/>
  <w16cex:commentExtensible w16cex:durableId="25548D36" w16cex:dateUtc="2021-12-03T11:33:00Z"/>
  <w16cex:commentExtensible w16cex:durableId="2554C2E7" w16cex:dateUtc="2021-12-03T15:23:00Z"/>
  <w16cex:commentExtensible w16cex:durableId="257D2297" w16cex:dateUtc="2022-01-03T06:21:00Z"/>
  <w16cex:commentExtensible w16cex:durableId="2554C605" w16cex:dateUtc="2021-12-03T15:36:00Z"/>
  <w16cex:commentExtensible w16cex:durableId="257D2282" w16cex:dateUtc="2022-01-03T06:21:00Z"/>
  <w16cex:commentExtensible w16cex:durableId="25548D7D" w16cex:dateUtc="2021-12-03T11:35:00Z"/>
  <w16cex:commentExtensible w16cex:durableId="25548D95" w16cex:dateUtc="2021-12-03T11:35:00Z"/>
  <w16cex:commentExtensible w16cex:durableId="25548DC3" w16cex:dateUtc="2021-12-03T11:36:00Z"/>
  <w16cex:commentExtensible w16cex:durableId="2554C16F" w16cex:dateUtc="2021-12-03T15:16:00Z"/>
  <w16cex:commentExtensible w16cex:durableId="2554C529" w16cex:dateUtc="2021-12-03T15:32:00Z"/>
  <w16cex:commentExtensible w16cex:durableId="257D1AAC" w16cex:dateUtc="2022-01-03T05:48:00Z"/>
  <w16cex:commentExtensible w16cex:durableId="255370CC" w16cex:dateUtc="2021-12-02T15:20:00Z"/>
  <w16cex:commentExtensible w16cex:durableId="255336C3" w16cex:dateUtc="2021-12-02T11:12:00Z"/>
  <w16cex:commentExtensible w16cex:durableId="2554CC48" w16cex:dateUtc="2021-12-03T16:03:00Z"/>
  <w16cex:commentExtensible w16cex:durableId="2554C6FE" w16cex:dateUtc="2021-12-03T15:40:00Z"/>
  <w16cex:commentExtensible w16cex:durableId="2554CB26" w16cex:dateUtc="2021-12-03T15:58:00Z"/>
  <w16cex:commentExtensible w16cex:durableId="2554CBE8" w16cex:dateUtc="2021-12-03T16:01:00Z"/>
  <w16cex:commentExtensible w16cex:durableId="2554CC1A" w16cex:dateUtc="2021-12-03T16:02:00Z"/>
  <w16cex:commentExtensible w16cex:durableId="25534509" w16cex:dateUtc="2021-12-02T12:13:00Z"/>
  <w16cex:commentExtensible w16cex:durableId="2554CCDF" w16cex:dateUtc="2021-12-03T16:05:00Z"/>
  <w16cex:commentExtensible w16cex:durableId="257D2656" w16cex:dateUtc="2022-01-03T06:37:00Z"/>
  <w16cex:commentExtensible w16cex:durableId="2554CD7C" w16cex:dateUtc="2021-12-03T16:08:00Z"/>
  <w16cex:commentExtensible w16cex:durableId="257D2983" w16cex:dateUtc="2022-01-03T06:51:00Z"/>
  <w16cex:commentExtensible w16cex:durableId="2554D9B4" w16cex:dateUtc="2021-12-03T17:00:00Z"/>
  <w16cex:commentExtensible w16cex:durableId="257D1A1C" w16cex:dateUtc="2022-01-03T05:45:00Z"/>
  <w16cex:commentExtensible w16cex:durableId="255370E7" w16cex:dateUtc="2021-12-02T15:20:00Z"/>
  <w16cex:commentExtensible w16cex:durableId="257D25B1" w16cex:dateUtc="2022-01-03T06:35:00Z"/>
  <w16cex:commentExtensible w16cex:durableId="2554DA55" w16cex:dateUtc="2021-12-03T17:03:00Z"/>
  <w16cex:commentExtensible w16cex:durableId="2554DAE3" w16cex:dateUtc="2021-12-03T17:05:00Z"/>
  <w16cex:commentExtensible w16cex:durableId="257D2632" w16cex:dateUtc="2022-01-03T06:37:00Z"/>
  <w16cex:commentExtensible w16cex:durableId="255370F2" w16cex:dateUtc="2021-12-02T15:21:00Z"/>
  <w16cex:commentExtensible w16cex:durableId="2554D065" w16cex:dateUtc="2021-12-03T16:20:00Z"/>
  <w16cex:commentExtensible w16cex:durableId="2553710F" w16cex:dateUtc="2021-12-02T15:21:00Z"/>
  <w16cex:commentExtensible w16cex:durableId="2554CFFE" w16cex:dateUtc="2021-12-03T16: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1F009" w14:textId="77777777" w:rsidR="00704461" w:rsidRDefault="00704461">
      <w:pPr>
        <w:spacing w:line="240" w:lineRule="auto"/>
      </w:pPr>
      <w:r>
        <w:separator/>
      </w:r>
    </w:p>
  </w:endnote>
  <w:endnote w:type="continuationSeparator" w:id="0">
    <w:p w14:paraId="0E443C24" w14:textId="77777777" w:rsidR="00704461" w:rsidRDefault="00704461">
      <w:pPr>
        <w:spacing w:line="240" w:lineRule="auto"/>
      </w:pPr>
      <w:r>
        <w:continuationSeparator/>
      </w:r>
    </w:p>
  </w:endnote>
  <w:endnote w:type="continuationNotice" w:id="1">
    <w:p w14:paraId="787FE91E" w14:textId="77777777" w:rsidR="00704461" w:rsidRDefault="007044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79" w14:textId="77777777" w:rsidR="00FA3615" w:rsidRDefault="00FA3615">
    <w:pPr>
      <w:pBdr>
        <w:top w:val="nil"/>
        <w:left w:val="nil"/>
        <w:bottom w:val="nil"/>
        <w:right w:val="nil"/>
        <w:between w:val="nil"/>
      </w:pBdr>
      <w:tabs>
        <w:tab w:val="center" w:pos="4536"/>
        <w:tab w:val="right" w:pos="9072"/>
      </w:tabs>
      <w:spacing w:line="240" w:lineRule="auto"/>
      <w:jc w:val="center"/>
      <w:rPr>
        <w:color w:val="000000"/>
      </w:rPr>
    </w:pPr>
  </w:p>
  <w:p w14:paraId="0000047A" w14:textId="49BBBD6F" w:rsidR="00FA3615" w:rsidRDefault="00FA3615">
    <w:pPr>
      <w:pBdr>
        <w:top w:val="nil"/>
        <w:left w:val="nil"/>
        <w:bottom w:val="nil"/>
        <w:right w:val="nil"/>
        <w:between w:val="nil"/>
      </w:pBdr>
      <w:tabs>
        <w:tab w:val="center" w:pos="4536"/>
        <w:tab w:val="right" w:pos="9072"/>
      </w:tabs>
      <w:spacing w:line="240"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7B" w14:textId="19B0799F" w:rsidR="00FA3615" w:rsidRDefault="00FA3615">
    <w:pPr>
      <w:pBdr>
        <w:top w:val="nil"/>
        <w:left w:val="nil"/>
        <w:bottom w:val="nil"/>
        <w:right w:val="nil"/>
        <w:between w:val="nil"/>
      </w:pBdr>
      <w:tabs>
        <w:tab w:val="center" w:pos="4536"/>
        <w:tab w:val="right" w:pos="9072"/>
      </w:tabs>
      <w:spacing w:line="240" w:lineRule="auto"/>
      <w:rPr>
        <w:color w:val="000000"/>
      </w:rPr>
    </w:pPr>
    <w:r>
      <w:rPr>
        <w:noProof/>
      </w:rPr>
      <mc:AlternateContent>
        <mc:Choice Requires="wps">
          <w:drawing>
            <wp:anchor distT="0" distB="0" distL="0" distR="0" simplePos="0" relativeHeight="251660288" behindDoc="1" locked="0" layoutInCell="1" hidden="0" allowOverlap="1" wp14:anchorId="00021DFC" wp14:editId="6C450BEF">
              <wp:simplePos x="0" y="0"/>
              <wp:positionH relativeFrom="column">
                <wp:posOffset>-914399</wp:posOffset>
              </wp:positionH>
              <wp:positionV relativeFrom="paragraph">
                <wp:posOffset>-3797299</wp:posOffset>
              </wp:positionV>
              <wp:extent cx="8666590" cy="2374353"/>
              <wp:effectExtent l="0" t="0" r="0" b="0"/>
              <wp:wrapNone/>
              <wp:docPr id="39" name="Rectangle 39"/>
              <wp:cNvGraphicFramePr/>
              <a:graphic xmlns:a="http://schemas.openxmlformats.org/drawingml/2006/main">
                <a:graphicData uri="http://schemas.microsoft.com/office/word/2010/wordprocessingShape">
                  <wps:wsp>
                    <wps:cNvSpPr/>
                    <wps:spPr>
                      <a:xfrm>
                        <a:off x="1017468" y="2597586"/>
                        <a:ext cx="8657065" cy="2364828"/>
                      </a:xfrm>
                      <a:prstGeom prst="rect">
                        <a:avLst/>
                      </a:prstGeom>
                      <a:solidFill>
                        <a:srgbClr val="D04A02"/>
                      </a:solidFill>
                      <a:ln>
                        <a:noFill/>
                      </a:ln>
                    </wps:spPr>
                    <wps:txbx>
                      <w:txbxContent>
                        <w:p w14:paraId="0FB72CF4" w14:textId="77777777" w:rsidR="00FA3615" w:rsidRDefault="00FA361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0021DFC" id="Rectangle 39" o:spid="_x0000_s1028" style="position:absolute;margin-left:-1in;margin-top:-299pt;width:682.4pt;height:186.9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" fillcolor="#d04a02" stroked="f">
              <v:textbox inset="2.53958mm,2.53958mm,2.53958mm,2.53958mm">
                <w:txbxContent>
                  <w:p w14:paraId="0FB72CF4" w14:textId="77777777" w:rsidR="00FA3615" w:rsidRDefault="00FA3615">
                    <w:pPr>
                      <w:spacing w:line="240" w:lineRule="auto"/>
                      <w:textDirection w:val="btLr"/>
                    </w:pPr>
                  </w:p>
                </w:txbxContent>
              </v:textbox>
            </v:rect>
          </w:pict>
        </mc:Fallback>
      </mc:AlternateContent>
    </w:r>
    <w:r>
      <w:rPr>
        <w:noProof/>
      </w:rPr>
      <w:drawing>
        <wp:anchor distT="0" distB="0" distL="114300" distR="114300" simplePos="0" relativeHeight="251661312" behindDoc="0" locked="0" layoutInCell="1" hidden="0" allowOverlap="1" wp14:anchorId="2FE7C34B" wp14:editId="693BD20F">
          <wp:simplePos x="0" y="0"/>
          <wp:positionH relativeFrom="column">
            <wp:posOffset>-316591</wp:posOffset>
          </wp:positionH>
          <wp:positionV relativeFrom="paragraph">
            <wp:posOffset>-1193010</wp:posOffset>
          </wp:positionV>
          <wp:extent cx="1636777" cy="1351185"/>
          <wp:effectExtent l="0" t="0" r="0" b="0"/>
          <wp:wrapNone/>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36777" cy="135118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7C" w14:textId="478371AD" w:rsidR="00FA3615" w:rsidRDefault="00FA3615">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47D" w14:textId="77777777" w:rsidR="00FA3615" w:rsidRDefault="00FA3615">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B04BB" w14:textId="77777777" w:rsidR="00704461" w:rsidRDefault="00704461">
      <w:pPr>
        <w:spacing w:line="240" w:lineRule="auto"/>
      </w:pPr>
      <w:r>
        <w:separator/>
      </w:r>
    </w:p>
  </w:footnote>
  <w:footnote w:type="continuationSeparator" w:id="0">
    <w:p w14:paraId="2C9F2C40" w14:textId="77777777" w:rsidR="00704461" w:rsidRDefault="00704461">
      <w:pPr>
        <w:spacing w:line="240" w:lineRule="auto"/>
      </w:pPr>
      <w:r>
        <w:continuationSeparator/>
      </w:r>
    </w:p>
  </w:footnote>
  <w:footnote w:type="continuationNotice" w:id="1">
    <w:p w14:paraId="264ACA5A" w14:textId="77777777" w:rsidR="00704461" w:rsidRDefault="00704461">
      <w:pPr>
        <w:spacing w:line="240" w:lineRule="auto"/>
      </w:pPr>
    </w:p>
  </w:footnote>
  <w:footnote w:id="2">
    <w:p w14:paraId="00000476" w14:textId="77777777" w:rsidR="00FA3615" w:rsidRDefault="00FA3615">
      <w:pPr>
        <w:pBdr>
          <w:top w:val="nil"/>
          <w:left w:val="nil"/>
          <w:bottom w:val="nil"/>
          <w:right w:val="nil"/>
          <w:between w:val="nil"/>
        </w:pBdr>
        <w:spacing w:line="240" w:lineRule="auto"/>
        <w:rPr>
          <w:color w:val="000000"/>
          <w:sz w:val="20"/>
          <w:szCs w:val="20"/>
        </w:rPr>
      </w:pPr>
      <w:r>
        <w:rPr>
          <w:rStyle w:val="Znakapoznpodarou"/>
        </w:rPr>
        <w:footnoteRef/>
      </w:r>
      <w:r>
        <w:rPr>
          <w:color w:val="000000"/>
          <w:sz w:val="20"/>
          <w:szCs w:val="20"/>
        </w:rPr>
        <w:t xml:space="preserve"> </w:t>
      </w:r>
      <w:r>
        <w:rPr>
          <w:color w:val="000000"/>
          <w:sz w:val="16"/>
          <w:szCs w:val="16"/>
        </w:rPr>
        <w:t xml:space="preserve">Nařízení Evropského parlamentu a Rady (EU, Euratom)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966/20122, </w:t>
      </w:r>
      <w:proofErr w:type="spellStart"/>
      <w:r>
        <w:rPr>
          <w:color w:val="000000"/>
          <w:sz w:val="16"/>
          <w:szCs w:val="16"/>
        </w:rPr>
        <w:t>Úř</w:t>
      </w:r>
      <w:proofErr w:type="spellEnd"/>
      <w:r>
        <w:rPr>
          <w:color w:val="000000"/>
          <w:sz w:val="16"/>
          <w:szCs w:val="16"/>
        </w:rPr>
        <w:t>. v. EU č. L 193 ze dne 30.7.2018, str. 1-222.</w:t>
      </w:r>
    </w:p>
  </w:footnote>
  <w:footnote w:id="3">
    <w:p w14:paraId="02A15A90" w14:textId="5209EA85" w:rsidR="00FA3615" w:rsidRDefault="00FA3615">
      <w:pPr>
        <w:pStyle w:val="Textpoznpodarou"/>
      </w:pPr>
      <w:r>
        <w:rPr>
          <w:rStyle w:val="Znakapoznpodarou"/>
        </w:rPr>
        <w:footnoteRef/>
      </w:r>
      <w:r>
        <w:t xml:space="preserve"> </w:t>
      </w:r>
      <w:r w:rsidRPr="00FF79F7">
        <w:rPr>
          <w:sz w:val="16"/>
          <w:szCs w:val="16"/>
        </w:rPr>
        <w:t>https://www.mpo.cz/assets/cz/podnikani/dotace-a-podpora-podnikani/oppik-2014-2020/aktualni-informace/2019/11/CR-SME-Assessment-_Oct-20_.pdf; https://www.businessinfo.cz/clanky/ministerstvo-financi-zverejnuje-zpravu-svetove-banky-o-business-angels-v-cr/#stazeni</w:t>
      </w:r>
    </w:p>
  </w:footnote>
  <w:footnote w:id="4">
    <w:p w14:paraId="24B6EAF7" w14:textId="36DF0311" w:rsidR="00FA3615" w:rsidRDefault="00FA3615">
      <w:pPr>
        <w:pStyle w:val="Textpoznpodarou"/>
      </w:pPr>
      <w:r>
        <w:rPr>
          <w:rStyle w:val="Znakapoznpodarou"/>
        </w:rPr>
        <w:footnoteRef/>
      </w:r>
      <w:r>
        <w:t xml:space="preserve"> </w:t>
      </w:r>
      <w:r w:rsidRPr="00FF79F7">
        <w:rPr>
          <w:sz w:val="16"/>
          <w:szCs w:val="16"/>
        </w:rPr>
        <w:t>https://www.dotaceeu.cz/getmedia/61d42df0-bce6-479e-8fcb-7ea6b7b69b02/MMR_FN_po_2020_Zaverecna_zprava_final_clean.pdf.aspx?ext=.pdf</w:t>
      </w:r>
    </w:p>
  </w:footnote>
  <w:footnote w:id="5">
    <w:p w14:paraId="7044D278" w14:textId="2813B044" w:rsidR="00676862" w:rsidRDefault="00676862">
      <w:pPr>
        <w:pStyle w:val="Textpoznpodarou"/>
      </w:pPr>
      <w:r w:rsidRPr="00EA0A6C">
        <w:rPr>
          <w:rStyle w:val="Znakapoznpodarou"/>
          <w:sz w:val="18"/>
          <w:szCs w:val="18"/>
        </w:rPr>
        <w:footnoteRef/>
      </w:r>
      <w:r w:rsidRPr="00EA0A6C">
        <w:rPr>
          <w:sz w:val="18"/>
          <w:szCs w:val="18"/>
        </w:rPr>
        <w:t xml:space="preserve"> Přibližně 6 mld. Kč obrátkové prostředky Úvěrového fondu E 2017, zbytek budou tvořit obrátkové prostředky Záručního fondu 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1E38" w14:textId="77777777" w:rsidR="00FA3615" w:rsidRDefault="00FA361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77" w14:textId="6AA620BE" w:rsidR="00FA3615" w:rsidRDefault="00FA3615">
    <w:pPr>
      <w:pBdr>
        <w:top w:val="nil"/>
        <w:left w:val="nil"/>
        <w:bottom w:val="nil"/>
        <w:right w:val="nil"/>
        <w:between w:val="nil"/>
      </w:pBdr>
      <w:tabs>
        <w:tab w:val="center" w:pos="4536"/>
        <w:tab w:val="right" w:pos="9072"/>
      </w:tabs>
      <w:spacing w:line="240" w:lineRule="auto"/>
      <w:ind w:hanging="1418"/>
      <w:rPr>
        <w:color w:val="000000"/>
      </w:rPr>
    </w:pPr>
    <w:r>
      <w:rPr>
        <w:noProof/>
      </w:rPr>
      <mc:AlternateContent>
        <mc:Choice Requires="wps">
          <w:drawing>
            <wp:anchor distT="0" distB="0" distL="0" distR="0" simplePos="0" relativeHeight="251659264" behindDoc="1" locked="0" layoutInCell="1" hidden="0" allowOverlap="1" wp14:anchorId="01A87120" wp14:editId="455DFE81">
              <wp:simplePos x="0" y="0"/>
              <wp:positionH relativeFrom="page">
                <wp:align>right</wp:align>
              </wp:positionH>
              <wp:positionV relativeFrom="paragraph">
                <wp:posOffset>-526013</wp:posOffset>
              </wp:positionV>
              <wp:extent cx="2508250" cy="7044055"/>
              <wp:effectExtent l="0" t="0" r="6350" b="4445"/>
              <wp:wrapNone/>
              <wp:docPr id="41" name="Rectangle 41"/>
              <wp:cNvGraphicFramePr/>
              <a:graphic xmlns:a="http://schemas.openxmlformats.org/drawingml/2006/main">
                <a:graphicData uri="http://schemas.microsoft.com/office/word/2010/wordprocessingShape">
                  <wps:wsp>
                    <wps:cNvSpPr/>
                    <wps:spPr>
                      <a:xfrm>
                        <a:off x="0" y="0"/>
                        <a:ext cx="2508250" cy="7044055"/>
                      </a:xfrm>
                      <a:prstGeom prst="rect">
                        <a:avLst/>
                      </a:prstGeom>
                      <a:solidFill>
                        <a:srgbClr val="EB8C00"/>
                      </a:solidFill>
                      <a:ln>
                        <a:noFill/>
                      </a:ln>
                    </wps:spPr>
                    <wps:txbx>
                      <w:txbxContent>
                        <w:p w14:paraId="31325C92" w14:textId="77777777" w:rsidR="00FA3615" w:rsidRDefault="00FA3615" w:rsidP="001B238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1A87120" id="Rectangle 41" o:spid="_x0000_s1026" style="position:absolute;margin-left:146.3pt;margin-top:-41.4pt;width:197.5pt;height:554.65pt;z-index:-251657216;visibility:visible;mso-wrap-style:square;mso-wrap-distance-left:0;mso-wrap-distance-top:0;mso-wrap-distance-right:0;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" fillcolor="#eb8c00" stroked="f">
              <v:textbox inset="2.53958mm,2.53958mm,2.53958mm,2.53958mm">
                <w:txbxContent>
                  <w:p w14:paraId="31325C92" w14:textId="77777777" w:rsidR="00FA3615" w:rsidRDefault="00FA3615" w:rsidP="001B238D">
                    <w:pPr>
                      <w:spacing w:line="240" w:lineRule="auto"/>
                      <w:textDirection w:val="btLr"/>
                    </w:pPr>
                  </w:p>
                </w:txbxContent>
              </v:textbox>
              <w10:wrap anchorx="page"/>
            </v:rect>
          </w:pict>
        </mc:Fallback>
      </mc:AlternateContent>
    </w:r>
    <w:r>
      <w:rPr>
        <w:noProof/>
      </w:rPr>
      <mc:AlternateContent>
        <mc:Choice Requires="wps">
          <w:drawing>
            <wp:anchor distT="0" distB="0" distL="0" distR="0" simplePos="0" relativeHeight="251658240" behindDoc="1" locked="0" layoutInCell="1" hidden="0" allowOverlap="1" wp14:anchorId="47CC16A5" wp14:editId="5DA05E4E">
              <wp:simplePos x="0" y="0"/>
              <wp:positionH relativeFrom="column">
                <wp:posOffset>-914399</wp:posOffset>
              </wp:positionH>
              <wp:positionV relativeFrom="paragraph">
                <wp:posOffset>-457199</wp:posOffset>
              </wp:positionV>
              <wp:extent cx="7768345" cy="7044068"/>
              <wp:effectExtent l="0" t="0" r="0" b="0"/>
              <wp:wrapNone/>
              <wp:docPr id="40" name="Rectangle 40"/>
              <wp:cNvGraphicFramePr/>
              <a:graphic xmlns:a="http://schemas.openxmlformats.org/drawingml/2006/main">
                <a:graphicData uri="http://schemas.microsoft.com/office/word/2010/wordprocessingShape">
                  <wps:wsp>
                    <wps:cNvSpPr/>
                    <wps:spPr>
                      <a:xfrm>
                        <a:off x="1466590" y="262729"/>
                        <a:ext cx="7758820" cy="7034543"/>
                      </a:xfrm>
                      <a:prstGeom prst="rect">
                        <a:avLst/>
                      </a:prstGeom>
                      <a:solidFill>
                        <a:srgbClr val="464646"/>
                      </a:solidFill>
                      <a:ln>
                        <a:noFill/>
                      </a:ln>
                    </wps:spPr>
                    <wps:txbx>
                      <w:txbxContent>
                        <w:p w14:paraId="0F7B4B2E" w14:textId="77777777" w:rsidR="00FA3615" w:rsidRDefault="00FA361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CC16A5" id="Rectangle 40" o:spid="_x0000_s1027" style="position:absolute;margin-left:-1in;margin-top:-36pt;width:611.7pt;height:554.6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" fillcolor="#464646" stroked="f">
              <v:textbox inset="2.53958mm,2.53958mm,2.53958mm,2.53958mm">
                <w:txbxContent>
                  <w:p w14:paraId="0F7B4B2E" w14:textId="77777777" w:rsidR="00FA3615" w:rsidRDefault="00FA3615">
                    <w:pPr>
                      <w:spacing w:line="240" w:lineRule="auto"/>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78" w14:textId="77777777" w:rsidR="00FA3615" w:rsidRDefault="00FA3615">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0DA"/>
    <w:multiLevelType w:val="multilevel"/>
    <w:tmpl w:val="AA88BAE6"/>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3F62F0"/>
    <w:multiLevelType w:val="multilevel"/>
    <w:tmpl w:val="A66E65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542508"/>
    <w:multiLevelType w:val="multilevel"/>
    <w:tmpl w:val="CCAEB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1B64B8"/>
    <w:multiLevelType w:val="multilevel"/>
    <w:tmpl w:val="66949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0C4F07"/>
    <w:multiLevelType w:val="multilevel"/>
    <w:tmpl w:val="2A08D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0355F5"/>
    <w:multiLevelType w:val="multilevel"/>
    <w:tmpl w:val="CC2E8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4B45A9"/>
    <w:multiLevelType w:val="multilevel"/>
    <w:tmpl w:val="5664B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FD6B5F"/>
    <w:multiLevelType w:val="multilevel"/>
    <w:tmpl w:val="EE4A4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7B7EB8"/>
    <w:multiLevelType w:val="multilevel"/>
    <w:tmpl w:val="40E60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BF58F8"/>
    <w:multiLevelType w:val="hybridMultilevel"/>
    <w:tmpl w:val="DD7EA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244ABB"/>
    <w:multiLevelType w:val="multilevel"/>
    <w:tmpl w:val="5E9C1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CC3E65"/>
    <w:multiLevelType w:val="multilevel"/>
    <w:tmpl w:val="2D8CDA16"/>
    <w:lvl w:ilvl="0">
      <w:start w:val="1"/>
      <w:numFmt w:val="decimal"/>
      <w:lvlText w:val="%1."/>
      <w:lvlJc w:val="right"/>
      <w:pPr>
        <w:ind w:left="720" w:hanging="360"/>
      </w:pPr>
      <w:rPr>
        <w:rFonts w:ascii="Arial" w:eastAsia="Arial" w:hAnsi="Arial" w:cs="Arial"/>
        <w:b w:val="0"/>
      </w:rPr>
    </w:lvl>
    <w:lvl w:ilvl="1">
      <w:start w:val="1"/>
      <w:numFmt w:val="decimal"/>
      <w:lvlText w:val="%1.%2."/>
      <w:lvlJc w:val="right"/>
      <w:pPr>
        <w:ind w:left="1440" w:hanging="360"/>
      </w:pPr>
      <w:rPr>
        <w:rFonts w:ascii="Arial" w:eastAsia="Arial" w:hAnsi="Arial" w:cs="Arial"/>
        <w:b w:val="0"/>
        <w:color w:val="000000"/>
      </w:rPr>
    </w:lvl>
    <w:lvl w:ilvl="2">
      <w:start w:val="1"/>
      <w:numFmt w:val="decimal"/>
      <w:lvlText w:val="%1.%2.%3."/>
      <w:lvlJc w:val="right"/>
      <w:pPr>
        <w:ind w:left="2160" w:hanging="360"/>
      </w:pPr>
      <w:rPr>
        <w:rFonts w:ascii="Arial" w:eastAsia="Arial" w:hAnsi="Arial" w:cs="Arial"/>
        <w:b w:val="0"/>
      </w:rPr>
    </w:lvl>
    <w:lvl w:ilvl="3">
      <w:start w:val="1"/>
      <w:numFmt w:val="decimal"/>
      <w:lvlText w:val="%1.%2.%3.%4."/>
      <w:lvlJc w:val="right"/>
      <w:pPr>
        <w:ind w:left="2880" w:hanging="360"/>
      </w:pPr>
      <w:rPr>
        <w:rFonts w:ascii="Noto Sans Symbols" w:eastAsia="Noto Sans Symbols" w:hAnsi="Noto Sans Symbols" w:cs="Noto Sans Symbols"/>
      </w:rPr>
    </w:lvl>
    <w:lvl w:ilvl="4">
      <w:start w:val="1"/>
      <w:numFmt w:val="decimal"/>
      <w:lvlText w:val="%1.%2.%3.%4.%5."/>
      <w:lvlJc w:val="right"/>
      <w:pPr>
        <w:ind w:left="3600" w:hanging="360"/>
      </w:pPr>
      <w:rPr>
        <w:rFonts w:ascii="Courier New" w:eastAsia="Courier New" w:hAnsi="Courier New" w:cs="Courier New"/>
      </w:rPr>
    </w:lvl>
    <w:lvl w:ilvl="5">
      <w:start w:val="1"/>
      <w:numFmt w:val="decimal"/>
      <w:lvlText w:val="%1.%2.%3.%4.%5.%6."/>
      <w:lvlJc w:val="right"/>
      <w:pPr>
        <w:ind w:left="4320" w:hanging="360"/>
      </w:pPr>
      <w:rPr>
        <w:rFonts w:ascii="Noto Sans Symbols" w:eastAsia="Noto Sans Symbols" w:hAnsi="Noto Sans Symbols" w:cs="Noto Sans Symbols"/>
      </w:rPr>
    </w:lvl>
    <w:lvl w:ilvl="6">
      <w:start w:val="1"/>
      <w:numFmt w:val="decimal"/>
      <w:lvlText w:val="%1.%2.%3.%4.%5.%6.%7."/>
      <w:lvlJc w:val="right"/>
      <w:pPr>
        <w:ind w:left="5040" w:hanging="360"/>
      </w:pPr>
      <w:rPr>
        <w:rFonts w:ascii="Noto Sans Symbols" w:eastAsia="Noto Sans Symbols" w:hAnsi="Noto Sans Symbols" w:cs="Noto Sans Symbols"/>
      </w:rPr>
    </w:lvl>
    <w:lvl w:ilvl="7">
      <w:start w:val="1"/>
      <w:numFmt w:val="decimal"/>
      <w:lvlText w:val="%1.%2.%3.%4.%5.%6.%7.%8."/>
      <w:lvlJc w:val="right"/>
      <w:pPr>
        <w:ind w:left="5760" w:hanging="360"/>
      </w:pPr>
      <w:rPr>
        <w:rFonts w:ascii="Courier New" w:eastAsia="Courier New" w:hAnsi="Courier New" w:cs="Courier New"/>
      </w:rPr>
    </w:lvl>
    <w:lvl w:ilvl="8">
      <w:start w:val="1"/>
      <w:numFmt w:val="decimal"/>
      <w:lvlText w:val="%1.%2.%3.%4.%5.%6.%7.%8.%9."/>
      <w:lvlJc w:val="right"/>
      <w:pPr>
        <w:ind w:left="6480" w:hanging="360"/>
      </w:pPr>
      <w:rPr>
        <w:rFonts w:ascii="Noto Sans Symbols" w:eastAsia="Noto Sans Symbols" w:hAnsi="Noto Sans Symbols" w:cs="Noto Sans Symbols"/>
      </w:rPr>
    </w:lvl>
  </w:abstractNum>
  <w:abstractNum w:abstractNumId="12" w15:restartNumberingAfterBreak="0">
    <w:nsid w:val="1F011EDD"/>
    <w:multiLevelType w:val="hybridMultilevel"/>
    <w:tmpl w:val="89646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3C3D91"/>
    <w:multiLevelType w:val="multilevel"/>
    <w:tmpl w:val="3A5C3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3A71A8"/>
    <w:multiLevelType w:val="multilevel"/>
    <w:tmpl w:val="2D8CDA16"/>
    <w:lvl w:ilvl="0">
      <w:start w:val="1"/>
      <w:numFmt w:val="decimal"/>
      <w:lvlText w:val="%1."/>
      <w:lvlJc w:val="right"/>
      <w:pPr>
        <w:ind w:left="720" w:hanging="360"/>
      </w:pPr>
      <w:rPr>
        <w:rFonts w:ascii="Arial" w:eastAsia="Arial" w:hAnsi="Arial" w:cs="Arial"/>
        <w:b w:val="0"/>
      </w:rPr>
    </w:lvl>
    <w:lvl w:ilvl="1">
      <w:start w:val="1"/>
      <w:numFmt w:val="decimal"/>
      <w:lvlText w:val="%1.%2."/>
      <w:lvlJc w:val="right"/>
      <w:pPr>
        <w:ind w:left="1440" w:hanging="360"/>
      </w:pPr>
      <w:rPr>
        <w:rFonts w:ascii="Arial" w:eastAsia="Arial" w:hAnsi="Arial" w:cs="Arial"/>
        <w:b w:val="0"/>
        <w:color w:val="000000"/>
      </w:rPr>
    </w:lvl>
    <w:lvl w:ilvl="2">
      <w:start w:val="1"/>
      <w:numFmt w:val="decimal"/>
      <w:lvlText w:val="%1.%2.%3."/>
      <w:lvlJc w:val="right"/>
      <w:pPr>
        <w:ind w:left="2160" w:hanging="360"/>
      </w:pPr>
      <w:rPr>
        <w:rFonts w:ascii="Arial" w:eastAsia="Arial" w:hAnsi="Arial" w:cs="Arial"/>
        <w:b w:val="0"/>
      </w:rPr>
    </w:lvl>
    <w:lvl w:ilvl="3">
      <w:start w:val="1"/>
      <w:numFmt w:val="decimal"/>
      <w:lvlText w:val="%1.%2.%3.%4."/>
      <w:lvlJc w:val="right"/>
      <w:pPr>
        <w:ind w:left="2880" w:hanging="360"/>
      </w:pPr>
      <w:rPr>
        <w:rFonts w:ascii="Noto Sans Symbols" w:eastAsia="Noto Sans Symbols" w:hAnsi="Noto Sans Symbols" w:cs="Noto Sans Symbols"/>
      </w:rPr>
    </w:lvl>
    <w:lvl w:ilvl="4">
      <w:start w:val="1"/>
      <w:numFmt w:val="decimal"/>
      <w:lvlText w:val="%1.%2.%3.%4.%5."/>
      <w:lvlJc w:val="right"/>
      <w:pPr>
        <w:ind w:left="3600" w:hanging="360"/>
      </w:pPr>
      <w:rPr>
        <w:rFonts w:ascii="Courier New" w:eastAsia="Courier New" w:hAnsi="Courier New" w:cs="Courier New"/>
      </w:rPr>
    </w:lvl>
    <w:lvl w:ilvl="5">
      <w:start w:val="1"/>
      <w:numFmt w:val="decimal"/>
      <w:lvlText w:val="%1.%2.%3.%4.%5.%6."/>
      <w:lvlJc w:val="right"/>
      <w:pPr>
        <w:ind w:left="4320" w:hanging="360"/>
      </w:pPr>
      <w:rPr>
        <w:rFonts w:ascii="Noto Sans Symbols" w:eastAsia="Noto Sans Symbols" w:hAnsi="Noto Sans Symbols" w:cs="Noto Sans Symbols"/>
      </w:rPr>
    </w:lvl>
    <w:lvl w:ilvl="6">
      <w:start w:val="1"/>
      <w:numFmt w:val="decimal"/>
      <w:lvlText w:val="%1.%2.%3.%4.%5.%6.%7."/>
      <w:lvlJc w:val="right"/>
      <w:pPr>
        <w:ind w:left="5040" w:hanging="360"/>
      </w:pPr>
      <w:rPr>
        <w:rFonts w:ascii="Noto Sans Symbols" w:eastAsia="Noto Sans Symbols" w:hAnsi="Noto Sans Symbols" w:cs="Noto Sans Symbols"/>
      </w:rPr>
    </w:lvl>
    <w:lvl w:ilvl="7">
      <w:start w:val="1"/>
      <w:numFmt w:val="decimal"/>
      <w:lvlText w:val="%1.%2.%3.%4.%5.%6.%7.%8."/>
      <w:lvlJc w:val="right"/>
      <w:pPr>
        <w:ind w:left="5760" w:hanging="360"/>
      </w:pPr>
      <w:rPr>
        <w:rFonts w:ascii="Courier New" w:eastAsia="Courier New" w:hAnsi="Courier New" w:cs="Courier New"/>
      </w:rPr>
    </w:lvl>
    <w:lvl w:ilvl="8">
      <w:start w:val="1"/>
      <w:numFmt w:val="decimal"/>
      <w:lvlText w:val="%1.%2.%3.%4.%5.%6.%7.%8.%9."/>
      <w:lvlJc w:val="right"/>
      <w:pPr>
        <w:ind w:left="6480" w:hanging="360"/>
      </w:pPr>
      <w:rPr>
        <w:rFonts w:ascii="Noto Sans Symbols" w:eastAsia="Noto Sans Symbols" w:hAnsi="Noto Sans Symbols" w:cs="Noto Sans Symbols"/>
      </w:rPr>
    </w:lvl>
  </w:abstractNum>
  <w:abstractNum w:abstractNumId="15" w15:restartNumberingAfterBreak="0">
    <w:nsid w:val="3A9119E0"/>
    <w:multiLevelType w:val="multilevel"/>
    <w:tmpl w:val="CF463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C361F90"/>
    <w:multiLevelType w:val="multilevel"/>
    <w:tmpl w:val="0E8A2F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F485C46"/>
    <w:multiLevelType w:val="hybridMultilevel"/>
    <w:tmpl w:val="5D2A6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7E2E36"/>
    <w:multiLevelType w:val="multilevel"/>
    <w:tmpl w:val="02469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BB6BED"/>
    <w:multiLevelType w:val="multilevel"/>
    <w:tmpl w:val="77264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064282"/>
    <w:multiLevelType w:val="multilevel"/>
    <w:tmpl w:val="8CF28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51589C"/>
    <w:multiLevelType w:val="multilevel"/>
    <w:tmpl w:val="4BF0B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BA5A15"/>
    <w:multiLevelType w:val="multilevel"/>
    <w:tmpl w:val="492A47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1F35FDB"/>
    <w:multiLevelType w:val="multilevel"/>
    <w:tmpl w:val="4118A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422873"/>
    <w:multiLevelType w:val="multilevel"/>
    <w:tmpl w:val="5596E9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89C7981"/>
    <w:multiLevelType w:val="hybridMultilevel"/>
    <w:tmpl w:val="26E23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2B0B87"/>
    <w:multiLevelType w:val="multilevel"/>
    <w:tmpl w:val="FA3088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F6C4A68"/>
    <w:multiLevelType w:val="multilevel"/>
    <w:tmpl w:val="54CC8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0A53C54"/>
    <w:multiLevelType w:val="hybridMultilevel"/>
    <w:tmpl w:val="21C84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AA7310B"/>
    <w:multiLevelType w:val="multilevel"/>
    <w:tmpl w:val="7EC25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A860F4"/>
    <w:multiLevelType w:val="multilevel"/>
    <w:tmpl w:val="2D8CDA16"/>
    <w:lvl w:ilvl="0">
      <w:start w:val="1"/>
      <w:numFmt w:val="decimal"/>
      <w:lvlText w:val="%1."/>
      <w:lvlJc w:val="right"/>
      <w:pPr>
        <w:ind w:left="720" w:hanging="360"/>
      </w:pPr>
      <w:rPr>
        <w:rFonts w:ascii="Arial" w:eastAsia="Arial" w:hAnsi="Arial" w:cs="Arial"/>
        <w:b w:val="0"/>
      </w:rPr>
    </w:lvl>
    <w:lvl w:ilvl="1">
      <w:start w:val="1"/>
      <w:numFmt w:val="decimal"/>
      <w:lvlText w:val="%1.%2."/>
      <w:lvlJc w:val="right"/>
      <w:pPr>
        <w:ind w:left="1440" w:hanging="360"/>
      </w:pPr>
      <w:rPr>
        <w:rFonts w:ascii="Arial" w:eastAsia="Arial" w:hAnsi="Arial" w:cs="Arial"/>
        <w:b w:val="0"/>
        <w:color w:val="000000"/>
      </w:rPr>
    </w:lvl>
    <w:lvl w:ilvl="2">
      <w:start w:val="1"/>
      <w:numFmt w:val="decimal"/>
      <w:lvlText w:val="%1.%2.%3."/>
      <w:lvlJc w:val="right"/>
      <w:pPr>
        <w:ind w:left="2160" w:hanging="360"/>
      </w:pPr>
      <w:rPr>
        <w:rFonts w:ascii="Arial" w:eastAsia="Arial" w:hAnsi="Arial" w:cs="Arial"/>
        <w:b w:val="0"/>
      </w:rPr>
    </w:lvl>
    <w:lvl w:ilvl="3">
      <w:start w:val="1"/>
      <w:numFmt w:val="decimal"/>
      <w:lvlText w:val="%1.%2.%3.%4."/>
      <w:lvlJc w:val="right"/>
      <w:pPr>
        <w:ind w:left="2880" w:hanging="360"/>
      </w:pPr>
      <w:rPr>
        <w:rFonts w:ascii="Noto Sans Symbols" w:eastAsia="Noto Sans Symbols" w:hAnsi="Noto Sans Symbols" w:cs="Noto Sans Symbols"/>
      </w:rPr>
    </w:lvl>
    <w:lvl w:ilvl="4">
      <w:start w:val="1"/>
      <w:numFmt w:val="decimal"/>
      <w:lvlText w:val="%1.%2.%3.%4.%5."/>
      <w:lvlJc w:val="right"/>
      <w:pPr>
        <w:ind w:left="3600" w:hanging="360"/>
      </w:pPr>
      <w:rPr>
        <w:rFonts w:ascii="Courier New" w:eastAsia="Courier New" w:hAnsi="Courier New" w:cs="Courier New"/>
      </w:rPr>
    </w:lvl>
    <w:lvl w:ilvl="5">
      <w:start w:val="1"/>
      <w:numFmt w:val="decimal"/>
      <w:lvlText w:val="%1.%2.%3.%4.%5.%6."/>
      <w:lvlJc w:val="right"/>
      <w:pPr>
        <w:ind w:left="4320" w:hanging="360"/>
      </w:pPr>
      <w:rPr>
        <w:rFonts w:ascii="Noto Sans Symbols" w:eastAsia="Noto Sans Symbols" w:hAnsi="Noto Sans Symbols" w:cs="Noto Sans Symbols"/>
      </w:rPr>
    </w:lvl>
    <w:lvl w:ilvl="6">
      <w:start w:val="1"/>
      <w:numFmt w:val="decimal"/>
      <w:lvlText w:val="%1.%2.%3.%4.%5.%6.%7."/>
      <w:lvlJc w:val="right"/>
      <w:pPr>
        <w:ind w:left="5040" w:hanging="360"/>
      </w:pPr>
      <w:rPr>
        <w:rFonts w:ascii="Noto Sans Symbols" w:eastAsia="Noto Sans Symbols" w:hAnsi="Noto Sans Symbols" w:cs="Noto Sans Symbols"/>
      </w:rPr>
    </w:lvl>
    <w:lvl w:ilvl="7">
      <w:start w:val="1"/>
      <w:numFmt w:val="decimal"/>
      <w:lvlText w:val="%1.%2.%3.%4.%5.%6.%7.%8."/>
      <w:lvlJc w:val="right"/>
      <w:pPr>
        <w:ind w:left="5760" w:hanging="360"/>
      </w:pPr>
      <w:rPr>
        <w:rFonts w:ascii="Courier New" w:eastAsia="Courier New" w:hAnsi="Courier New" w:cs="Courier New"/>
      </w:rPr>
    </w:lvl>
    <w:lvl w:ilvl="8">
      <w:start w:val="1"/>
      <w:numFmt w:val="decimal"/>
      <w:lvlText w:val="%1.%2.%3.%4.%5.%6.%7.%8.%9."/>
      <w:lvlJc w:val="right"/>
      <w:pPr>
        <w:ind w:left="6480" w:hanging="360"/>
      </w:pPr>
      <w:rPr>
        <w:rFonts w:ascii="Noto Sans Symbols" w:eastAsia="Noto Sans Symbols" w:hAnsi="Noto Sans Symbols" w:cs="Noto Sans Symbols"/>
      </w:rPr>
    </w:lvl>
  </w:abstractNum>
  <w:num w:numId="1">
    <w:abstractNumId w:val="23"/>
  </w:num>
  <w:num w:numId="2">
    <w:abstractNumId w:val="2"/>
  </w:num>
  <w:num w:numId="3">
    <w:abstractNumId w:val="13"/>
  </w:num>
  <w:num w:numId="4">
    <w:abstractNumId w:val="3"/>
  </w:num>
  <w:num w:numId="5">
    <w:abstractNumId w:val="7"/>
  </w:num>
  <w:num w:numId="6">
    <w:abstractNumId w:val="8"/>
  </w:num>
  <w:num w:numId="7">
    <w:abstractNumId w:val="15"/>
  </w:num>
  <w:num w:numId="8">
    <w:abstractNumId w:val="0"/>
  </w:num>
  <w:num w:numId="9">
    <w:abstractNumId w:val="22"/>
  </w:num>
  <w:num w:numId="10">
    <w:abstractNumId w:val="19"/>
  </w:num>
  <w:num w:numId="11">
    <w:abstractNumId w:val="4"/>
  </w:num>
  <w:num w:numId="12">
    <w:abstractNumId w:val="6"/>
  </w:num>
  <w:num w:numId="13">
    <w:abstractNumId w:val="30"/>
  </w:num>
  <w:num w:numId="14">
    <w:abstractNumId w:val="16"/>
  </w:num>
  <w:num w:numId="15">
    <w:abstractNumId w:val="27"/>
  </w:num>
  <w:num w:numId="16">
    <w:abstractNumId w:val="20"/>
  </w:num>
  <w:num w:numId="17">
    <w:abstractNumId w:val="21"/>
  </w:num>
  <w:num w:numId="18">
    <w:abstractNumId w:val="14"/>
  </w:num>
  <w:num w:numId="19">
    <w:abstractNumId w:val="10"/>
  </w:num>
  <w:num w:numId="20">
    <w:abstractNumId w:val="5"/>
  </w:num>
  <w:num w:numId="21">
    <w:abstractNumId w:val="29"/>
  </w:num>
  <w:num w:numId="22">
    <w:abstractNumId w:val="18"/>
  </w:num>
  <w:num w:numId="23">
    <w:abstractNumId w:val="1"/>
  </w:num>
  <w:num w:numId="24">
    <w:abstractNumId w:val="17"/>
  </w:num>
  <w:num w:numId="25">
    <w:abstractNumId w:val="9"/>
  </w:num>
  <w:num w:numId="26">
    <w:abstractNumId w:val="11"/>
  </w:num>
  <w:num w:numId="27">
    <w:abstractNumId w:val="26"/>
  </w:num>
  <w:num w:numId="28">
    <w:abstractNumId w:val="24"/>
  </w:num>
  <w:num w:numId="29">
    <w:abstractNumId w:val="12"/>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27"/>
    <w:rsid w:val="00004D63"/>
    <w:rsid w:val="0000774F"/>
    <w:rsid w:val="000136EA"/>
    <w:rsid w:val="000244EF"/>
    <w:rsid w:val="000307DA"/>
    <w:rsid w:val="000353FC"/>
    <w:rsid w:val="000356BE"/>
    <w:rsid w:val="000422BD"/>
    <w:rsid w:val="00051FD8"/>
    <w:rsid w:val="00054D27"/>
    <w:rsid w:val="000569F9"/>
    <w:rsid w:val="00056E93"/>
    <w:rsid w:val="0007683F"/>
    <w:rsid w:val="00094E54"/>
    <w:rsid w:val="000A7523"/>
    <w:rsid w:val="000B2D92"/>
    <w:rsid w:val="000B4B5A"/>
    <w:rsid w:val="000C3007"/>
    <w:rsid w:val="000C56F0"/>
    <w:rsid w:val="000D29A5"/>
    <w:rsid w:val="000D5608"/>
    <w:rsid w:val="000E7E6B"/>
    <w:rsid w:val="00142DDD"/>
    <w:rsid w:val="00144280"/>
    <w:rsid w:val="001458D0"/>
    <w:rsid w:val="00152701"/>
    <w:rsid w:val="0016587A"/>
    <w:rsid w:val="00171CAB"/>
    <w:rsid w:val="00193B1A"/>
    <w:rsid w:val="001B238D"/>
    <w:rsid w:val="001B67B7"/>
    <w:rsid w:val="001C40AB"/>
    <w:rsid w:val="001C7CEB"/>
    <w:rsid w:val="001D5599"/>
    <w:rsid w:val="001D76EF"/>
    <w:rsid w:val="001D7735"/>
    <w:rsid w:val="001E2F7A"/>
    <w:rsid w:val="0022317E"/>
    <w:rsid w:val="00227A1F"/>
    <w:rsid w:val="00242D03"/>
    <w:rsid w:val="00252902"/>
    <w:rsid w:val="00266FFB"/>
    <w:rsid w:val="002B3AC5"/>
    <w:rsid w:val="002B7052"/>
    <w:rsid w:val="002C71DE"/>
    <w:rsid w:val="002C7B9E"/>
    <w:rsid w:val="002F4F71"/>
    <w:rsid w:val="00300F7B"/>
    <w:rsid w:val="003029C6"/>
    <w:rsid w:val="003044B4"/>
    <w:rsid w:val="00305A63"/>
    <w:rsid w:val="0030621E"/>
    <w:rsid w:val="00381528"/>
    <w:rsid w:val="003856CA"/>
    <w:rsid w:val="00387A73"/>
    <w:rsid w:val="003962F6"/>
    <w:rsid w:val="003A247C"/>
    <w:rsid w:val="003C0B0B"/>
    <w:rsid w:val="003C2E14"/>
    <w:rsid w:val="003F3DD2"/>
    <w:rsid w:val="00407867"/>
    <w:rsid w:val="00456B27"/>
    <w:rsid w:val="004A68BF"/>
    <w:rsid w:val="004F0119"/>
    <w:rsid w:val="004F1548"/>
    <w:rsid w:val="00504175"/>
    <w:rsid w:val="005425B1"/>
    <w:rsid w:val="0054399E"/>
    <w:rsid w:val="00547440"/>
    <w:rsid w:val="0056116F"/>
    <w:rsid w:val="005813DD"/>
    <w:rsid w:val="0058282C"/>
    <w:rsid w:val="00600F43"/>
    <w:rsid w:val="006116EF"/>
    <w:rsid w:val="0061511A"/>
    <w:rsid w:val="0065588B"/>
    <w:rsid w:val="00676030"/>
    <w:rsid w:val="00676862"/>
    <w:rsid w:val="006A594F"/>
    <w:rsid w:val="006C5111"/>
    <w:rsid w:val="006D414A"/>
    <w:rsid w:val="00704461"/>
    <w:rsid w:val="0073088C"/>
    <w:rsid w:val="007720F5"/>
    <w:rsid w:val="007800B1"/>
    <w:rsid w:val="007F70BD"/>
    <w:rsid w:val="00800799"/>
    <w:rsid w:val="008441EB"/>
    <w:rsid w:val="008C0487"/>
    <w:rsid w:val="008C6A4F"/>
    <w:rsid w:val="00925181"/>
    <w:rsid w:val="00943EB4"/>
    <w:rsid w:val="00952825"/>
    <w:rsid w:val="009834E3"/>
    <w:rsid w:val="009B416A"/>
    <w:rsid w:val="009B5A7A"/>
    <w:rsid w:val="009B7ED5"/>
    <w:rsid w:val="009E5ECD"/>
    <w:rsid w:val="009F2372"/>
    <w:rsid w:val="00A26B60"/>
    <w:rsid w:val="00A67745"/>
    <w:rsid w:val="00AA720D"/>
    <w:rsid w:val="00AB2ACA"/>
    <w:rsid w:val="00AB4F6D"/>
    <w:rsid w:val="00AC6EF5"/>
    <w:rsid w:val="00AD1AC0"/>
    <w:rsid w:val="00AF622A"/>
    <w:rsid w:val="00B05842"/>
    <w:rsid w:val="00B0658E"/>
    <w:rsid w:val="00B363E0"/>
    <w:rsid w:val="00B50624"/>
    <w:rsid w:val="00BA3A83"/>
    <w:rsid w:val="00BA5557"/>
    <w:rsid w:val="00BB19BA"/>
    <w:rsid w:val="00BD0D12"/>
    <w:rsid w:val="00BD3011"/>
    <w:rsid w:val="00BE3FD9"/>
    <w:rsid w:val="00BF5DB8"/>
    <w:rsid w:val="00BF5EF8"/>
    <w:rsid w:val="00C15152"/>
    <w:rsid w:val="00C26B73"/>
    <w:rsid w:val="00C4476D"/>
    <w:rsid w:val="00C72622"/>
    <w:rsid w:val="00C75512"/>
    <w:rsid w:val="00C77291"/>
    <w:rsid w:val="00CA092D"/>
    <w:rsid w:val="00CA639A"/>
    <w:rsid w:val="00CF5659"/>
    <w:rsid w:val="00D01796"/>
    <w:rsid w:val="00D03792"/>
    <w:rsid w:val="00D577C2"/>
    <w:rsid w:val="00D578FC"/>
    <w:rsid w:val="00D73B57"/>
    <w:rsid w:val="00D96C0E"/>
    <w:rsid w:val="00DD32E7"/>
    <w:rsid w:val="00E06D92"/>
    <w:rsid w:val="00E352CB"/>
    <w:rsid w:val="00E73839"/>
    <w:rsid w:val="00E74C54"/>
    <w:rsid w:val="00EA0A6C"/>
    <w:rsid w:val="00EA5AAF"/>
    <w:rsid w:val="00ED34DD"/>
    <w:rsid w:val="00EF3734"/>
    <w:rsid w:val="00F454B6"/>
    <w:rsid w:val="00F6448F"/>
    <w:rsid w:val="00F8298E"/>
    <w:rsid w:val="00FA2B77"/>
    <w:rsid w:val="00FA3615"/>
    <w:rsid w:val="00FB4D19"/>
    <w:rsid w:val="00FE4900"/>
    <w:rsid w:val="00FF79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4:docId w14:val="36B14F77"/>
  <w15:docId w15:val="{710E6D91-E9A4-40A3-93B1-BAD324F9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52825"/>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link w:val="Nadpis2Char"/>
    <w:uiPriority w:val="99"/>
    <w:unhideWhenUsed/>
    <w:qFormat/>
    <w:pPr>
      <w:keepNext/>
      <w:keepLines/>
      <w:spacing w:before="360" w:after="120"/>
      <w:outlineLvl w:val="1"/>
    </w:pPr>
    <w:rPr>
      <w:sz w:val="32"/>
      <w:szCs w:val="32"/>
    </w:rPr>
  </w:style>
  <w:style w:type="paragraph" w:styleId="Nadpis3">
    <w:name w:val="heading 3"/>
    <w:basedOn w:val="Normln"/>
    <w:next w:val="Normln"/>
    <w:link w:val="Nadpis3Char"/>
    <w:uiPriority w:val="99"/>
    <w:unhideWhenUsed/>
    <w:qFormat/>
    <w:pPr>
      <w:keepNext/>
      <w:keepLines/>
      <w:spacing w:before="320" w:after="80" w:line="360" w:lineRule="auto"/>
      <w:ind w:left="1440" w:hanging="36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Normlntabulka"/>
    <w:tblPr>
      <w:tblStyleRowBandSize w:val="1"/>
      <w:tblStyleColBandSize w:val="1"/>
      <w:tblCellMar>
        <w:top w:w="100" w:type="dxa"/>
        <w:left w:w="100" w:type="dxa"/>
        <w:bottom w:w="100" w:type="dxa"/>
        <w:right w:w="100" w:type="dxa"/>
      </w:tblCellMar>
    </w:tblPr>
  </w:style>
  <w:style w:type="table" w:customStyle="1" w:styleId="a0">
    <w:basedOn w:val="Normlntabulka"/>
    <w:tblPr>
      <w:tblStyleRowBandSize w:val="1"/>
      <w:tblStyleColBandSize w:val="1"/>
      <w:tblCellMar>
        <w:top w:w="100" w:type="dxa"/>
        <w:left w:w="100" w:type="dxa"/>
        <w:bottom w:w="100" w:type="dxa"/>
        <w:right w:w="100" w:type="dxa"/>
      </w:tblCellMar>
    </w:tblPr>
  </w:style>
  <w:style w:type="table" w:customStyle="1" w:styleId="a1">
    <w:basedOn w:val="Normlntabulka"/>
    <w:tblPr>
      <w:tblStyleRowBandSize w:val="1"/>
      <w:tblStyleColBandSize w:val="1"/>
      <w:tblCellMar>
        <w:top w:w="100" w:type="dxa"/>
        <w:left w:w="100" w:type="dxa"/>
        <w:bottom w:w="100" w:type="dxa"/>
        <w:right w:w="100" w:type="dxa"/>
      </w:tblCellMar>
    </w:tblPr>
  </w:style>
  <w:style w:type="table" w:customStyle="1" w:styleId="a2">
    <w:basedOn w:val="Normlntabulka"/>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004D63"/>
    <w:pPr>
      <w:spacing w:line="240" w:lineRule="auto"/>
      <w:ind w:left="720"/>
      <w:contextualSpacing/>
    </w:pPr>
    <w:rPr>
      <w:rFonts w:asciiTheme="minorHAnsi" w:eastAsiaTheme="minorHAnsi" w:hAnsiTheme="minorHAnsi" w:cstheme="minorBidi"/>
      <w:sz w:val="24"/>
      <w:szCs w:val="24"/>
      <w:lang w:eastAsia="en-US"/>
    </w:rPr>
  </w:style>
  <w:style w:type="table" w:styleId="Mkatabulky">
    <w:name w:val="Table Grid"/>
    <w:basedOn w:val="Normlntabulka"/>
    <w:uiPriority w:val="39"/>
    <w:rsid w:val="00004D63"/>
    <w:pPr>
      <w:spacing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74C54"/>
    <w:pPr>
      <w:tabs>
        <w:tab w:val="center" w:pos="4536"/>
        <w:tab w:val="right" w:pos="9072"/>
      </w:tabs>
      <w:spacing w:line="240" w:lineRule="auto"/>
    </w:pPr>
  </w:style>
  <w:style w:type="character" w:customStyle="1" w:styleId="ZhlavChar">
    <w:name w:val="Záhlaví Char"/>
    <w:basedOn w:val="Standardnpsmoodstavce"/>
    <w:link w:val="Zhlav"/>
    <w:uiPriority w:val="99"/>
    <w:rsid w:val="00E74C54"/>
  </w:style>
  <w:style w:type="paragraph" w:styleId="Zpat">
    <w:name w:val="footer"/>
    <w:basedOn w:val="Normln"/>
    <w:link w:val="ZpatChar"/>
    <w:uiPriority w:val="99"/>
    <w:unhideWhenUsed/>
    <w:rsid w:val="00E74C54"/>
    <w:pPr>
      <w:tabs>
        <w:tab w:val="center" w:pos="4536"/>
        <w:tab w:val="right" w:pos="9072"/>
      </w:tabs>
      <w:spacing w:line="240" w:lineRule="auto"/>
    </w:pPr>
  </w:style>
  <w:style w:type="character" w:customStyle="1" w:styleId="ZpatChar">
    <w:name w:val="Zápatí Char"/>
    <w:basedOn w:val="Standardnpsmoodstavce"/>
    <w:link w:val="Zpat"/>
    <w:uiPriority w:val="99"/>
    <w:rsid w:val="00E74C54"/>
  </w:style>
  <w:style w:type="paragraph" w:styleId="Textpoznpodarou">
    <w:name w:val="footnote text"/>
    <w:basedOn w:val="Normln"/>
    <w:link w:val="TextpoznpodarouChar"/>
    <w:uiPriority w:val="99"/>
    <w:semiHidden/>
    <w:unhideWhenUsed/>
    <w:rsid w:val="00C75512"/>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C75512"/>
    <w:rPr>
      <w:sz w:val="20"/>
      <w:szCs w:val="20"/>
    </w:rPr>
  </w:style>
  <w:style w:type="character" w:styleId="Znakapoznpodarou">
    <w:name w:val="footnote reference"/>
    <w:basedOn w:val="Standardnpsmoodstavce"/>
    <w:uiPriority w:val="99"/>
    <w:semiHidden/>
    <w:unhideWhenUsed/>
    <w:rsid w:val="00C75512"/>
    <w:rPr>
      <w:vertAlign w:val="superscript"/>
    </w:rPr>
  </w:style>
  <w:style w:type="paragraph" w:styleId="Nadpisobsahu">
    <w:name w:val="TOC Heading"/>
    <w:basedOn w:val="Nadpis1"/>
    <w:next w:val="Normln"/>
    <w:uiPriority w:val="39"/>
    <w:unhideWhenUsed/>
    <w:qFormat/>
    <w:rsid w:val="004A68BF"/>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Obsah2">
    <w:name w:val="toc 2"/>
    <w:basedOn w:val="Normln"/>
    <w:next w:val="Normln"/>
    <w:autoRedefine/>
    <w:uiPriority w:val="39"/>
    <w:unhideWhenUsed/>
    <w:rsid w:val="004A68BF"/>
    <w:pPr>
      <w:spacing w:after="100"/>
      <w:ind w:left="220"/>
    </w:pPr>
  </w:style>
  <w:style w:type="paragraph" w:styleId="Obsah3">
    <w:name w:val="toc 3"/>
    <w:basedOn w:val="Normln"/>
    <w:next w:val="Normln"/>
    <w:autoRedefine/>
    <w:uiPriority w:val="39"/>
    <w:unhideWhenUsed/>
    <w:rsid w:val="004A68BF"/>
    <w:pPr>
      <w:spacing w:after="100"/>
      <w:ind w:left="440"/>
    </w:pPr>
  </w:style>
  <w:style w:type="character" w:styleId="Hypertextovodkaz">
    <w:name w:val="Hyperlink"/>
    <w:basedOn w:val="Standardnpsmoodstavce"/>
    <w:uiPriority w:val="99"/>
    <w:unhideWhenUsed/>
    <w:rsid w:val="004A68BF"/>
    <w:rPr>
      <w:color w:val="0000FF" w:themeColor="hyperlink"/>
      <w:u w:val="single"/>
    </w:rPr>
  </w:style>
  <w:style w:type="table" w:customStyle="1" w:styleId="a3">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7">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8">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9">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a">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b">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c">
    <w:basedOn w:val="Normlntabulka"/>
    <w:tblPr>
      <w:tblStyleRowBandSize w:val="1"/>
      <w:tblStyleColBandSize w:val="1"/>
      <w:tblCellMar>
        <w:top w:w="100" w:type="dxa"/>
        <w:left w:w="100" w:type="dxa"/>
        <w:bottom w:w="100" w:type="dxa"/>
        <w:right w:w="100" w:type="dxa"/>
      </w:tblCellMar>
    </w:tblPr>
  </w:style>
  <w:style w:type="table" w:customStyle="1" w:styleId="ad">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e">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customStyle="1" w:styleId="Nadpis3Char">
    <w:name w:val="Nadpis 3 Char"/>
    <w:basedOn w:val="Standardnpsmoodstavce"/>
    <w:link w:val="Nadpis3"/>
    <w:uiPriority w:val="99"/>
    <w:rsid w:val="00B4351B"/>
    <w:rPr>
      <w:color w:val="434343"/>
      <w:sz w:val="28"/>
      <w:szCs w:val="28"/>
    </w:rPr>
  </w:style>
  <w:style w:type="character" w:customStyle="1" w:styleId="Nadpis2Char">
    <w:name w:val="Nadpis 2 Char"/>
    <w:basedOn w:val="Standardnpsmoodstavce"/>
    <w:link w:val="Nadpis2"/>
    <w:uiPriority w:val="99"/>
    <w:rsid w:val="00796F13"/>
    <w:rPr>
      <w:sz w:val="32"/>
      <w:szCs w:val="32"/>
    </w:rPr>
  </w:style>
  <w:style w:type="table" w:styleId="Tabulkasmkou4zvraznn6">
    <w:name w:val="Grid Table 4 Accent 6"/>
    <w:basedOn w:val="Normlntabulka"/>
    <w:uiPriority w:val="49"/>
    <w:rsid w:val="00796F13"/>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af">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0">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1">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2">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3">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4">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5">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6">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7">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8">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9">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a">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b">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c">
    <w:basedOn w:val="Normlntabulka"/>
    <w:tblPr>
      <w:tblStyleRowBandSize w:val="1"/>
      <w:tblStyleColBandSize w:val="1"/>
      <w:tblCellMar>
        <w:top w:w="100" w:type="dxa"/>
        <w:left w:w="100" w:type="dxa"/>
        <w:bottom w:w="100" w:type="dxa"/>
        <w:right w:w="100" w:type="dxa"/>
      </w:tblCellMar>
    </w:tblPr>
  </w:style>
  <w:style w:type="table" w:customStyle="1" w:styleId="afd">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e">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0">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1">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2">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3">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4">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5">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Normlntabulka"/>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0244E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44E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144280"/>
    <w:rPr>
      <w:b/>
      <w:bCs/>
    </w:rPr>
  </w:style>
  <w:style w:type="character" w:customStyle="1" w:styleId="PedmtkomenteChar">
    <w:name w:val="Předmět komentáře Char"/>
    <w:basedOn w:val="TextkomenteChar"/>
    <w:link w:val="Pedmtkomente"/>
    <w:uiPriority w:val="99"/>
    <w:semiHidden/>
    <w:rsid w:val="001442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4970">
      <w:bodyDiv w:val="1"/>
      <w:marLeft w:val="0"/>
      <w:marRight w:val="0"/>
      <w:marTop w:val="0"/>
      <w:marBottom w:val="0"/>
      <w:divBdr>
        <w:top w:val="none" w:sz="0" w:space="0" w:color="auto"/>
        <w:left w:val="none" w:sz="0" w:space="0" w:color="auto"/>
        <w:bottom w:val="none" w:sz="0" w:space="0" w:color="auto"/>
        <w:right w:val="none" w:sz="0" w:space="0" w:color="auto"/>
      </w:divBdr>
    </w:div>
    <w:div w:id="609967609">
      <w:bodyDiv w:val="1"/>
      <w:marLeft w:val="0"/>
      <w:marRight w:val="0"/>
      <w:marTop w:val="0"/>
      <w:marBottom w:val="0"/>
      <w:divBdr>
        <w:top w:val="none" w:sz="0" w:space="0" w:color="auto"/>
        <w:left w:val="none" w:sz="0" w:space="0" w:color="auto"/>
        <w:bottom w:val="none" w:sz="0" w:space="0" w:color="auto"/>
        <w:right w:val="none" w:sz="0" w:space="0" w:color="auto"/>
      </w:divBdr>
    </w:div>
    <w:div w:id="819464071">
      <w:bodyDiv w:val="1"/>
      <w:marLeft w:val="0"/>
      <w:marRight w:val="0"/>
      <w:marTop w:val="0"/>
      <w:marBottom w:val="0"/>
      <w:divBdr>
        <w:top w:val="none" w:sz="0" w:space="0" w:color="auto"/>
        <w:left w:val="none" w:sz="0" w:space="0" w:color="auto"/>
        <w:bottom w:val="none" w:sz="0" w:space="0" w:color="auto"/>
        <w:right w:val="none" w:sz="0" w:space="0" w:color="auto"/>
      </w:divBdr>
    </w:div>
    <w:div w:id="839613817">
      <w:bodyDiv w:val="1"/>
      <w:marLeft w:val="0"/>
      <w:marRight w:val="0"/>
      <w:marTop w:val="0"/>
      <w:marBottom w:val="0"/>
      <w:divBdr>
        <w:top w:val="none" w:sz="0" w:space="0" w:color="auto"/>
        <w:left w:val="none" w:sz="0" w:space="0" w:color="auto"/>
        <w:bottom w:val="none" w:sz="0" w:space="0" w:color="auto"/>
        <w:right w:val="none" w:sz="0" w:space="0" w:color="auto"/>
      </w:divBdr>
    </w:div>
    <w:div w:id="905141189">
      <w:bodyDiv w:val="1"/>
      <w:marLeft w:val="0"/>
      <w:marRight w:val="0"/>
      <w:marTop w:val="0"/>
      <w:marBottom w:val="0"/>
      <w:divBdr>
        <w:top w:val="none" w:sz="0" w:space="0" w:color="auto"/>
        <w:left w:val="none" w:sz="0" w:space="0" w:color="auto"/>
        <w:bottom w:val="none" w:sz="0" w:space="0" w:color="auto"/>
        <w:right w:val="none" w:sz="0" w:space="0" w:color="auto"/>
      </w:divBdr>
    </w:div>
    <w:div w:id="1158958824">
      <w:bodyDiv w:val="1"/>
      <w:marLeft w:val="0"/>
      <w:marRight w:val="0"/>
      <w:marTop w:val="0"/>
      <w:marBottom w:val="0"/>
      <w:divBdr>
        <w:top w:val="none" w:sz="0" w:space="0" w:color="auto"/>
        <w:left w:val="none" w:sz="0" w:space="0" w:color="auto"/>
        <w:bottom w:val="none" w:sz="0" w:space="0" w:color="auto"/>
        <w:right w:val="none" w:sz="0" w:space="0" w:color="auto"/>
      </w:divBdr>
    </w:div>
    <w:div w:id="1310860292">
      <w:bodyDiv w:val="1"/>
      <w:marLeft w:val="0"/>
      <w:marRight w:val="0"/>
      <w:marTop w:val="0"/>
      <w:marBottom w:val="0"/>
      <w:divBdr>
        <w:top w:val="none" w:sz="0" w:space="0" w:color="auto"/>
        <w:left w:val="none" w:sz="0" w:space="0" w:color="auto"/>
        <w:bottom w:val="none" w:sz="0" w:space="0" w:color="auto"/>
        <w:right w:val="none" w:sz="0" w:space="0" w:color="auto"/>
      </w:divBdr>
    </w:div>
    <w:div w:id="2035184496">
      <w:bodyDiv w:val="1"/>
      <w:marLeft w:val="0"/>
      <w:marRight w:val="0"/>
      <w:marTop w:val="0"/>
      <w:marBottom w:val="0"/>
      <w:divBdr>
        <w:top w:val="none" w:sz="0" w:space="0" w:color="auto"/>
        <w:left w:val="none" w:sz="0" w:space="0" w:color="auto"/>
        <w:bottom w:val="none" w:sz="0" w:space="0" w:color="auto"/>
        <w:right w:val="none" w:sz="0" w:space="0" w:color="auto"/>
      </w:divBdr>
    </w:div>
    <w:div w:id="207377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DCysWFl62oSBt2TNFNPrrCKEA==">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64B740-7E4F-4ED7-A169-E7054C82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44</Pages>
  <Words>13858</Words>
  <Characters>81763</Characters>
  <Application>Microsoft Office Word</Application>
  <DocSecurity>0</DocSecurity>
  <Lines>681</Lines>
  <Paragraphs>190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Kopečková Lenka</dc:creator>
  <cp:lastModifiedBy>Špetlík Václav</cp:lastModifiedBy>
  <cp:revision>5</cp:revision>
  <dcterms:created xsi:type="dcterms:W3CDTF">2021-12-20T15:26:00Z</dcterms:created>
  <dcterms:modified xsi:type="dcterms:W3CDTF">2022-12-14T09:54:00Z</dcterms:modified>
</cp:coreProperties>
</file>